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安宁市2019年月度及年度“四上企业”申报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640" w:firstLineChars="6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入库及退库情况简析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640" w:firstLineChars="600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2019年安宁市月度及年度“四上企业”申报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经国家、云南省、昆明市逐级审批纳入“一套表”调查单位共42家，申报入库呈下降趋势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申报退出“一套表”调查单位共72家，申报退库呈明显增长态势。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sz w:val="32"/>
          <w:szCs w:val="32"/>
          <w:lang w:val="en-US" w:eastAsia="zh-CN"/>
        </w:rPr>
        <w:t>一、2019年月度及年度申报入库单位数量下滑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2019年月度及年度申报入库单位共42家，其中新开业（投产）27家，“四上转四下”单位15家。</w:t>
      </w:r>
    </w:p>
    <w:p>
      <w:pPr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从月度审批分专业来看：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2019年月度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申报入库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27家，其中规模以上工业企业2家、限额以上批发零售企业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家、资质以上建筑业2家，房地产开发经营企业8家、规模以上服务业单位1家、 计划投资5000万以上在建项目法人单位12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家，与2018年相比减少8家，其中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计划投资5000万以上在建项目法人单位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减少数量占比较大。</w:t>
      </w:r>
    </w:p>
    <w:p>
      <w:pPr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3756660" cy="2211070"/>
            <wp:effectExtent l="4445" t="4445" r="10795" b="1333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从年度申报分专业来看：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2019年年度申报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入库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15家，其中规模以上工业企业5家、限额以上批发零售企业6家、限额以上住宿餐饮企业3家、 规模以上服务业单位1家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，较2018年减少9家，其中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计划投资5000万以上在建项目法人单位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减少5家、规模以上工业企业减少4家。</w:t>
      </w:r>
    </w:p>
    <w:p>
      <w:pPr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3975735" cy="2201545"/>
            <wp:effectExtent l="4445" t="4445" r="20320" b="2286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从2月份至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12月份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来看（只包含月度申报）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2月份审批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3月份3家、4月份4家、5月份3家、6月份4家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7月份2家、8月份2家、11月份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家、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12月份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，各月申报入库单位数相对平稳。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i w:val="0"/>
          <w:iCs w:val="0"/>
          <w:sz w:val="32"/>
          <w:szCs w:val="32"/>
          <w:lang w:val="en-US" w:eastAsia="zh-CN"/>
        </w:rPr>
        <w:t>2019年月度及年度申报退库单位数量明显增长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2019年月度及年度申报退库单位共72家，其中月度退库42家、年度退库30家，较2018年数量增加32家。</w:t>
      </w:r>
    </w:p>
    <w:p>
      <w:pPr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从月度申报退出来看：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2019年月度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2月份和12月份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）申报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单位42家。其中规模以上工业企业3家、限额以上批发零售企业7家、限额以上住宿餐饮企业4家、资质以上建筑业2家、房地产开发经营企业10家、5000万以上在建项目法人单位16家。    </w:t>
      </w:r>
    </w:p>
    <w:p>
      <w:pPr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从年度申报退出来看：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2019年年度退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单位30家单位，其中规模以上工业企业13家、限额以上批发零售企业9家、限额以上住宿餐饮企业3、规模以上服务业单位5家。</w:t>
      </w:r>
    </w:p>
    <w:p>
      <w:pPr>
        <w:ind w:firstLine="643" w:firstLineChars="200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从专业退库占比情况来看：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位居前列的是规模以上工业企业、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限额以上批发零售企业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5000万以上在建项目法人单位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，三个专业退库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占比均为22.2%。</w:t>
      </w:r>
    </w:p>
    <w:p>
      <w:pPr>
        <w:ind w:firstLine="640" w:firstLineChars="200"/>
        <w:jc w:val="center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307205" cy="2867660"/>
            <wp:effectExtent l="4445" t="5080" r="12700" b="2286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三、各街道申报入库情况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月度及年度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各街道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申报纳入统计“一套表”调查单位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情况如下：连然街道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、草铺街道7家，太平新城街道6家，县街街道4家、金方街道3家、青龙街道3家、温泉街道1家、禄脿街道1家。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街道入库数量排名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前三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连然街道、草铺街道、太平新城街道，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经济性质影响，连然街道主要以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5000万以上在建项目、批发业、建筑业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入库为主，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草铺街道主要以5000万以上在建项目、工业入库为主，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太平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街道主要以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房地产业、5000万以上在建项目入库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工作建议</w:t>
      </w:r>
    </w:p>
    <w:p>
      <w:pPr>
        <w:numPr>
          <w:numId w:val="0"/>
        </w:numPr>
        <w:ind w:firstLine="64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一是强化业务学习，熟悉工作流程。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职能部门、各街道要深入学习贯彻国家、云南省及昆明市调查单位审核确认工作文件精神，抓住重点调整变化内容，如2020年月度审核类型增加、新增规模以上服务业单位2020年申报标准变化。针对申报审批工作流程统计工作人员要熟记于心，要细心、耐心与申报单位沟通交流，教会企业填报审批资料，要拿准摸清申报材料的真实性和准确性，在上报审批材料时，层层审核把关，提高审批效率。</w:t>
      </w:r>
    </w:p>
    <w:p>
      <w:pPr>
        <w:numPr>
          <w:numId w:val="0"/>
        </w:numPr>
        <w:ind w:firstLine="64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二是明确职责分工，各职能部门联动配合。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职能部门要明确工作职责，充分利用自身职能优势，积极联动配合。发改局、工信局、住建局、市场监督管理局等部门要掌握深挖有潜力申报入库的单位，随时跟踪企业的经营动态，与统计部门多沟通交流，及时向统计部门反馈准入库单位信息，听取专业意见，梳理可以申报的单位名录，确保出入库工作质量。</w:t>
      </w:r>
    </w:p>
    <w:p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三是加强各街道业务培训，提高重视程度。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统计部门要坚持“先进库，后有数”的原则要求，按照“不在名录库的单位不得列入专业统计调查的范围”的规定开展申报工作，同时加强各街道基本单位名录库维护更新工作及“四上企业”申报出入库工作的业务培训。各街道要重视基本单位单位名录库维护更新工作，培养一批统计业务知识过硬、计算机软件操作熟练的业务骨干，在名录库更新维护工作中掌握辖区经济单位变化情况，及时发现挖潜具有申报“四上企业”条件的单位，为辖区经济体量做好储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备工作。</w:t>
      </w:r>
    </w:p>
    <w:p>
      <w:pPr>
        <w:numPr>
          <w:numId w:val="0"/>
        </w:num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安宁市统计局</w:t>
      </w:r>
    </w:p>
    <w:p>
      <w:pPr>
        <w:ind w:firstLine="640" w:firstLineChars="200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2020年1月22日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 w:firstLine="240" w:firstLine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 w:firstLine="240" w:firstLine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47DBD"/>
    <w:multiLevelType w:val="singleLevel"/>
    <w:tmpl w:val="39747DB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50BD5"/>
    <w:rsid w:val="015E52FE"/>
    <w:rsid w:val="0B9D1179"/>
    <w:rsid w:val="0CBD439A"/>
    <w:rsid w:val="10C8095F"/>
    <w:rsid w:val="1A850BD5"/>
    <w:rsid w:val="295728CE"/>
    <w:rsid w:val="2D2F459F"/>
    <w:rsid w:val="30230BDD"/>
    <w:rsid w:val="40A46657"/>
    <w:rsid w:val="646061EC"/>
    <w:rsid w:val="69863833"/>
    <w:rsid w:val="6CDF22C6"/>
    <w:rsid w:val="79EB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63636"/>
      <w:u w:val="none"/>
    </w:rPr>
  </w:style>
  <w:style w:type="character" w:styleId="8">
    <w:name w:val="HTML Definition"/>
    <w:basedOn w:val="5"/>
    <w:uiPriority w:val="0"/>
    <w:rPr>
      <w:i/>
      <w:shd w:val="clear" w:fill="5CB85C"/>
    </w:rPr>
  </w:style>
  <w:style w:type="character" w:styleId="9">
    <w:name w:val="Hyperlink"/>
    <w:basedOn w:val="5"/>
    <w:qFormat/>
    <w:uiPriority w:val="0"/>
    <w:rPr>
      <w:color w:val="363636"/>
      <w:u w:val="none"/>
    </w:rPr>
  </w:style>
  <w:style w:type="character" w:styleId="10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5"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2019</a:t>
            </a:r>
            <a:r>
              <a:rPr altLang="en-US"/>
              <a:t>年与</a:t>
            </a:r>
            <a:r>
              <a:rPr lang="en-US" altLang="zh-CN"/>
              <a:t>2018</a:t>
            </a:r>
            <a:r>
              <a:rPr altLang="en-US"/>
              <a:t>年</a:t>
            </a:r>
            <a:r>
              <a:t>月度入库单位情况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工业</c:v>
                </c:pt>
                <c:pt idx="1">
                  <c:v>建筑业</c:v>
                </c:pt>
                <c:pt idx="2">
                  <c:v>批发零售业</c:v>
                </c:pt>
                <c:pt idx="3">
                  <c:v>房地产业</c:v>
                </c:pt>
                <c:pt idx="4">
                  <c:v>服务业</c:v>
                </c:pt>
                <c:pt idx="5">
                  <c:v>5000万以上投资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8</c:v>
                </c:pt>
                <c:pt idx="4">
                  <c:v>1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2018年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工业</c:v>
                </c:pt>
                <c:pt idx="1">
                  <c:v>建筑业</c:v>
                </c:pt>
                <c:pt idx="2">
                  <c:v>批发零售业</c:v>
                </c:pt>
                <c:pt idx="3">
                  <c:v>房地产业</c:v>
                </c:pt>
                <c:pt idx="4">
                  <c:v>服务业</c:v>
                </c:pt>
                <c:pt idx="5">
                  <c:v>5000万以上投资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9</c:v>
                </c:pt>
                <c:pt idx="4">
                  <c:v>2</c:v>
                </c:pt>
                <c:pt idx="5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8148021"/>
        <c:axId val="71142497"/>
      </c:barChart>
      <c:catAx>
        <c:axId val="65814802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1142497"/>
        <c:crosses val="autoZero"/>
        <c:auto val="1"/>
        <c:lblAlgn val="ctr"/>
        <c:lblOffset val="100"/>
        <c:noMultiLvlLbl val="0"/>
      </c:catAx>
      <c:valAx>
        <c:axId val="7114249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5814802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2019</a:t>
            </a:r>
            <a:r>
              <a:rPr altLang="en-US"/>
              <a:t>年与</a:t>
            </a:r>
            <a:r>
              <a:rPr lang="en-US" altLang="zh-CN"/>
              <a:t>2018</a:t>
            </a:r>
            <a:r>
              <a:rPr altLang="en-US"/>
              <a:t>年年度入库单位情况</a:t>
            </a:r>
            <a:endParaRPr altLang="en-US"/>
          </a:p>
        </c:rich>
      </c:tx>
      <c:layout>
        <c:manualLayout>
          <c:xMode val="edge"/>
          <c:yMode val="edge"/>
          <c:x val="0.173106013416387"/>
          <c:y val="0.037979521199884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工业</c:v>
                </c:pt>
                <c:pt idx="1">
                  <c:v>批发零售业</c:v>
                </c:pt>
                <c:pt idx="2">
                  <c:v>住宿餐饮业</c:v>
                </c:pt>
                <c:pt idx="3">
                  <c:v>房地产业</c:v>
                </c:pt>
                <c:pt idx="4">
                  <c:v>服务业</c:v>
                </c:pt>
                <c:pt idx="5">
                  <c:v>5000万以上投资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2018年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工业</c:v>
                </c:pt>
                <c:pt idx="1">
                  <c:v>批发零售业</c:v>
                </c:pt>
                <c:pt idx="2">
                  <c:v>住宿餐饮业</c:v>
                </c:pt>
                <c:pt idx="3">
                  <c:v>房地产业</c:v>
                </c:pt>
                <c:pt idx="4">
                  <c:v>服务业</c:v>
                </c:pt>
                <c:pt idx="5">
                  <c:v>5000万以上投资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9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0"/>
        <c:axId val="893896782"/>
        <c:axId val="694631264"/>
      </c:barChart>
      <c:catAx>
        <c:axId val="893896782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4631264"/>
        <c:crosses val="autoZero"/>
        <c:auto val="1"/>
        <c:lblAlgn val="ctr"/>
        <c:lblOffset val="100"/>
        <c:noMultiLvlLbl val="0"/>
      </c:catAx>
      <c:valAx>
        <c:axId val="694631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9389678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退库单位分专业占比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退库单位数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工业22.2%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建筑业  2.78%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批发零售业22.2%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住宿餐饮业9.72%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房地产业13.89%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服务业6.94%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5000万以上投资22.2%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工业</c:v>
                </c:pt>
                <c:pt idx="1">
                  <c:v>建筑业</c:v>
                </c:pt>
                <c:pt idx="2">
                  <c:v>批发零售业</c:v>
                </c:pt>
                <c:pt idx="3">
                  <c:v>住宿餐饮业</c:v>
                </c:pt>
                <c:pt idx="4">
                  <c:v>房地产业</c:v>
                </c:pt>
                <c:pt idx="5">
                  <c:v>服务业</c:v>
                </c:pt>
                <c:pt idx="6">
                  <c:v>5000万以上投资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22.2</c:v>
                </c:pt>
                <c:pt idx="1">
                  <c:v>2.78</c:v>
                </c:pt>
                <c:pt idx="2">
                  <c:v>22.2</c:v>
                </c:pt>
                <c:pt idx="3">
                  <c:v>9.72</c:v>
                </c:pt>
                <c:pt idx="4">
                  <c:v>13.89</c:v>
                </c:pt>
                <c:pt idx="5">
                  <c:v>6.94</c:v>
                </c:pt>
                <c:pt idx="6">
                  <c:v>22.2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2020-01-07T06:52:00Z</dcterms:created>
  <dc:creator>Administrator</dc:creator>
  <cp:lastModifiedBy>Administrator</cp:lastModifiedBy>
  <cp:lastPrinted>2020-01-23T03:15:35Z</cp:lastPrinted>
  <dcterms:modified xsi:type="dcterms:W3CDTF">2020-01-23T03:34:23Z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