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方正小标宋简体"/>
          <w:sz w:val="32"/>
          <w:szCs w:val="36"/>
        </w:rPr>
      </w:pPr>
      <w:r>
        <w:rPr>
          <w:rFonts w:hint="eastAsia" w:ascii="黑体" w:hAnsi="黑体" w:eastAsia="黑体" w:cs="方正小标宋简体"/>
          <w:sz w:val="32"/>
          <w:szCs w:val="36"/>
        </w:rPr>
        <w:t>《安宁市昆钢本部片区控制性详细规划和城市设计》公示</w:t>
      </w:r>
    </w:p>
    <w:p>
      <w:pPr>
        <w:ind w:firstLine="562" w:firstLineChars="200"/>
        <w:rPr>
          <w:rFonts w:ascii="黑体" w:hAnsi="黑体" w:eastAsia="黑体" w:cs="Times New Roman"/>
          <w:bCs/>
          <w:sz w:val="28"/>
          <w:szCs w:val="32"/>
        </w:rPr>
      </w:pPr>
      <w:r>
        <w:rPr>
          <w:rFonts w:ascii="黑体" w:hAnsi="黑体" w:eastAsia="黑体" w:cs="Times New Roman"/>
          <w:b/>
          <w:sz w:val="28"/>
          <w:szCs w:val="32"/>
        </w:rPr>
        <w:t>项目名称：</w:t>
      </w:r>
      <w:r>
        <w:rPr>
          <w:rFonts w:hint="eastAsia" w:ascii="黑体" w:hAnsi="黑体" w:eastAsia="黑体" w:cs="Times New Roman"/>
          <w:bCs/>
          <w:sz w:val="28"/>
          <w:szCs w:val="32"/>
        </w:rPr>
        <w:t>《安宁市昆钢本部片区控制性详细规划和城市设计》</w:t>
      </w:r>
    </w:p>
    <w:p>
      <w:pPr>
        <w:ind w:firstLine="562" w:firstLineChars="200"/>
        <w:rPr>
          <w:rFonts w:ascii="黑体" w:hAnsi="黑体" w:eastAsia="黑体" w:cs="Times New Roman"/>
          <w:bCs/>
          <w:sz w:val="28"/>
          <w:szCs w:val="32"/>
        </w:rPr>
      </w:pPr>
      <w:r>
        <w:rPr>
          <w:rFonts w:ascii="黑体" w:hAnsi="黑体" w:eastAsia="黑体" w:cs="Times New Roman"/>
          <w:b/>
          <w:sz w:val="28"/>
          <w:szCs w:val="32"/>
        </w:rPr>
        <w:t>公示类别：</w:t>
      </w:r>
      <w:r>
        <w:rPr>
          <w:rFonts w:ascii="黑体" w:hAnsi="黑体" w:eastAsia="黑体" w:cs="Times New Roman"/>
          <w:bCs/>
          <w:sz w:val="28"/>
          <w:szCs w:val="32"/>
        </w:rPr>
        <w:t>批前公示</w:t>
      </w:r>
    </w:p>
    <w:p>
      <w:pPr>
        <w:ind w:firstLine="562" w:firstLineChars="200"/>
        <w:rPr>
          <w:rFonts w:ascii="黑体" w:hAnsi="黑体" w:eastAsia="黑体" w:cs="Times New Roman"/>
          <w:bCs/>
          <w:sz w:val="28"/>
          <w:szCs w:val="32"/>
        </w:rPr>
      </w:pPr>
      <w:r>
        <w:rPr>
          <w:rFonts w:ascii="黑体" w:hAnsi="黑体" w:eastAsia="黑体" w:cs="Times New Roman"/>
          <w:b/>
          <w:sz w:val="28"/>
          <w:szCs w:val="32"/>
        </w:rPr>
        <w:t>公示时间：</w:t>
      </w:r>
      <w:r>
        <w:rPr>
          <w:rFonts w:ascii="黑体" w:hAnsi="黑体" w:eastAsia="黑体" w:cs="Times New Roman"/>
          <w:bCs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30日</w:t>
      </w:r>
      <w:r>
        <w:rPr>
          <w:rFonts w:hint="eastAsia" w:ascii="黑体" w:hAnsi="黑体" w:eastAsia="黑体" w:cs="Times New Roman"/>
          <w:bCs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ascii="黑体" w:hAnsi="黑体" w:eastAsia="黑体" w:cs="Times New Roman"/>
          <w:bCs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2019年10月24日-2019年11月22日</w:t>
      </w:r>
      <w:r>
        <w:rPr>
          <w:rFonts w:hint="eastAsia" w:ascii="黑体" w:hAnsi="黑体" w:eastAsia="黑体" w:cs="Times New Roman"/>
          <w:bCs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）</w:t>
      </w:r>
    </w:p>
    <w:p>
      <w:pPr>
        <w:ind w:firstLine="562" w:firstLineChars="200"/>
        <w:rPr>
          <w:rFonts w:ascii="黑体" w:hAnsi="黑体" w:eastAsia="黑体" w:cs="Times New Roman"/>
          <w:bCs/>
          <w:sz w:val="28"/>
          <w:szCs w:val="32"/>
        </w:rPr>
      </w:pPr>
      <w:r>
        <w:rPr>
          <w:rFonts w:ascii="黑体" w:hAnsi="黑体" w:eastAsia="黑体" w:cs="Times New Roman"/>
          <w:b/>
          <w:sz w:val="28"/>
          <w:szCs w:val="32"/>
        </w:rPr>
        <w:t>公示地点：</w:t>
      </w:r>
      <w:r>
        <w:rPr>
          <w:rFonts w:ascii="黑体" w:hAnsi="黑体" w:eastAsia="黑体" w:cs="Times New Roman"/>
          <w:bCs/>
          <w:sz w:val="28"/>
          <w:szCs w:val="32"/>
        </w:rPr>
        <w:t>安宁市</w:t>
      </w:r>
      <w:r>
        <w:rPr>
          <w:rFonts w:hint="eastAsia" w:ascii="黑体" w:hAnsi="黑体" w:eastAsia="黑体" w:cs="Times New Roman"/>
          <w:bCs/>
          <w:sz w:val="28"/>
          <w:szCs w:val="32"/>
        </w:rPr>
        <w:t>自然资源</w:t>
      </w:r>
      <w:r>
        <w:rPr>
          <w:rFonts w:ascii="黑体" w:hAnsi="黑体" w:eastAsia="黑体" w:cs="Times New Roman"/>
          <w:bCs/>
          <w:sz w:val="28"/>
          <w:szCs w:val="32"/>
        </w:rPr>
        <w:t>局</w:t>
      </w:r>
      <w:r>
        <w:rPr>
          <w:rFonts w:hint="eastAsia" w:ascii="黑体" w:hAnsi="黑体" w:eastAsia="黑体" w:cs="Times New Roman"/>
          <w:bCs/>
          <w:sz w:val="28"/>
          <w:szCs w:val="32"/>
        </w:rPr>
        <w:t xml:space="preserve"> 金方街道办事处 昆明钢铁控股有限公司</w:t>
      </w:r>
    </w:p>
    <w:p>
      <w:pPr>
        <w:ind w:firstLine="562" w:firstLineChars="200"/>
        <w:rPr>
          <w:rStyle w:val="6"/>
          <w:rFonts w:ascii="黑体" w:hAnsi="黑体" w:eastAsia="黑体" w:cs="Times New Roman"/>
          <w:bCs/>
          <w:sz w:val="28"/>
          <w:szCs w:val="32"/>
        </w:rPr>
      </w:pPr>
      <w:r>
        <w:rPr>
          <w:rFonts w:ascii="黑体" w:hAnsi="黑体" w:eastAsia="黑体" w:cs="Times New Roman"/>
          <w:b/>
          <w:sz w:val="28"/>
          <w:szCs w:val="32"/>
        </w:rPr>
        <w:t>公示网站：</w:t>
      </w:r>
      <w:r>
        <w:fldChar w:fldCharType="begin"/>
      </w:r>
      <w:r>
        <w:instrText xml:space="preserve"> HYPERLINK "http://an.km.gov.cn/xxgk/" </w:instrText>
      </w:r>
      <w:r>
        <w:fldChar w:fldCharType="separate"/>
      </w:r>
      <w:r>
        <w:rPr>
          <w:rStyle w:val="6"/>
          <w:rFonts w:ascii="黑体" w:hAnsi="黑体" w:eastAsia="黑体" w:cs="Times New Roman"/>
          <w:bCs/>
          <w:sz w:val="28"/>
          <w:szCs w:val="32"/>
        </w:rPr>
        <w:t>http://an.km.gov.cn/xxgk/</w:t>
      </w:r>
      <w:r>
        <w:rPr>
          <w:rStyle w:val="6"/>
          <w:rFonts w:ascii="黑体" w:hAnsi="黑体" w:eastAsia="黑体" w:cs="Times New Roman"/>
          <w:bCs/>
          <w:sz w:val="28"/>
          <w:szCs w:val="32"/>
        </w:rPr>
        <w:fldChar w:fldCharType="end"/>
      </w:r>
      <w:r>
        <w:rPr>
          <w:rStyle w:val="6"/>
          <w:rFonts w:hint="eastAsia" w:ascii="黑体" w:hAnsi="黑体" w:eastAsia="黑体" w:cs="Times New Roman"/>
          <w:bCs/>
          <w:sz w:val="28"/>
          <w:szCs w:val="32"/>
        </w:rPr>
        <w:t>（安宁市人民政府网）、http://gs.yn.gov.cn/gongshi/（云南省人民政府重要事项公示网）</w:t>
      </w:r>
    </w:p>
    <w:p>
      <w:pPr>
        <w:ind w:firstLine="562" w:firstLineChars="200"/>
        <w:rPr>
          <w:rFonts w:hint="default" w:ascii="黑体" w:hAnsi="黑体" w:eastAsia="黑体" w:cs="Times New Roman"/>
          <w:bCs/>
          <w:sz w:val="28"/>
          <w:szCs w:val="32"/>
          <w:lang w:val="en-US" w:eastAsia="zh-CN"/>
        </w:rPr>
      </w:pPr>
      <w:r>
        <w:rPr>
          <w:rFonts w:ascii="黑体" w:hAnsi="黑体" w:eastAsia="黑体" w:cs="Times New Roman"/>
          <w:b/>
          <w:sz w:val="28"/>
          <w:szCs w:val="32"/>
        </w:rPr>
        <w:t>联系电话：</w:t>
      </w:r>
      <w:r>
        <w:rPr>
          <w:rFonts w:hint="eastAsia" w:ascii="黑体" w:hAnsi="黑体" w:eastAsia="黑体" w:cs="Times New Roman"/>
          <w:bCs/>
          <w:sz w:val="28"/>
          <w:szCs w:val="32"/>
          <w:lang w:val="en-US" w:eastAsia="zh-CN"/>
        </w:rPr>
        <w:t>城乡规划科0871-68690912，信息中心0871-68695616</w:t>
      </w:r>
    </w:p>
    <w:p>
      <w:pPr>
        <w:ind w:firstLine="618" w:firstLineChars="220"/>
        <w:rPr>
          <w:rFonts w:ascii="黑体" w:hAnsi="黑体" w:eastAsia="黑体" w:cs="Times New Roman"/>
          <w:bCs/>
          <w:sz w:val="28"/>
          <w:szCs w:val="32"/>
        </w:rPr>
      </w:pPr>
      <w:r>
        <w:rPr>
          <w:rFonts w:ascii="黑体" w:hAnsi="黑体" w:eastAsia="黑体" w:cs="Times New Roman"/>
          <w:b/>
          <w:sz w:val="28"/>
          <w:szCs w:val="32"/>
        </w:rPr>
        <w:t>公示组织单位：</w:t>
      </w:r>
      <w:r>
        <w:rPr>
          <w:rFonts w:ascii="黑体" w:hAnsi="黑体" w:eastAsia="黑体" w:cs="Times New Roman"/>
          <w:bCs/>
          <w:sz w:val="28"/>
          <w:szCs w:val="32"/>
        </w:rPr>
        <w:t>安宁市</w:t>
      </w:r>
      <w:r>
        <w:rPr>
          <w:rFonts w:hint="eastAsia" w:ascii="黑体" w:hAnsi="黑体" w:eastAsia="黑体" w:cs="Times New Roman"/>
          <w:bCs/>
          <w:sz w:val="28"/>
          <w:szCs w:val="32"/>
        </w:rPr>
        <w:t>自然资源</w:t>
      </w:r>
      <w:r>
        <w:rPr>
          <w:rFonts w:ascii="黑体" w:hAnsi="黑体" w:eastAsia="黑体" w:cs="Times New Roman"/>
          <w:bCs/>
          <w:sz w:val="28"/>
          <w:szCs w:val="32"/>
        </w:rPr>
        <w:t>局</w:t>
      </w:r>
    </w:p>
    <w:p>
      <w:pPr>
        <w:ind w:firstLine="562" w:firstLineChars="200"/>
        <w:rPr>
          <w:rFonts w:ascii="黑体" w:hAnsi="黑体" w:eastAsia="黑体" w:cs="Times New Roman"/>
          <w:bCs/>
          <w:sz w:val="28"/>
          <w:szCs w:val="32"/>
        </w:rPr>
      </w:pPr>
      <w:r>
        <w:rPr>
          <w:rFonts w:hint="eastAsia" w:ascii="黑体" w:hAnsi="黑体" w:eastAsia="黑体" w:cs="Times New Roman"/>
          <w:b/>
          <w:sz w:val="28"/>
          <w:szCs w:val="32"/>
        </w:rPr>
        <w:t>备注</w:t>
      </w:r>
      <w:r>
        <w:rPr>
          <w:rFonts w:hint="eastAsia" w:ascii="黑体" w:hAnsi="黑体" w:eastAsia="黑体" w:cs="Times New Roman"/>
          <w:bCs/>
          <w:sz w:val="28"/>
          <w:szCs w:val="32"/>
        </w:rPr>
        <w:t>：对以上公示内容有异议者，请在公示期内以书面形式将意见和建议反馈到安宁市自然资源局</w:t>
      </w:r>
      <w:r>
        <w:rPr>
          <w:rFonts w:ascii="黑体" w:hAnsi="黑体" w:eastAsia="黑体" w:cs="Times New Roman"/>
          <w:bCs/>
          <w:sz w:val="28"/>
          <w:szCs w:val="32"/>
        </w:rPr>
        <w:t>(宁湖大厦</w:t>
      </w:r>
      <w:r>
        <w:rPr>
          <w:rFonts w:hint="eastAsia" w:ascii="黑体" w:hAnsi="黑体" w:eastAsia="黑体" w:cs="Times New Roman"/>
          <w:bCs/>
          <w:sz w:val="28"/>
          <w:szCs w:val="32"/>
        </w:rPr>
        <w:t>2</w:t>
      </w:r>
      <w:r>
        <w:rPr>
          <w:rFonts w:ascii="黑体" w:hAnsi="黑体" w:eastAsia="黑体" w:cs="Times New Roman"/>
          <w:bCs/>
          <w:sz w:val="28"/>
          <w:szCs w:val="32"/>
        </w:rPr>
        <w:t xml:space="preserve">2楼) </w:t>
      </w:r>
    </w:p>
    <w:p>
      <w:pPr>
        <w:ind w:firstLine="562" w:firstLineChars="200"/>
        <w:rPr>
          <w:rFonts w:ascii="黑体" w:hAnsi="黑体" w:eastAsia="黑体" w:cs="Times New Roman"/>
          <w:b/>
          <w:sz w:val="28"/>
          <w:szCs w:val="32"/>
        </w:rPr>
      </w:pPr>
      <w:r>
        <w:rPr>
          <w:rFonts w:hint="eastAsia" w:ascii="黑体" w:hAnsi="黑体" w:eastAsia="黑体" w:cs="Times New Roman"/>
          <w:b/>
          <w:sz w:val="28"/>
          <w:szCs w:val="32"/>
        </w:rPr>
        <w:t>规划简介：</w:t>
      </w:r>
      <w:r>
        <w:rPr>
          <w:rFonts w:hint="eastAsia" w:ascii="黑体" w:hAnsi="黑体" w:eastAsia="黑体" w:cs="Times New Roman"/>
          <w:bCs/>
          <w:sz w:val="28"/>
          <w:szCs w:val="32"/>
        </w:rPr>
        <w:t>《安宁市昆钢本部片区控制性详细规划和城市设计》于</w:t>
      </w:r>
      <w:r>
        <w:rPr>
          <w:rFonts w:ascii="黑体" w:hAnsi="黑体" w:eastAsia="黑体" w:cs="Times New Roman"/>
          <w:bCs/>
          <w:sz w:val="28"/>
          <w:szCs w:val="32"/>
        </w:rPr>
        <w:t>2019年8月6日经安宁市城乡规划委员会2019年第8次会议审议通过，2019年8月28日通过安宁市发展与建设规划领导小组会议审查</w:t>
      </w:r>
      <w:r>
        <w:rPr>
          <w:rFonts w:hint="eastAsia" w:ascii="黑体" w:hAnsi="黑体" w:eastAsia="黑体" w:cs="Times New Roman"/>
          <w:bCs/>
          <w:sz w:val="28"/>
          <w:szCs w:val="32"/>
        </w:rPr>
        <w:t>，</w:t>
      </w:r>
      <w:r>
        <w:rPr>
          <w:rFonts w:ascii="黑体" w:hAnsi="黑体" w:eastAsia="黑体" w:cs="Times New Roman"/>
          <w:bCs/>
          <w:sz w:val="28"/>
          <w:szCs w:val="32"/>
        </w:rPr>
        <w:t>2019年9月2</w:t>
      </w:r>
      <w:r>
        <w:rPr>
          <w:rFonts w:hint="eastAsia" w:ascii="黑体" w:hAnsi="黑体" w:eastAsia="黑体" w:cs="Times New Roman"/>
          <w:bCs/>
          <w:sz w:val="28"/>
          <w:szCs w:val="32"/>
          <w:lang w:val="en-US" w:eastAsia="zh-CN"/>
        </w:rPr>
        <w:t>8</w:t>
      </w:r>
      <w:bookmarkStart w:id="0" w:name="_GoBack"/>
      <w:bookmarkEnd w:id="0"/>
      <w:r>
        <w:rPr>
          <w:rFonts w:ascii="黑体" w:hAnsi="黑体" w:eastAsia="黑体" w:cs="Times New Roman"/>
          <w:bCs/>
          <w:sz w:val="28"/>
          <w:szCs w:val="32"/>
        </w:rPr>
        <w:t>日经安宁市六届人大常委会第</w:t>
      </w:r>
      <w:r>
        <w:rPr>
          <w:rFonts w:hint="eastAsia" w:ascii="黑体" w:hAnsi="黑体" w:eastAsia="黑体" w:cs="Times New Roman"/>
          <w:bCs/>
          <w:sz w:val="28"/>
          <w:szCs w:val="32"/>
        </w:rPr>
        <w:t>二十</w:t>
      </w:r>
      <w:r>
        <w:rPr>
          <w:rFonts w:ascii="黑体" w:hAnsi="黑体" w:eastAsia="黑体" w:cs="Times New Roman"/>
          <w:bCs/>
          <w:sz w:val="28"/>
          <w:szCs w:val="32"/>
        </w:rPr>
        <w:t>次会议审议批准，现按相关规定进行批前公示。</w:t>
      </w:r>
    </w:p>
    <w:p>
      <w:pPr>
        <w:ind w:firstLine="562" w:firstLineChars="200"/>
        <w:rPr>
          <w:rFonts w:ascii="黑体" w:hAnsi="黑体" w:eastAsia="黑体" w:cs="Times New Roman"/>
          <w:b/>
          <w:sz w:val="28"/>
          <w:szCs w:val="32"/>
        </w:rPr>
      </w:pPr>
      <w:r>
        <w:rPr>
          <w:rFonts w:ascii="黑体" w:hAnsi="黑体" w:eastAsia="黑体" w:cs="Times New Roman"/>
          <w:b/>
          <w:sz w:val="28"/>
          <w:szCs w:val="32"/>
        </w:rPr>
        <w:t>规划范围</w:t>
      </w:r>
      <w:r>
        <w:rPr>
          <w:rFonts w:hint="eastAsia" w:ascii="黑体" w:hAnsi="黑体" w:eastAsia="黑体" w:cs="Times New Roman"/>
          <w:b/>
          <w:sz w:val="28"/>
          <w:szCs w:val="32"/>
        </w:rPr>
        <w:t>：</w:t>
      </w:r>
      <w:r>
        <w:rPr>
          <w:rFonts w:hint="eastAsia" w:ascii="黑体" w:hAnsi="黑体" w:eastAsia="黑体" w:cs="Times New Roman"/>
          <w:sz w:val="28"/>
          <w:szCs w:val="32"/>
        </w:rPr>
        <w:t>北至螳螂川—沙河，西南至规划屯钢路，东至望海路</w:t>
      </w:r>
      <w:r>
        <w:rPr>
          <w:rFonts w:ascii="黑体" w:hAnsi="黑体" w:eastAsia="黑体" w:cs="Times New Roman"/>
          <w:sz w:val="28"/>
          <w:szCs w:val="32"/>
        </w:rPr>
        <w:t>-安海路，规划范围面积约为10.47平方公里</w:t>
      </w:r>
      <w:r>
        <w:rPr>
          <w:rFonts w:hint="eastAsia" w:ascii="黑体" w:hAnsi="黑体" w:eastAsia="黑体" w:cs="Times New Roman"/>
          <w:sz w:val="28"/>
          <w:szCs w:val="32"/>
        </w:rPr>
        <w:t>。</w:t>
      </w:r>
    </w:p>
    <w:p>
      <w:pPr>
        <w:ind w:firstLine="562" w:firstLineChars="200"/>
        <w:rPr>
          <w:rFonts w:ascii="黑体" w:hAnsi="黑体" w:eastAsia="黑体" w:cs="Times New Roman"/>
          <w:bCs/>
          <w:sz w:val="28"/>
          <w:szCs w:val="32"/>
        </w:rPr>
      </w:pPr>
      <w:r>
        <w:rPr>
          <w:rFonts w:ascii="黑体" w:hAnsi="黑体" w:eastAsia="黑体" w:cs="Times New Roman"/>
          <w:b/>
          <w:sz w:val="28"/>
          <w:szCs w:val="32"/>
        </w:rPr>
        <w:t>规模控制</w:t>
      </w:r>
      <w:r>
        <w:rPr>
          <w:rFonts w:hint="eastAsia" w:ascii="黑体" w:hAnsi="黑体" w:eastAsia="黑体" w:cs="Times New Roman"/>
          <w:b/>
          <w:sz w:val="28"/>
          <w:szCs w:val="32"/>
        </w:rPr>
        <w:t>：</w:t>
      </w:r>
      <w:r>
        <w:rPr>
          <w:rFonts w:hint="eastAsia" w:ascii="黑体" w:hAnsi="黑体" w:eastAsia="黑体" w:cs="Times New Roman"/>
          <w:bCs/>
          <w:sz w:val="28"/>
          <w:szCs w:val="32"/>
        </w:rPr>
        <w:t>规划建设用地</w:t>
      </w:r>
      <w:r>
        <w:rPr>
          <w:rFonts w:ascii="黑体" w:hAnsi="黑体" w:eastAsia="黑体" w:cs="Times New Roman"/>
          <w:bCs/>
          <w:sz w:val="28"/>
          <w:szCs w:val="32"/>
        </w:rPr>
        <w:t>916.79公顷，</w:t>
      </w:r>
      <w:r>
        <w:rPr>
          <w:rFonts w:hint="eastAsia" w:ascii="黑体" w:hAnsi="黑体" w:eastAsia="黑体" w:cs="Times New Roman"/>
          <w:bCs/>
          <w:sz w:val="28"/>
          <w:szCs w:val="32"/>
        </w:rPr>
        <w:t>其中</w:t>
      </w:r>
      <w:r>
        <w:rPr>
          <w:rFonts w:ascii="黑体" w:hAnsi="黑体" w:eastAsia="黑体" w:cs="Times New Roman"/>
          <w:bCs/>
          <w:sz w:val="28"/>
          <w:szCs w:val="32"/>
        </w:rPr>
        <w:t>城市建设用地895.63公顷，规划常住人口13.8万人。</w:t>
      </w:r>
    </w:p>
    <w:p>
      <w:pPr>
        <w:ind w:firstLine="562" w:firstLineChars="200"/>
        <w:jc w:val="left"/>
        <w:rPr>
          <w:rFonts w:ascii="黑体" w:hAnsi="黑体" w:eastAsia="黑体" w:cs="Times New Roman"/>
          <w:sz w:val="28"/>
          <w:szCs w:val="32"/>
        </w:rPr>
      </w:pPr>
      <w:r>
        <w:rPr>
          <w:rFonts w:ascii="黑体" w:hAnsi="黑体" w:eastAsia="黑体" w:cs="Times New Roman"/>
          <w:b/>
          <w:sz w:val="28"/>
          <w:szCs w:val="32"/>
        </w:rPr>
        <w:t>发展定位：</w:t>
      </w:r>
      <w:r>
        <w:rPr>
          <w:rFonts w:hint="eastAsia" w:ascii="黑体" w:hAnsi="黑体" w:eastAsia="黑体" w:cs="Times New Roman"/>
          <w:sz w:val="28"/>
          <w:szCs w:val="32"/>
        </w:rPr>
        <w:t>昆钢本部片区以“云南省美好生活示范城”为总目标，以“工业遗产保护</w:t>
      </w:r>
      <w:r>
        <w:rPr>
          <w:rFonts w:ascii="黑体" w:hAnsi="黑体" w:eastAsia="黑体" w:cs="Times New Roman"/>
          <w:sz w:val="28"/>
          <w:szCs w:val="32"/>
        </w:rPr>
        <w:t>+文化+大健康+新型城镇化”为发展主线，建设成为文创科技融合先行区、大健康生活方式体验地、未来科技策源创智核和向南开放国际会客厅。</w:t>
      </w:r>
    </w:p>
    <w:p>
      <w:pPr>
        <w:ind w:firstLine="560" w:firstLineChars="200"/>
        <w:jc w:val="left"/>
        <w:rPr>
          <w:rFonts w:ascii="黑体" w:hAnsi="黑体" w:eastAsia="黑体" w:cs="Times New Roman"/>
          <w:sz w:val="28"/>
          <w:szCs w:val="32"/>
        </w:rPr>
      </w:pPr>
    </w:p>
    <w:p>
      <w:pPr>
        <w:widowControl/>
        <w:jc w:val="left"/>
        <w:rPr>
          <w:rFonts w:ascii="黑体" w:hAnsi="黑体" w:eastAsia="黑体" w:cs="Times New Roman"/>
          <w:sz w:val="28"/>
          <w:szCs w:val="32"/>
        </w:rPr>
      </w:pPr>
      <w:r>
        <w:rPr>
          <w:rFonts w:ascii="黑体" w:hAnsi="黑体" w:eastAsia="黑体" w:cs="Times New Roman"/>
          <w:sz w:val="28"/>
          <w:szCs w:val="32"/>
        </w:rPr>
        <w:br w:type="page"/>
      </w:r>
    </w:p>
    <w:p>
      <w:pPr>
        <w:widowControl/>
        <w:jc w:val="left"/>
        <w:rPr>
          <w:rFonts w:ascii="黑体" w:hAnsi="黑体" w:eastAsia="黑体" w:cs="Times New Roman"/>
          <w:sz w:val="28"/>
          <w:szCs w:val="32"/>
        </w:rPr>
        <w:sectPr>
          <w:headerReference r:id="rId3" w:type="even"/>
          <w:pgSz w:w="16838" w:h="11906" w:orient="landscape"/>
          <w:pgMar w:top="1440" w:right="1080" w:bottom="1440" w:left="1080" w:header="567" w:footer="992" w:gutter="0"/>
          <w:cols w:space="720" w:num="1"/>
          <w:docGrid w:type="lines" w:linePitch="312" w:charSpace="0"/>
        </w:sectPr>
      </w:pPr>
    </w:p>
    <w:p>
      <w:pPr>
        <w:jc w:val="center"/>
        <w:rPr>
          <w:rFonts w:ascii="黑体" w:hAnsi="黑体" w:eastAsia="黑体" w:cs="Times New Roman"/>
          <w:sz w:val="32"/>
          <w:szCs w:val="32"/>
        </w:rPr>
      </w:pPr>
      <w:r>
        <w:rPr>
          <w:rFonts w:ascii="黑体" w:hAnsi="黑体" w:eastAsia="黑体" w:cs="Times New Roman"/>
          <w:sz w:val="32"/>
          <w:szCs w:val="32"/>
        </w:rPr>
        <w:drawing>
          <wp:inline distT="0" distB="0" distL="0" distR="0">
            <wp:extent cx="8729980" cy="61772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32708" cy="617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hanging="420"/>
        <w:jc w:val="center"/>
        <w:rPr>
          <w:rFonts w:ascii="黑体" w:hAnsi="黑体" w:eastAsia="黑体" w:cs="Times New Roman"/>
          <w:sz w:val="32"/>
          <w:szCs w:val="32"/>
        </w:rPr>
      </w:pPr>
      <w:r>
        <w:rPr>
          <w:rFonts w:ascii="黑体" w:hAnsi="黑体" w:eastAsia="黑体" w:cs="Times New Roman"/>
          <w:sz w:val="32"/>
          <w:szCs w:val="32"/>
        </w:rPr>
        <w:drawing>
          <wp:inline distT="0" distB="0" distL="0" distR="0">
            <wp:extent cx="8761095" cy="6192520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2943" cy="619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Times New Roman"/>
          <w:sz w:val="32"/>
          <w:szCs w:val="32"/>
        </w:rPr>
        <w:drawing>
          <wp:inline distT="0" distB="0" distL="0" distR="0">
            <wp:extent cx="8791575" cy="621538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93462" cy="621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Times New Roman"/>
          <w:sz w:val="32"/>
          <w:szCs w:val="32"/>
        </w:rPr>
        <w:drawing>
          <wp:inline distT="0" distB="0" distL="0" distR="0">
            <wp:extent cx="8775065" cy="6209030"/>
            <wp:effectExtent l="0" t="0" r="698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82315" cy="621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Times New Roman"/>
          <w:sz w:val="32"/>
          <w:szCs w:val="32"/>
        </w:rPr>
      </w:pPr>
    </w:p>
    <w:p>
      <w:pPr>
        <w:jc w:val="center"/>
        <w:rPr>
          <w:rFonts w:ascii="黑体" w:hAnsi="黑体" w:eastAsia="黑体" w:cs="Times New Roman"/>
          <w:sz w:val="32"/>
          <w:szCs w:val="32"/>
        </w:rPr>
      </w:pPr>
      <w:r>
        <w:rPr>
          <w:rFonts w:hint="eastAsia" w:ascii="黑体" w:hAnsi="黑体" w:eastAsia="黑体" w:cs="Times New Roman"/>
          <w:sz w:val="32"/>
          <w:szCs w:val="32"/>
        </w:rPr>
        <w:drawing>
          <wp:inline distT="0" distB="0" distL="0" distR="0">
            <wp:extent cx="8601710" cy="6082030"/>
            <wp:effectExtent l="0" t="0" r="889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01710" cy="608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 w:cs="Times New Roman"/>
          <w:sz w:val="32"/>
          <w:szCs w:val="32"/>
        </w:rPr>
      </w:pPr>
      <w:r>
        <w:rPr>
          <w:rFonts w:ascii="黑体" w:hAnsi="黑体" w:eastAsia="黑体" w:cs="Times New Roman"/>
          <w:sz w:val="32"/>
          <w:szCs w:val="32"/>
        </w:rPr>
        <w:drawing>
          <wp:inline distT="0" distB="0" distL="0" distR="0">
            <wp:extent cx="8538210" cy="603948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38210" cy="603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type w:val="continuous"/>
      <w:pgSz w:w="16838" w:h="11906" w:orient="landscape"/>
      <w:pgMar w:top="567" w:right="720" w:bottom="720" w:left="720" w:header="567" w:footer="992" w:gutter="0"/>
      <w:cols w:space="21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977"/>
    <w:rsid w:val="00002977"/>
    <w:rsid w:val="000D4091"/>
    <w:rsid w:val="000F3F5B"/>
    <w:rsid w:val="00104D22"/>
    <w:rsid w:val="001221B9"/>
    <w:rsid w:val="00135500"/>
    <w:rsid w:val="00137CC5"/>
    <w:rsid w:val="00173EDB"/>
    <w:rsid w:val="00187E4A"/>
    <w:rsid w:val="001E740C"/>
    <w:rsid w:val="001F4A58"/>
    <w:rsid w:val="00220AF3"/>
    <w:rsid w:val="003161C0"/>
    <w:rsid w:val="0038544D"/>
    <w:rsid w:val="003A2071"/>
    <w:rsid w:val="003B01E8"/>
    <w:rsid w:val="003E3CC0"/>
    <w:rsid w:val="00410535"/>
    <w:rsid w:val="00421F24"/>
    <w:rsid w:val="00446C1F"/>
    <w:rsid w:val="00470F7B"/>
    <w:rsid w:val="0048099F"/>
    <w:rsid w:val="004A0A95"/>
    <w:rsid w:val="004B1413"/>
    <w:rsid w:val="004D1898"/>
    <w:rsid w:val="004E5D46"/>
    <w:rsid w:val="00533C15"/>
    <w:rsid w:val="00542500"/>
    <w:rsid w:val="00623DA0"/>
    <w:rsid w:val="00624F99"/>
    <w:rsid w:val="00625892"/>
    <w:rsid w:val="006606F5"/>
    <w:rsid w:val="00690AC9"/>
    <w:rsid w:val="006A7E61"/>
    <w:rsid w:val="006E5BB4"/>
    <w:rsid w:val="007014EE"/>
    <w:rsid w:val="00765F0B"/>
    <w:rsid w:val="007A0C3E"/>
    <w:rsid w:val="007C26FF"/>
    <w:rsid w:val="007D49F0"/>
    <w:rsid w:val="008030C3"/>
    <w:rsid w:val="008630EB"/>
    <w:rsid w:val="00870F1C"/>
    <w:rsid w:val="00952E1E"/>
    <w:rsid w:val="00960044"/>
    <w:rsid w:val="009960B9"/>
    <w:rsid w:val="009A2DC1"/>
    <w:rsid w:val="009E56F4"/>
    <w:rsid w:val="009F3498"/>
    <w:rsid w:val="00A43F4A"/>
    <w:rsid w:val="00A5500E"/>
    <w:rsid w:val="00A97D26"/>
    <w:rsid w:val="00AC0C2A"/>
    <w:rsid w:val="00AD4F2E"/>
    <w:rsid w:val="00B23459"/>
    <w:rsid w:val="00B80A32"/>
    <w:rsid w:val="00B80ACE"/>
    <w:rsid w:val="00B837AB"/>
    <w:rsid w:val="00BF10D7"/>
    <w:rsid w:val="00BF46EE"/>
    <w:rsid w:val="00C25306"/>
    <w:rsid w:val="00C56C0B"/>
    <w:rsid w:val="00C864FE"/>
    <w:rsid w:val="00CB6EBB"/>
    <w:rsid w:val="00CD4622"/>
    <w:rsid w:val="00D0247D"/>
    <w:rsid w:val="00DC792A"/>
    <w:rsid w:val="00E03AC9"/>
    <w:rsid w:val="00E475E4"/>
    <w:rsid w:val="00E5048D"/>
    <w:rsid w:val="00E53586"/>
    <w:rsid w:val="00E7595D"/>
    <w:rsid w:val="00EA389B"/>
    <w:rsid w:val="00EF48CC"/>
    <w:rsid w:val="00F03BE7"/>
    <w:rsid w:val="00F234B5"/>
    <w:rsid w:val="00F51C55"/>
    <w:rsid w:val="02F23C9E"/>
    <w:rsid w:val="033233E5"/>
    <w:rsid w:val="23265CCB"/>
    <w:rsid w:val="385C0B68"/>
    <w:rsid w:val="4BD817A9"/>
    <w:rsid w:val="4EBB6DE3"/>
    <w:rsid w:val="7B8A3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未处理的提及1"/>
    <w:basedOn w:val="5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8">
    <w:name w:val="页眉 字符"/>
    <w:basedOn w:val="5"/>
    <w:link w:val="3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5"/>
    <w:link w:val="2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31F54E2-0A61-4BFB-A6A5-07330E7D739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106</Words>
  <Characters>605</Characters>
  <Lines>5</Lines>
  <Paragraphs>1</Paragraphs>
  <TotalTime>11</TotalTime>
  <ScaleCrop>false</ScaleCrop>
  <LinksUpToDate>false</LinksUpToDate>
  <CharactersWithSpaces>710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2019-10-12T07:15:00Z</dcterms:created>
  <dc:creator>chengwei</dc:creator>
  <cp:lastModifiedBy>ansghj</cp:lastModifiedBy>
  <cp:lastPrinted>2019-06-19T12:16:00Z</cp:lastPrinted>
  <dcterms:modified xsi:type="dcterms:W3CDTF">2019-11-06T02:47:13Z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