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eastAsia="黑体"/>
          <w:b/>
          <w:bCs/>
          <w:sz w:val="52"/>
          <w:szCs w:val="52"/>
        </w:rPr>
      </w:pPr>
    </w:p>
    <w:p>
      <w:pPr>
        <w:spacing w:line="579" w:lineRule="exact"/>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0"/>
          <w:szCs w:val="40"/>
        </w:rPr>
        <w:t>螳川干部综合素质提升教育培训经费</w:t>
      </w:r>
    </w:p>
    <w:p>
      <w:pPr>
        <w:spacing w:line="579" w:lineRule="exact"/>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0"/>
          <w:szCs w:val="40"/>
        </w:rPr>
        <w:t>绩效再评价报告（2019年度）</w:t>
      </w:r>
    </w:p>
    <w:p>
      <w:pPr>
        <w:spacing w:line="600" w:lineRule="exact"/>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0"/>
          <w:szCs w:val="40"/>
        </w:rPr>
        <w:t>（</w:t>
      </w:r>
      <w:r>
        <w:rPr>
          <w:rFonts w:hint="eastAsia" w:ascii="方正小标宋_GBK" w:hAnsi="Arial Narrow" w:eastAsia="方正小标宋_GBK"/>
          <w:kern w:val="40"/>
          <w:sz w:val="40"/>
          <w:szCs w:val="44"/>
        </w:rPr>
        <w:t>拟征求意见稿</w:t>
      </w:r>
      <w:r>
        <w:rPr>
          <w:rFonts w:hint="eastAsia" w:ascii="方正小标宋_GBK" w:hAnsi="方正小标宋简体" w:eastAsia="方正小标宋_GBK" w:cs="方正小标宋简体"/>
          <w:spacing w:val="6"/>
          <w:kern w:val="0"/>
          <w:sz w:val="40"/>
          <w:szCs w:val="40"/>
        </w:rPr>
        <w:t>）</w:t>
      </w: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r>
        <w:rPr>
          <w:rFonts w:hint="eastAsia" w:ascii="Times New Roman" w:hAnsi="Times New Roman"/>
          <w:b/>
          <w:bCs/>
          <w:sz w:val="44"/>
          <w:szCs w:val="44"/>
        </w:rPr>
        <w:tab/>
      </w:r>
    </w:p>
    <w:p>
      <w:pPr>
        <w:spacing w:before="120" w:after="120" w:line="480" w:lineRule="auto"/>
        <w:jc w:val="center"/>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ascii="Times New Roman" w:hAnsi="Times New Roman" w:eastAsia="黑体" w:cs="黑体"/>
          <w:sz w:val="28"/>
          <w:szCs w:val="28"/>
          <w:u w:val="single"/>
        </w:rPr>
      </w:pPr>
      <w:r>
        <w:rPr>
          <w:rFonts w:ascii="Times New Roman" w:hAnsi="Times New Roman" w:eastAsia="黑体" w:cs="黑体"/>
          <w:sz w:val="28"/>
          <w:szCs w:val="28"/>
        </w:rPr>
        <mc:AlternateContent>
          <mc:Choice Requires="wps">
            <w:drawing>
              <wp:anchor distT="0" distB="0" distL="114300" distR="114300" simplePos="0" relativeHeight="251660288" behindDoc="0" locked="0" layoutInCell="1" allowOverlap="1">
                <wp:simplePos x="0" y="0"/>
                <wp:positionH relativeFrom="column">
                  <wp:posOffset>2371725</wp:posOffset>
                </wp:positionH>
                <wp:positionV relativeFrom="paragraph">
                  <wp:posOffset>196215</wp:posOffset>
                </wp:positionV>
                <wp:extent cx="18383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1838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6.75pt;margin-top:15.45pt;height:0pt;width:144.75pt;z-index:251660288;mso-width-relative:page;mso-height-relative:page;" filled="f" stroked="t" coordsize="21600,21600" o:gfxdata="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HCTlNcAAAAJAQAADwAAAAAAAAAB&#10;ACAAAAAiAAAAZHJzL2Rvd25yZXYueG1sUEsBAhQAFAAAAAgAh07iQEjw85fYAQAAlQMAAA4AAAAA&#10;AAAAAQAgAAAAJgEAAGRycy9lMm9Eb2MueG1sUEsFBgAAAAAGAAYAWQEAAHAFAAAAAA==&#10;">
                <v:fill on="f" focussize="0,0"/>
                <v:stroke color="#000000" joinstyle="round"/>
                <v:imagedata o:title=""/>
                <o:lock v:ext="edit" aspectratio="f"/>
              </v:shape>
            </w:pict>
          </mc:Fallback>
        </mc:AlternateContent>
      </w:r>
      <w:r>
        <w:rPr>
          <w:rFonts w:hint="eastAsia" w:ascii="Times New Roman" w:hAnsi="Times New Roman" w:eastAsia="黑体" w:cs="黑体"/>
          <w:sz w:val="28"/>
          <w:szCs w:val="28"/>
        </w:rPr>
        <w:t>项目名称：</w:t>
      </w:r>
      <w:r>
        <w:rPr>
          <w:rFonts w:hint="eastAsia" w:ascii="Times New Roman" w:hAnsi="Times New Roman" w:eastAsia="黑体" w:cs="黑体"/>
          <w:sz w:val="28"/>
          <w:szCs w:val="28"/>
          <w:u w:val="single"/>
        </w:rPr>
        <w:t>螳川干</w:t>
      </w:r>
      <w:r>
        <w:rPr>
          <w:rFonts w:hint="eastAsia" w:ascii="Times New Roman" w:hAnsi="Times New Roman" w:eastAsia="黑体" w:cs="黑体"/>
          <w:sz w:val="28"/>
          <w:szCs w:val="28"/>
        </w:rPr>
        <w:t>部综合素质提升教育培训</w:t>
      </w:r>
      <w:r>
        <w:rPr>
          <w:rFonts w:hint="eastAsia" w:ascii="Times New Roman" w:hAnsi="Times New Roman" w:eastAsia="黑体" w:cs="黑体"/>
          <w:sz w:val="28"/>
          <w:szCs w:val="28"/>
          <w:u w:val="single"/>
        </w:rPr>
        <w:t>经费</w:t>
      </w:r>
    </w:p>
    <w:p>
      <w:pPr>
        <w:adjustRightInd w:val="0"/>
        <w:snapToGrid w:val="0"/>
        <w:spacing w:line="360" w:lineRule="auto"/>
        <w:ind w:left="1260" w:leftChars="600"/>
        <w:rPr>
          <w:rFonts w:ascii="Times New Roman" w:hAnsi="Times New Roman" w:eastAsia="黑体" w:cs="黑体"/>
          <w:sz w:val="28"/>
          <w:szCs w:val="28"/>
        </w:rPr>
      </w:pPr>
      <w:r>
        <w:rPr>
          <w:rFonts w:ascii="Times New Roman" w:hAnsi="Times New Roman" w:eastAsia="黑体" w:cs="黑体"/>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61312;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YRdg1wAAAAkBAAAPAAAAAAAA&#10;AAEAIAAAACIAAABkcnMvZG93bnJldi54bWxQSwECFAAUAAAACACHTuJAoz6A/toBAACVAwAADgAA&#10;AAAAAAABACAAAAAmAQAAZHJzL2Uyb0RvYy54bWxQSwUGAAAAAAYABgBZAQAAcgUAAAAA&#10;">
                <v:fill on="f" focussize="0,0"/>
                <v:stroke color="#000000" joinstyle="round"/>
                <v:imagedata o:title=""/>
                <o:lock v:ext="edit" aspectratio="f"/>
              </v:shape>
            </w:pict>
          </mc:Fallback>
        </mc:AlternateContent>
      </w:r>
      <w:r>
        <w:rPr>
          <w:rFonts w:hint="eastAsia" w:ascii="Times New Roman" w:hAnsi="Times New Roman" w:eastAsia="黑体" w:cs="黑体"/>
          <w:sz w:val="28"/>
          <w:szCs w:val="28"/>
        </w:rPr>
        <w:t>项目单位：中共安宁市委组织部</w:t>
      </w:r>
    </w:p>
    <w:p>
      <w:pPr>
        <w:adjustRightInd w:val="0"/>
        <w:snapToGrid w:val="0"/>
        <w:spacing w:line="360" w:lineRule="auto"/>
        <w:ind w:left="1260" w:leftChars="600"/>
        <w:rPr>
          <w:rFonts w:ascii="Times New Roman" w:hAnsi="Times New Roman" w:eastAsia="黑体" w:cs="黑体"/>
          <w:sz w:val="28"/>
          <w:szCs w:val="28"/>
        </w:rPr>
      </w:pPr>
      <w:r>
        <w:rPr>
          <w:rFonts w:ascii="Times New Roman" w:hAnsi="Times New Roman"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4.25pt;height:0pt;width:196.5pt;z-index:251662336;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8XuJbtoBAACVAwAADgAA&#10;AAAAAAABACAAAAAmAQAAZHJzL2Uyb0RvYy54bWxQSwUGAAAAAAYABgBZAQAAcgUAAAAA&#10;">
                <v:fill on="f" focussize="0,0"/>
                <v:stroke color="#000000" joinstyle="round"/>
                <v:imagedata o:title=""/>
                <o:lock v:ext="edit" aspectratio="f"/>
              </v:shape>
            </w:pict>
          </mc:Fallback>
        </mc:AlternateContent>
      </w:r>
      <w:r>
        <w:rPr>
          <w:rFonts w:hint="eastAsia" w:ascii="Times New Roman" w:hAnsi="Times New Roman" w:eastAsia="黑体" w:cs="黑体"/>
          <w:sz w:val="28"/>
          <w:szCs w:val="28"/>
        </w:rPr>
        <w:t>主管部门：中共安宁市委组织部</w:t>
      </w:r>
    </w:p>
    <w:p>
      <w:pPr>
        <w:adjustRightInd w:val="0"/>
        <w:snapToGrid w:val="0"/>
        <w:spacing w:line="360" w:lineRule="auto"/>
        <w:ind w:left="1260" w:leftChars="600"/>
        <w:rPr>
          <w:rFonts w:ascii="Times New Roman" w:hAnsi="Times New Roman" w:eastAsia="黑体"/>
          <w:sz w:val="28"/>
          <w:szCs w:val="28"/>
        </w:rPr>
      </w:pPr>
      <w:r>
        <w:rPr>
          <w:rFonts w:ascii="Times New Roman" w:hAnsi="Times New Roman" w:eastAsia="黑体" w:cs="黑体"/>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4"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4.25pt;height:0pt;width:196.5pt;z-index:251663360;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reP2WdoBAACVAwAADgAA&#10;AAAAAAABACAAAAAmAQAAZHJzL2Uyb0RvYy54bWxQSwUGAAAAAAYABgBZAQAAcgUAAAAA&#10;">
                <v:fill on="f" focussize="0,0"/>
                <v:stroke color="#000000" joinstyle="round"/>
                <v:imagedata o:title=""/>
                <o:lock v:ext="edit" aspectratio="f"/>
              </v:shape>
            </w:pict>
          </mc:Fallback>
        </mc:AlternateContent>
      </w:r>
      <w:r>
        <w:rPr>
          <w:rFonts w:hint="eastAsia" w:ascii="Times New Roman" w:hAnsi="Times New Roman" w:eastAsia="黑体" w:cs="黑体"/>
          <w:sz w:val="28"/>
          <w:szCs w:val="28"/>
        </w:rPr>
        <w:t>委托单位：安宁市财政局</w:t>
      </w:r>
    </w:p>
    <w:p>
      <w:pPr>
        <w:adjustRightInd w:val="0"/>
        <w:snapToGrid w:val="0"/>
        <w:spacing w:line="360" w:lineRule="auto"/>
        <w:ind w:left="1260" w:leftChars="600"/>
        <w:rPr>
          <w:rFonts w:ascii="Times New Roman" w:hAnsi="Times New Roman" w:eastAsia="黑体"/>
          <w:sz w:val="28"/>
          <w:szCs w:val="28"/>
        </w:rPr>
      </w:pPr>
      <w:r>
        <w:rPr>
          <w:rFonts w:ascii="Times New Roman" w:hAnsi="Times New Roman" w:eastAsia="黑体" w:cs="黑体"/>
          <w:sz w:val="28"/>
          <w:szCs w:val="28"/>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215900</wp:posOffset>
                </wp:positionV>
                <wp:extent cx="282956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829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7pt;height:0pt;width:222.8pt;z-index:251664384;mso-width-relative:page;mso-height-relative:page;" filled="f" stroked="t" coordsize="21600,21600" o:gfxdata="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iBnLNgAAAAJAQAADwAAAAAA&#10;AAABACAAAAAiAAAAZHJzL2Rvd25yZXYueG1sUEsBAhQAFAAAAAgAh07iQOzGFSTaAQAAlQMAAA4A&#10;AAAAAAAAAQAgAAAAJwEAAGRycy9lMm9Eb2MueG1sUEsFBgAAAAAGAAYAWQEAAHMFAAAAAA==&#10;">
                <v:fill on="f" focussize="0,0"/>
                <v:stroke color="#000000" joinstyle="round"/>
                <v:imagedata o:title=""/>
                <o:lock v:ext="edit" aspectratio="f"/>
              </v:shape>
            </w:pict>
          </mc:Fallback>
        </mc:AlternateContent>
      </w:r>
      <w:r>
        <w:rPr>
          <w:rFonts w:hint="eastAsia" w:ascii="Times New Roman" w:hAnsi="Times New Roman" w:eastAsia="黑体" w:cs="黑体"/>
          <w:sz w:val="28"/>
          <w:szCs w:val="28"/>
        </w:rPr>
        <w:t>评价机构：昆明旭坤会计师事务所有限责任公司</w:t>
      </w:r>
    </w:p>
    <w:p>
      <w:pPr>
        <w:spacing w:line="360" w:lineRule="auto"/>
        <w:ind w:left="1218" w:leftChars="580"/>
        <w:rPr>
          <w:rFonts w:ascii="Times New Roman" w:hAnsi="Times New Roman" w:eastAsia="黑体"/>
          <w:b/>
          <w:bCs/>
          <w:sz w:val="28"/>
          <w:szCs w:val="28"/>
        </w:rPr>
      </w:pPr>
    </w:p>
    <w:p>
      <w:pPr>
        <w:pStyle w:val="28"/>
        <w:jc w:val="center"/>
        <w:rPr>
          <w:rFonts w:ascii="Times New Roman" w:hAnsi="Times New Roman" w:eastAsia="黑体" w:cs="黑体"/>
          <w:color w:val="auto"/>
          <w:kern w:val="2"/>
        </w:rPr>
      </w:pPr>
      <w:r>
        <w:rPr>
          <w:rFonts w:hint="eastAsia" w:ascii="Times New Roman" w:hAnsi="Times New Roman" w:eastAsia="黑体" w:cs="黑体"/>
          <w:color w:val="auto"/>
          <w:kern w:val="2"/>
        </w:rPr>
        <w:t>2021年5月</w:t>
      </w:r>
    </w:p>
    <w:p>
      <w:pPr>
        <w:rPr>
          <w:lang w:val="zh-CN"/>
        </w:rPr>
      </w:pPr>
    </w:p>
    <w:sdt>
      <w:sdtPr>
        <w:rPr>
          <w:rFonts w:ascii="Calibri" w:hAnsi="Calibri" w:eastAsia="宋体" w:cs="Times New Roman"/>
          <w:b w:val="0"/>
          <w:bCs w:val="0"/>
          <w:color w:val="auto"/>
          <w:kern w:val="2"/>
          <w:sz w:val="21"/>
          <w:szCs w:val="22"/>
          <w:lang w:val="zh-CN"/>
        </w:rPr>
        <w:id w:val="-1788111947"/>
        <w:docPartObj>
          <w:docPartGallery w:val="Table of Contents"/>
          <w:docPartUnique/>
        </w:docPartObj>
      </w:sdtPr>
      <w:sdtEndPr>
        <w:rPr>
          <w:rFonts w:hint="eastAsia" w:ascii="仿宋_GB2312" w:hAnsi="Calibri" w:eastAsia="仿宋_GB2312" w:cs="Times New Roman"/>
          <w:b w:val="0"/>
          <w:bCs w:val="0"/>
          <w:color w:val="auto"/>
          <w:kern w:val="2"/>
          <w:sz w:val="32"/>
          <w:szCs w:val="32"/>
          <w:lang w:val="zh-CN"/>
        </w:rPr>
      </w:sdtEndPr>
      <w:sdtContent>
        <w:p>
          <w:pPr>
            <w:pStyle w:val="28"/>
            <w:spacing w:line="560" w:lineRule="exact"/>
            <w:jc w:val="center"/>
          </w:pPr>
          <w:r>
            <w:rPr>
              <w:color w:val="000000" w:themeColor="text1"/>
              <w:lang w:val="zh-CN"/>
              <w14:textFill>
                <w14:solidFill>
                  <w14:schemeClr w14:val="tx1"/>
                </w14:solidFill>
              </w14:textFill>
            </w:rPr>
            <w:t>目录</w:t>
          </w: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p>
        <w:p>
          <w:pPr>
            <w:pStyle w:val="8"/>
            <w:tabs>
              <w:tab w:val="right" w:leader="dot" w:pos="8296"/>
            </w:tabs>
            <w:spacing w:line="560" w:lineRule="exact"/>
            <w:rPr>
              <w:rFonts w:ascii="黑体" w:hAnsi="黑体" w:eastAsia="黑体" w:cstheme="minorBidi"/>
              <w:sz w:val="28"/>
              <w:szCs w:val="28"/>
            </w:rPr>
          </w:pPr>
          <w:r>
            <w:fldChar w:fldCharType="begin"/>
          </w:r>
          <w:r>
            <w:instrText xml:space="preserve"> HYPERLINK \l "_Toc73015736" </w:instrText>
          </w:r>
          <w:r>
            <w:fldChar w:fldCharType="separate"/>
          </w:r>
          <w:r>
            <w:rPr>
              <w:rStyle w:val="14"/>
              <w:rFonts w:hint="eastAsia" w:ascii="黑体" w:hAnsi="黑体" w:eastAsia="黑体"/>
              <w:sz w:val="28"/>
              <w:szCs w:val="28"/>
            </w:rPr>
            <w:t>摘要</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_Toc73015736 \h </w:instrText>
          </w:r>
          <w:r>
            <w:rPr>
              <w:rFonts w:ascii="黑体" w:hAnsi="黑体" w:eastAsia="黑体"/>
              <w:sz w:val="28"/>
              <w:szCs w:val="28"/>
            </w:rPr>
            <w:fldChar w:fldCharType="separate"/>
          </w:r>
          <w:r>
            <w:rPr>
              <w:rFonts w:ascii="黑体" w:hAnsi="黑体" w:eastAsia="黑体"/>
              <w:sz w:val="28"/>
              <w:szCs w:val="28"/>
            </w:rPr>
            <w:t>1</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spacing w:line="560" w:lineRule="exact"/>
            <w:rPr>
              <w:rFonts w:ascii="黑体" w:hAnsi="黑体" w:eastAsia="黑体" w:cstheme="minorBidi"/>
              <w:sz w:val="28"/>
              <w:szCs w:val="28"/>
            </w:rPr>
          </w:pPr>
          <w:r>
            <w:fldChar w:fldCharType="begin"/>
          </w:r>
          <w:r>
            <w:instrText xml:space="preserve"> HYPERLINK \l "_Toc73015744" </w:instrText>
          </w:r>
          <w:r>
            <w:fldChar w:fldCharType="separate"/>
          </w:r>
          <w:r>
            <w:rPr>
              <w:rStyle w:val="14"/>
              <w:rFonts w:hint="eastAsia" w:ascii="黑体" w:hAnsi="黑体" w:eastAsia="黑体"/>
              <w:sz w:val="28"/>
              <w:szCs w:val="28"/>
            </w:rPr>
            <w:t>一、项目基本情况</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_Toc73015744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"_Toc73015745" </w:instrText>
          </w:r>
          <w:r>
            <w:fldChar w:fldCharType="separate"/>
          </w:r>
          <w:r>
            <w:rPr>
              <w:rStyle w:val="14"/>
              <w:rFonts w:hint="eastAsia" w:ascii="仿宋_GB2312" w:eastAsia="仿宋_GB2312" w:hAnsiTheme="majorHAnsi" w:cstheme="majorBidi"/>
              <w:bCs/>
              <w:sz w:val="28"/>
              <w:szCs w:val="28"/>
            </w:rPr>
            <w:t>（一）项目立项背景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_Toc73015745 \h </w:instrText>
          </w:r>
          <w:r>
            <w:rPr>
              <w:rFonts w:hint="eastAsia" w:ascii="仿宋_GB2312" w:eastAsia="仿宋_GB2312"/>
              <w:sz w:val="28"/>
              <w:szCs w:val="28"/>
            </w:rPr>
            <w:fldChar w:fldCharType="separate"/>
          </w:r>
          <w:r>
            <w:rPr>
              <w:rFonts w:hint="eastAsia" w:ascii="仿宋_GB2312" w:eastAsia="仿宋_GB2312"/>
              <w:sz w:val="28"/>
              <w:szCs w:val="28"/>
            </w:rPr>
            <w:t>10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"_Toc73015746" </w:instrText>
          </w:r>
          <w:r>
            <w:fldChar w:fldCharType="separate"/>
          </w:r>
          <w:r>
            <w:rPr>
              <w:rStyle w:val="14"/>
              <w:rFonts w:hint="eastAsia" w:ascii="仿宋_GB2312" w:eastAsia="仿宋_GB2312" w:hAnsiTheme="majorHAnsi" w:cstheme="majorBidi"/>
              <w:bCs/>
              <w:sz w:val="28"/>
              <w:szCs w:val="28"/>
            </w:rPr>
            <w:t>（二）项目立项依据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_Toc73015746 \h </w:instrText>
          </w:r>
          <w:r>
            <w:rPr>
              <w:rFonts w:hint="eastAsia" w:ascii="仿宋_GB2312" w:eastAsia="仿宋_GB2312"/>
              <w:sz w:val="28"/>
              <w:szCs w:val="28"/>
            </w:rPr>
            <w:fldChar w:fldCharType="separate"/>
          </w:r>
          <w:r>
            <w:rPr>
              <w:rFonts w:hint="eastAsia" w:ascii="仿宋_GB2312" w:eastAsia="仿宋_GB2312"/>
              <w:sz w:val="28"/>
              <w:szCs w:val="28"/>
            </w:rPr>
            <w:t>11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"_Toc73015747" </w:instrText>
          </w:r>
          <w:r>
            <w:fldChar w:fldCharType="separate"/>
          </w:r>
          <w:r>
            <w:rPr>
              <w:rStyle w:val="14"/>
              <w:rFonts w:hint="eastAsia" w:ascii="仿宋_GB2312" w:eastAsia="仿宋_GB2312" w:hAnsiTheme="majorHAnsi" w:cstheme="majorBidi"/>
              <w:bCs/>
              <w:sz w:val="28"/>
              <w:szCs w:val="28"/>
            </w:rPr>
            <w:t>（三）项目实施内容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_Toc73015747 \h </w:instrText>
          </w:r>
          <w:r>
            <w:rPr>
              <w:rFonts w:hint="eastAsia" w:ascii="仿宋_GB2312" w:eastAsia="仿宋_GB2312"/>
              <w:sz w:val="28"/>
              <w:szCs w:val="28"/>
            </w:rPr>
            <w:fldChar w:fldCharType="separate"/>
          </w:r>
          <w:r>
            <w:rPr>
              <w:rFonts w:hint="eastAsia" w:ascii="仿宋_GB2312" w:eastAsia="仿宋_GB2312"/>
              <w:sz w:val="28"/>
              <w:szCs w:val="28"/>
            </w:rPr>
            <w:t>11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"_Toc73015748" </w:instrText>
          </w:r>
          <w:r>
            <w:fldChar w:fldCharType="separate"/>
          </w:r>
          <w:r>
            <w:rPr>
              <w:rStyle w:val="14"/>
              <w:rFonts w:hint="eastAsia" w:ascii="仿宋_GB2312" w:eastAsia="仿宋_GB2312" w:hAnsiTheme="majorHAnsi" w:cstheme="majorBidi"/>
              <w:bCs/>
              <w:sz w:val="28"/>
              <w:szCs w:val="28"/>
            </w:rPr>
            <w:t>（四）项目实施计划及完成情况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_Toc73015748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"_Toc73015749" </w:instrText>
          </w:r>
          <w:r>
            <w:fldChar w:fldCharType="separate"/>
          </w:r>
          <w:r>
            <w:rPr>
              <w:rStyle w:val="14"/>
              <w:rFonts w:hint="eastAsia" w:ascii="仿宋_GB2312" w:eastAsia="仿宋_GB2312" w:hAnsiTheme="majorHAnsi" w:cstheme="majorBidi"/>
              <w:bCs/>
              <w:sz w:val="28"/>
              <w:szCs w:val="28"/>
            </w:rPr>
            <w:t>（五）项目的组织及管理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_Toc73015749 \h </w:instrText>
          </w:r>
          <w:r>
            <w:rPr>
              <w:rFonts w:hint="eastAsia" w:ascii="仿宋_GB2312" w:eastAsia="仿宋_GB2312"/>
              <w:sz w:val="28"/>
              <w:szCs w:val="28"/>
            </w:rPr>
            <w:fldChar w:fldCharType="separate"/>
          </w:r>
          <w:r>
            <w:rPr>
              <w:rFonts w:hint="eastAsia"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"_Toc73015750" </w:instrText>
          </w:r>
          <w:r>
            <w:fldChar w:fldCharType="separate"/>
          </w:r>
          <w:r>
            <w:rPr>
              <w:rStyle w:val="14"/>
              <w:rFonts w:hint="eastAsia" w:ascii="仿宋_GB2312" w:eastAsia="仿宋_GB2312"/>
              <w:sz w:val="28"/>
              <w:szCs w:val="28"/>
            </w:rPr>
            <w:t>（六）项目绩效目标</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_Toc73015750 \h </w:instrText>
          </w:r>
          <w:r>
            <w:rPr>
              <w:rFonts w:hint="eastAsia" w:ascii="仿宋_GB2312" w:eastAsia="仿宋_GB2312"/>
              <w:sz w:val="28"/>
              <w:szCs w:val="28"/>
            </w:rPr>
            <w:fldChar w:fldCharType="separate"/>
          </w:r>
          <w:r>
            <w:rPr>
              <w:rFonts w:hint="eastAsia"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Style w:val="14"/>
              <w:rFonts w:ascii="黑体" w:hAnsi="黑体" w:eastAsia="黑体"/>
              <w:sz w:val="28"/>
              <w:szCs w:val="28"/>
            </w:rPr>
          </w:pPr>
          <w:r>
            <w:fldChar w:fldCharType="begin"/>
          </w:r>
          <w:r>
            <w:instrText xml:space="preserve"> HYPERLINK \l "_Toc73015751" </w:instrText>
          </w:r>
          <w:r>
            <w:fldChar w:fldCharType="separate"/>
          </w:r>
          <w:r>
            <w:rPr>
              <w:rStyle w:val="14"/>
              <w:rFonts w:hint="eastAsia" w:ascii="黑体" w:hAnsi="黑体" w:eastAsia="黑体"/>
              <w:sz w:val="28"/>
              <w:szCs w:val="28"/>
            </w:rPr>
            <w:t>二、绩效评价工作情况</w:t>
          </w:r>
          <w:r>
            <w:rPr>
              <w:rStyle w:val="14"/>
              <w:rFonts w:ascii="黑体" w:hAnsi="黑体" w:eastAsia="黑体"/>
              <w:sz w:val="28"/>
              <w:szCs w:val="28"/>
            </w:rPr>
            <w:tab/>
          </w:r>
          <w:r>
            <w:rPr>
              <w:rStyle w:val="14"/>
              <w:rFonts w:ascii="黑体" w:hAnsi="黑体" w:eastAsia="黑体"/>
              <w:sz w:val="28"/>
              <w:szCs w:val="28"/>
            </w:rPr>
            <w:fldChar w:fldCharType="begin"/>
          </w:r>
          <w:r>
            <w:rPr>
              <w:rStyle w:val="14"/>
              <w:rFonts w:ascii="黑体" w:hAnsi="黑体" w:eastAsia="黑体"/>
              <w:sz w:val="28"/>
              <w:szCs w:val="28"/>
            </w:rPr>
            <w:instrText xml:space="preserve"> PAGEREF _Toc73015751 \h </w:instrText>
          </w:r>
          <w:r>
            <w:rPr>
              <w:rStyle w:val="14"/>
              <w:rFonts w:ascii="黑体" w:hAnsi="黑体" w:eastAsia="黑体"/>
              <w:sz w:val="28"/>
              <w:szCs w:val="28"/>
            </w:rPr>
            <w:fldChar w:fldCharType="separate"/>
          </w:r>
          <w:r>
            <w:rPr>
              <w:rStyle w:val="14"/>
              <w:rFonts w:ascii="黑体" w:hAnsi="黑体" w:eastAsia="黑体"/>
              <w:sz w:val="28"/>
              <w:szCs w:val="28"/>
            </w:rPr>
            <w:t>20</w:t>
          </w:r>
          <w:r>
            <w:rPr>
              <w:rStyle w:val="14"/>
              <w:rFonts w:ascii="黑体" w:hAnsi="黑体" w:eastAsia="黑体"/>
              <w:sz w:val="28"/>
              <w:szCs w:val="28"/>
            </w:rPr>
            <w:fldChar w:fldCharType="end"/>
          </w:r>
          <w:r>
            <w:rPr>
              <w:rStyle w:val="14"/>
              <w:rFonts w:ascii="黑体" w:hAnsi="黑体" w:eastAsia="黑体"/>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"_Toc73015752" </w:instrText>
          </w:r>
          <w:r>
            <w:fldChar w:fldCharType="separate"/>
          </w:r>
          <w:r>
            <w:rPr>
              <w:rStyle w:val="14"/>
              <w:rFonts w:hint="eastAsia" w:ascii="仿宋_GB2312" w:eastAsia="仿宋_GB2312" w:hAnsiTheme="majorHAnsi" w:cstheme="majorBidi"/>
              <w:bCs/>
              <w:sz w:val="28"/>
              <w:szCs w:val="28"/>
            </w:rPr>
            <w:t>（一）评价的目的</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_Toc73015752 \h </w:instrText>
          </w:r>
          <w:r>
            <w:rPr>
              <w:rFonts w:hint="eastAsia" w:ascii="仿宋_GB2312" w:eastAsia="仿宋_GB2312"/>
              <w:sz w:val="28"/>
              <w:szCs w:val="28"/>
            </w:rPr>
            <w:fldChar w:fldCharType="separate"/>
          </w:r>
          <w:r>
            <w:rPr>
              <w:rFonts w:hint="eastAsia" w:ascii="仿宋_GB2312" w:eastAsia="仿宋_GB2312"/>
              <w:sz w:val="28"/>
              <w:szCs w:val="28"/>
            </w:rPr>
            <w:t>20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"_Toc73015753" </w:instrText>
          </w:r>
          <w:r>
            <w:fldChar w:fldCharType="separate"/>
          </w:r>
          <w:r>
            <w:rPr>
              <w:rStyle w:val="14"/>
              <w:rFonts w:hint="eastAsia" w:ascii="仿宋_GB2312" w:eastAsia="仿宋_GB2312" w:hAnsiTheme="majorHAnsi" w:cstheme="majorBidi"/>
              <w:bCs/>
              <w:sz w:val="28"/>
              <w:szCs w:val="28"/>
            </w:rPr>
            <w:t>（二）绩效评价体系制定过程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_Toc73015753 \h </w:instrText>
          </w:r>
          <w:r>
            <w:rPr>
              <w:rFonts w:hint="eastAsia" w:ascii="仿宋_GB2312" w:eastAsia="仿宋_GB2312"/>
              <w:sz w:val="28"/>
              <w:szCs w:val="28"/>
            </w:rPr>
            <w:fldChar w:fldCharType="separate"/>
          </w:r>
          <w:r>
            <w:rPr>
              <w:rFonts w:hint="eastAsia" w:ascii="仿宋_GB2312" w:eastAsia="仿宋_GB2312"/>
              <w:sz w:val="28"/>
              <w:szCs w:val="28"/>
            </w:rPr>
            <w:t>20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"_Toc73015755" </w:instrText>
          </w:r>
          <w:r>
            <w:fldChar w:fldCharType="separate"/>
          </w:r>
          <w:r>
            <w:rPr>
              <w:rStyle w:val="14"/>
              <w:rFonts w:hint="eastAsia" w:ascii="仿宋_GB2312" w:eastAsia="仿宋_GB2312" w:hAnsiTheme="majorHAnsi" w:cstheme="majorBidi"/>
              <w:bCs/>
              <w:sz w:val="28"/>
              <w:szCs w:val="28"/>
            </w:rPr>
            <w:t>（三）绩效评价原则、评价方法等</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_Toc73015755 \h </w:instrText>
          </w:r>
          <w:r>
            <w:rPr>
              <w:rFonts w:hint="eastAsia" w:ascii="仿宋_GB2312" w:eastAsia="仿宋_GB2312"/>
              <w:sz w:val="28"/>
              <w:szCs w:val="28"/>
            </w:rPr>
            <w:fldChar w:fldCharType="separate"/>
          </w:r>
          <w:r>
            <w:rPr>
              <w:rFonts w:hint="eastAsia" w:ascii="仿宋_GB2312" w:eastAsia="仿宋_GB2312"/>
              <w:sz w:val="28"/>
              <w:szCs w:val="28"/>
            </w:rPr>
            <w:t>21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"_Toc73015756" </w:instrText>
          </w:r>
          <w:r>
            <w:fldChar w:fldCharType="separate"/>
          </w:r>
          <w:r>
            <w:rPr>
              <w:rStyle w:val="14"/>
              <w:rFonts w:hint="eastAsia" w:ascii="仿宋_GB2312" w:eastAsia="仿宋_GB2312" w:hAnsiTheme="majorHAnsi" w:cstheme="majorBidi"/>
              <w:bCs/>
              <w:sz w:val="28"/>
              <w:szCs w:val="28"/>
            </w:rPr>
            <w:t>（四）绩效评价实施过程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_Toc73015756 \h </w:instrText>
          </w:r>
          <w:r>
            <w:rPr>
              <w:rFonts w:hint="eastAsia" w:ascii="仿宋_GB2312" w:eastAsia="仿宋_GB2312"/>
              <w:sz w:val="28"/>
              <w:szCs w:val="28"/>
            </w:rPr>
            <w:fldChar w:fldCharType="separate"/>
          </w:r>
          <w:r>
            <w:rPr>
              <w:rFonts w:hint="eastAsia" w:ascii="仿宋_GB2312" w:eastAsia="仿宋_GB2312"/>
              <w:sz w:val="28"/>
              <w:szCs w:val="28"/>
            </w:rPr>
            <w:t>21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Style w:val="14"/>
              <w:rFonts w:ascii="黑体" w:hAnsi="黑体" w:eastAsia="黑体"/>
              <w:sz w:val="28"/>
              <w:szCs w:val="28"/>
            </w:rPr>
          </w:pPr>
          <w:r>
            <w:fldChar w:fldCharType="begin"/>
          </w:r>
          <w:r>
            <w:instrText xml:space="preserve"> HYPERLINK \l "_Toc73015757" </w:instrText>
          </w:r>
          <w:r>
            <w:fldChar w:fldCharType="separate"/>
          </w:r>
          <w:r>
            <w:rPr>
              <w:rStyle w:val="14"/>
              <w:rFonts w:hint="eastAsia" w:ascii="黑体" w:hAnsi="黑体" w:eastAsia="黑体"/>
              <w:sz w:val="28"/>
              <w:szCs w:val="28"/>
            </w:rPr>
            <w:t>三、评价结论和绩效分析</w:t>
          </w:r>
          <w:r>
            <w:rPr>
              <w:rStyle w:val="14"/>
              <w:rFonts w:ascii="黑体" w:hAnsi="黑体" w:eastAsia="黑体"/>
              <w:sz w:val="28"/>
              <w:szCs w:val="28"/>
            </w:rPr>
            <w:tab/>
          </w:r>
          <w:r>
            <w:rPr>
              <w:rStyle w:val="14"/>
              <w:rFonts w:ascii="黑体" w:hAnsi="黑体" w:eastAsia="黑体"/>
              <w:sz w:val="28"/>
              <w:szCs w:val="28"/>
            </w:rPr>
            <w:fldChar w:fldCharType="begin"/>
          </w:r>
          <w:r>
            <w:rPr>
              <w:rStyle w:val="14"/>
              <w:rFonts w:ascii="黑体" w:hAnsi="黑体" w:eastAsia="黑体"/>
              <w:sz w:val="28"/>
              <w:szCs w:val="28"/>
            </w:rPr>
            <w:instrText xml:space="preserve"> PAGEREF _Toc73015757 \h </w:instrText>
          </w:r>
          <w:r>
            <w:rPr>
              <w:rStyle w:val="14"/>
              <w:rFonts w:ascii="黑体" w:hAnsi="黑体" w:eastAsia="黑体"/>
              <w:sz w:val="28"/>
              <w:szCs w:val="28"/>
            </w:rPr>
            <w:fldChar w:fldCharType="separate"/>
          </w:r>
          <w:r>
            <w:rPr>
              <w:rStyle w:val="14"/>
              <w:rFonts w:ascii="黑体" w:hAnsi="黑体" w:eastAsia="黑体"/>
              <w:sz w:val="28"/>
              <w:szCs w:val="28"/>
            </w:rPr>
            <w:t>22</w:t>
          </w:r>
          <w:r>
            <w:rPr>
              <w:rStyle w:val="14"/>
              <w:rFonts w:ascii="黑体" w:hAnsi="黑体" w:eastAsia="黑体"/>
              <w:sz w:val="28"/>
              <w:szCs w:val="28"/>
            </w:rPr>
            <w:fldChar w:fldCharType="end"/>
          </w:r>
          <w:r>
            <w:rPr>
              <w:rStyle w:val="14"/>
              <w:rFonts w:ascii="黑体" w:hAnsi="黑体" w:eastAsia="黑体"/>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"_Toc73015758" </w:instrText>
          </w:r>
          <w:r>
            <w:fldChar w:fldCharType="separate"/>
          </w:r>
          <w:r>
            <w:rPr>
              <w:rStyle w:val="14"/>
              <w:rFonts w:hint="eastAsia" w:ascii="仿宋_GB2312" w:eastAsia="仿宋_GB2312" w:hAnsiTheme="majorHAnsi" w:cstheme="majorBidi"/>
              <w:bCs/>
              <w:sz w:val="28"/>
              <w:szCs w:val="28"/>
            </w:rPr>
            <w:t>（一）评价结论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_Toc73015758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"_Toc73015759" </w:instrText>
          </w:r>
          <w:r>
            <w:fldChar w:fldCharType="separate"/>
          </w:r>
          <w:r>
            <w:rPr>
              <w:rStyle w:val="14"/>
              <w:rFonts w:hint="eastAsia" w:ascii="仿宋_GB2312" w:eastAsia="仿宋_GB2312" w:hAnsiTheme="majorHAnsi" w:cstheme="majorBidi"/>
              <w:bCs/>
              <w:sz w:val="28"/>
              <w:szCs w:val="28"/>
            </w:rPr>
            <w:t>（二）绩效分析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_Toc73015759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Style w:val="14"/>
              <w:rFonts w:ascii="黑体" w:hAnsi="黑体" w:eastAsia="黑体"/>
              <w:sz w:val="28"/>
              <w:szCs w:val="28"/>
            </w:rPr>
          </w:pPr>
          <w:r>
            <w:fldChar w:fldCharType="begin"/>
          </w:r>
          <w:r>
            <w:instrText xml:space="preserve"> HYPERLINK \l "_Toc73015760" </w:instrText>
          </w:r>
          <w:r>
            <w:fldChar w:fldCharType="separate"/>
          </w:r>
          <w:r>
            <w:rPr>
              <w:rStyle w:val="14"/>
              <w:rFonts w:hint="eastAsia" w:ascii="黑体" w:hAnsi="黑体" w:eastAsia="黑体"/>
              <w:sz w:val="28"/>
              <w:szCs w:val="28"/>
            </w:rPr>
            <w:t>四、项目主要经验及做法、存在的问题和建议</w:t>
          </w:r>
          <w:r>
            <w:rPr>
              <w:rStyle w:val="14"/>
              <w:rFonts w:ascii="黑体" w:hAnsi="黑体" w:eastAsia="黑体"/>
              <w:sz w:val="28"/>
              <w:szCs w:val="28"/>
            </w:rPr>
            <w:tab/>
          </w:r>
          <w:r>
            <w:rPr>
              <w:rStyle w:val="14"/>
              <w:rFonts w:ascii="黑体" w:hAnsi="黑体" w:eastAsia="黑体"/>
              <w:sz w:val="28"/>
              <w:szCs w:val="28"/>
            </w:rPr>
            <w:fldChar w:fldCharType="begin"/>
          </w:r>
          <w:r>
            <w:rPr>
              <w:rStyle w:val="14"/>
              <w:rFonts w:ascii="黑体" w:hAnsi="黑体" w:eastAsia="黑体"/>
              <w:sz w:val="28"/>
              <w:szCs w:val="28"/>
            </w:rPr>
            <w:instrText xml:space="preserve"> PAGEREF _Toc73015760 \h </w:instrText>
          </w:r>
          <w:r>
            <w:rPr>
              <w:rStyle w:val="14"/>
              <w:rFonts w:ascii="黑体" w:hAnsi="黑体" w:eastAsia="黑体"/>
              <w:sz w:val="28"/>
              <w:szCs w:val="28"/>
            </w:rPr>
            <w:fldChar w:fldCharType="separate"/>
          </w:r>
          <w:r>
            <w:rPr>
              <w:rStyle w:val="14"/>
              <w:rFonts w:ascii="黑体" w:hAnsi="黑体" w:eastAsia="黑体"/>
              <w:sz w:val="28"/>
              <w:szCs w:val="28"/>
            </w:rPr>
            <w:t>36</w:t>
          </w:r>
          <w:r>
            <w:rPr>
              <w:rStyle w:val="14"/>
              <w:rFonts w:ascii="黑体" w:hAnsi="黑体" w:eastAsia="黑体"/>
              <w:sz w:val="28"/>
              <w:szCs w:val="28"/>
            </w:rPr>
            <w:fldChar w:fldCharType="end"/>
          </w:r>
          <w:r>
            <w:rPr>
              <w:rStyle w:val="14"/>
              <w:rFonts w:ascii="黑体" w:hAnsi="黑体" w:eastAsia="黑体"/>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"_Toc73015761" </w:instrText>
          </w:r>
          <w:r>
            <w:fldChar w:fldCharType="separate"/>
          </w:r>
          <w:r>
            <w:rPr>
              <w:rStyle w:val="14"/>
              <w:rFonts w:hint="eastAsia" w:ascii="仿宋_GB2312" w:eastAsia="仿宋_GB2312"/>
              <w:sz w:val="28"/>
              <w:szCs w:val="28"/>
            </w:rPr>
            <w:t>（一）主要经验及做法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_Toc73015761 \h </w:instrText>
          </w:r>
          <w:r>
            <w:rPr>
              <w:rFonts w:hint="eastAsia" w:ascii="仿宋_GB2312" w:eastAsia="仿宋_GB2312"/>
              <w:sz w:val="28"/>
              <w:szCs w:val="28"/>
            </w:rPr>
            <w:fldChar w:fldCharType="separate"/>
          </w:r>
          <w:r>
            <w:rPr>
              <w:rFonts w:hint="eastAsia" w:ascii="仿宋_GB2312" w:eastAsia="仿宋_GB2312"/>
              <w:sz w:val="28"/>
              <w:szCs w:val="28"/>
            </w:rPr>
            <w:t>36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"_Toc73015762" </w:instrText>
          </w:r>
          <w:r>
            <w:fldChar w:fldCharType="separate"/>
          </w:r>
          <w:r>
            <w:rPr>
              <w:rStyle w:val="14"/>
              <w:rFonts w:hint="eastAsia" w:ascii="仿宋_GB2312" w:eastAsia="仿宋_GB2312" w:hAnsiTheme="majorHAnsi" w:cstheme="majorBidi"/>
              <w:bCs/>
              <w:sz w:val="28"/>
              <w:szCs w:val="28"/>
            </w:rPr>
            <w:t>（二）存在的问题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_Toc73015762 \h </w:instrText>
          </w:r>
          <w:r>
            <w:rPr>
              <w:rFonts w:hint="eastAsia" w:ascii="仿宋_GB2312" w:eastAsia="仿宋_GB2312"/>
              <w:sz w:val="28"/>
              <w:szCs w:val="28"/>
            </w:rPr>
            <w:fldChar w:fldCharType="separate"/>
          </w:r>
          <w:r>
            <w:rPr>
              <w:rFonts w:hint="eastAsia" w:ascii="仿宋_GB2312" w:eastAsia="仿宋_GB2312"/>
              <w:sz w:val="28"/>
              <w:szCs w:val="28"/>
            </w:rPr>
            <w:t>36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Fonts w:ascii="仿宋_GB2312" w:eastAsia="仿宋_GB2312" w:hAnsiTheme="minorHAnsi" w:cstheme="minorBidi"/>
              <w:sz w:val="28"/>
              <w:szCs w:val="28"/>
            </w:rPr>
          </w:pPr>
          <w:r>
            <w:fldChar w:fldCharType="begin"/>
          </w:r>
          <w:r>
            <w:instrText xml:space="preserve"> HYPERLINK \l "_Toc73015763" </w:instrText>
          </w:r>
          <w:r>
            <w:fldChar w:fldCharType="separate"/>
          </w:r>
          <w:r>
            <w:rPr>
              <w:rStyle w:val="14"/>
              <w:rFonts w:hint="eastAsia" w:ascii="仿宋_GB2312" w:eastAsia="仿宋_GB2312" w:hAnsiTheme="majorHAnsi" w:cstheme="majorBidi"/>
              <w:bCs/>
              <w:sz w:val="28"/>
              <w:szCs w:val="28"/>
            </w:rPr>
            <w:t>（三）建议和改进措施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_Toc73015763 \h </w:instrText>
          </w:r>
          <w:r>
            <w:rPr>
              <w:rFonts w:hint="eastAsia" w:ascii="仿宋_GB2312" w:eastAsia="仿宋_GB2312"/>
              <w:sz w:val="28"/>
              <w:szCs w:val="28"/>
            </w:rPr>
            <w:fldChar w:fldCharType="separate"/>
          </w:r>
          <w:r>
            <w:rPr>
              <w:rFonts w:hint="eastAsia" w:ascii="仿宋_GB2312" w:eastAsia="仿宋_GB2312"/>
              <w:sz w:val="28"/>
              <w:szCs w:val="28"/>
            </w:rPr>
            <w:t>39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spacing w:line="560" w:lineRule="exact"/>
            <w:rPr>
              <w:rStyle w:val="14"/>
              <w:rFonts w:ascii="黑体" w:hAnsi="黑体" w:eastAsia="黑体"/>
              <w:sz w:val="28"/>
              <w:szCs w:val="28"/>
            </w:rPr>
          </w:pPr>
          <w:r>
            <w:fldChar w:fldCharType="begin"/>
          </w:r>
          <w:r>
            <w:instrText xml:space="preserve"> HYPERLINK \l "_Toc73015764" </w:instrText>
          </w:r>
          <w:r>
            <w:fldChar w:fldCharType="separate"/>
          </w:r>
          <w:r>
            <w:rPr>
              <w:rStyle w:val="14"/>
              <w:rFonts w:hint="eastAsia" w:ascii="黑体" w:hAnsi="黑体" w:eastAsia="黑体"/>
              <w:sz w:val="28"/>
              <w:szCs w:val="28"/>
            </w:rPr>
            <w:t>五、附件</w:t>
          </w:r>
          <w:r>
            <w:rPr>
              <w:rStyle w:val="14"/>
              <w:rFonts w:ascii="黑体" w:hAnsi="黑体" w:eastAsia="黑体"/>
              <w:sz w:val="28"/>
              <w:szCs w:val="28"/>
            </w:rPr>
            <w:tab/>
          </w:r>
          <w:r>
            <w:rPr>
              <w:rStyle w:val="14"/>
              <w:rFonts w:ascii="黑体" w:hAnsi="黑体" w:eastAsia="黑体"/>
              <w:sz w:val="28"/>
              <w:szCs w:val="28"/>
            </w:rPr>
            <w:fldChar w:fldCharType="begin"/>
          </w:r>
          <w:r>
            <w:rPr>
              <w:rStyle w:val="14"/>
              <w:rFonts w:ascii="黑体" w:hAnsi="黑体" w:eastAsia="黑体"/>
              <w:sz w:val="28"/>
              <w:szCs w:val="28"/>
            </w:rPr>
            <w:instrText xml:space="preserve"> PAGEREF _Toc73015764 \h </w:instrText>
          </w:r>
          <w:r>
            <w:rPr>
              <w:rStyle w:val="14"/>
              <w:rFonts w:ascii="黑体" w:hAnsi="黑体" w:eastAsia="黑体"/>
              <w:sz w:val="28"/>
              <w:szCs w:val="28"/>
            </w:rPr>
            <w:fldChar w:fldCharType="separate"/>
          </w:r>
          <w:r>
            <w:rPr>
              <w:rStyle w:val="14"/>
              <w:rFonts w:ascii="黑体" w:hAnsi="黑体" w:eastAsia="黑体"/>
              <w:sz w:val="28"/>
              <w:szCs w:val="28"/>
            </w:rPr>
            <w:t>40</w:t>
          </w:r>
          <w:r>
            <w:rPr>
              <w:rStyle w:val="14"/>
              <w:rFonts w:ascii="黑体" w:hAnsi="黑体" w:eastAsia="黑体"/>
              <w:sz w:val="28"/>
              <w:szCs w:val="28"/>
            </w:rPr>
            <w:fldChar w:fldCharType="end"/>
          </w:r>
          <w:r>
            <w:rPr>
              <w:rStyle w:val="14"/>
              <w:rFonts w:ascii="黑体" w:hAnsi="黑体" w:eastAsia="黑体"/>
              <w:sz w:val="28"/>
              <w:szCs w:val="28"/>
            </w:rPr>
            <w:fldChar w:fldCharType="end"/>
          </w:r>
        </w:p>
        <w:p>
          <w:pPr>
            <w:spacing w:line="480" w:lineRule="auto"/>
            <w:ind w:firstLine="643" w:firstLineChars="200"/>
            <w:rPr>
              <w:rFonts w:ascii="仿宋_GB2312" w:eastAsia="仿宋_GB2312"/>
              <w:sz w:val="32"/>
              <w:szCs w:val="32"/>
            </w:rPr>
            <w:sectPr>
              <w:headerReference r:id="rId3" w:type="first"/>
              <w:footerReference r:id="rId4" w:type="default"/>
              <w:pgSz w:w="11906" w:h="16838"/>
              <w:pgMar w:top="1440" w:right="1800" w:bottom="1440" w:left="1800" w:header="851" w:footer="992" w:gutter="0"/>
              <w:cols w:space="425" w:num="1"/>
              <w:docGrid w:type="lines" w:linePitch="312" w:charSpace="0"/>
            </w:sectPr>
          </w:pPr>
          <w:r>
            <w:rPr>
              <w:rFonts w:hint="eastAsia" w:ascii="仿宋_GB2312" w:eastAsia="仿宋_GB2312"/>
              <w:b/>
              <w:bCs/>
              <w:sz w:val="32"/>
              <w:szCs w:val="32"/>
              <w:lang w:val="zh-CN"/>
            </w:rPr>
            <w:fldChar w:fldCharType="end"/>
          </w:r>
        </w:p>
      </w:sdtContent>
    </w:sdt>
    <w:p>
      <w:pPr>
        <w:pStyle w:val="2"/>
        <w:spacing w:line="600" w:lineRule="exact"/>
        <w:ind w:firstLine="480" w:firstLineChars="150"/>
        <w:jc w:val="center"/>
        <w:rPr>
          <w:rFonts w:ascii="黑体" w:hAnsi="黑体" w:eastAsia="黑体"/>
          <w:b w:val="0"/>
          <w:sz w:val="32"/>
          <w:szCs w:val="32"/>
        </w:rPr>
      </w:pPr>
      <w:bookmarkStart w:id="0" w:name="_Toc72934067"/>
      <w:bookmarkStart w:id="1" w:name="_Toc73015736"/>
      <w:bookmarkStart w:id="2" w:name="_Toc48082191"/>
      <w:r>
        <w:rPr>
          <w:rFonts w:hint="eastAsia" w:ascii="黑体" w:hAnsi="黑体" w:eastAsia="黑体"/>
          <w:b w:val="0"/>
          <w:sz w:val="32"/>
          <w:szCs w:val="32"/>
        </w:rPr>
        <w:t>摘要</w:t>
      </w:r>
      <w:bookmarkEnd w:id="0"/>
      <w:bookmarkEnd w:id="1"/>
      <w:bookmarkEnd w:id="2"/>
    </w:p>
    <w:p>
      <w:pPr>
        <w:pStyle w:val="3"/>
        <w:spacing w:line="600" w:lineRule="exact"/>
        <w:ind w:firstLine="640" w:firstLineChars="200"/>
        <w:rPr>
          <w:rFonts w:ascii="黑体" w:hAnsi="黑体" w:eastAsia="黑体"/>
          <w:b w:val="0"/>
        </w:rPr>
      </w:pPr>
      <w:bookmarkStart w:id="3" w:name="_Toc72762036"/>
      <w:bookmarkStart w:id="4" w:name="_Toc48082192"/>
      <w:bookmarkStart w:id="5" w:name="_Toc73015737"/>
      <w:bookmarkStart w:id="6" w:name="_Toc48991963"/>
      <w:bookmarkStart w:id="7" w:name="_Toc53382686"/>
      <w:bookmarkStart w:id="8" w:name="_Toc72934068"/>
      <w:r>
        <w:rPr>
          <w:rFonts w:hint="eastAsia" w:ascii="黑体" w:hAnsi="黑体" w:eastAsia="黑体"/>
          <w:b w:val="0"/>
        </w:rPr>
        <w:t>一、项目概况</w:t>
      </w:r>
      <w:bookmarkEnd w:id="3"/>
      <w:bookmarkEnd w:id="4"/>
      <w:bookmarkEnd w:id="5"/>
      <w:bookmarkEnd w:id="6"/>
      <w:bookmarkEnd w:id="7"/>
      <w:bookmarkEnd w:id="8"/>
    </w:p>
    <w:p>
      <w:pPr>
        <w:spacing w:line="600" w:lineRule="exact"/>
        <w:ind w:firstLine="640" w:firstLineChars="200"/>
        <w:rPr>
          <w:rFonts w:ascii="Times New Roman" w:eastAsia="仿宋_GB2312"/>
          <w:sz w:val="32"/>
        </w:rPr>
      </w:pPr>
      <w:r>
        <w:rPr>
          <w:rFonts w:hint="eastAsia" w:ascii="Times New Roman" w:eastAsia="仿宋_GB2312"/>
          <w:sz w:val="32"/>
        </w:rPr>
        <w:t>为认真贯彻落实《干部教育培训工作条例》《2018-2022年全国干部教育培训规划》《全国党政领导班子建设规划纲要》及省委、昆明市委关于进一步加强党政领导班子和干部队伍建设的部署要求，围绕建设“政治坚定、能力过硬、作风优良、奋发有为”执政骨干队伍的总体要求，紧扣安宁市高质量建设区域性国际中心城市重要一极发展战略，推动安宁新一轮跨越发展，为实现更高质量发展提供坚强的组织保障和人才支撑，中共安宁市委组织部实施螳川干部综合素质提升教育培训。</w:t>
      </w:r>
    </w:p>
    <w:p>
      <w:pPr>
        <w:spacing w:line="600" w:lineRule="exact"/>
        <w:ind w:firstLine="640" w:firstLineChars="200"/>
        <w:rPr>
          <w:rFonts w:ascii="Times New Roman" w:eastAsia="仿宋_GB2312"/>
          <w:sz w:val="32"/>
        </w:rPr>
      </w:pPr>
      <w:r>
        <w:rPr>
          <w:rFonts w:hint="eastAsia" w:ascii="Times New Roman" w:eastAsia="仿宋_GB2312"/>
          <w:sz w:val="32"/>
        </w:rPr>
        <w:t>本次评价项目为：2019年螳川干部综合素质提升教育培训经费。培训项目分为3个类型16个班次。主管部门为安宁市中共市委组织部，实施单位为安宁市中共市委组织部、安宁市发展和改革局等14个单位。</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1.2019年度项目完成情况</w:t>
      </w:r>
    </w:p>
    <w:p>
      <w:pPr>
        <w:spacing w:line="600" w:lineRule="exact"/>
        <w:ind w:firstLine="643" w:firstLineChars="200"/>
        <w:rPr>
          <w:rFonts w:ascii="仿宋_GB2312" w:eastAsia="仿宋_GB2312"/>
          <w:b/>
          <w:sz w:val="32"/>
        </w:rPr>
      </w:pPr>
      <w:r>
        <w:rPr>
          <w:rFonts w:hint="eastAsia" w:ascii="仿宋_GB2312" w:eastAsia="仿宋_GB2312"/>
          <w:b/>
          <w:sz w:val="32"/>
        </w:rPr>
        <w:t>(1)产出目标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截止20</w:t>
      </w:r>
      <w:r>
        <w:rPr>
          <w:rFonts w:hint="eastAsia" w:ascii="Times New Roman" w:hAnsi="Times New Roman" w:eastAsia="仿宋_GB2312"/>
          <w:sz w:val="32"/>
        </w:rPr>
        <w:t>19</w:t>
      </w:r>
      <w:r>
        <w:rPr>
          <w:rFonts w:ascii="Times New Roman" w:hAnsi="Times New Roman" w:eastAsia="仿宋_GB2312"/>
          <w:sz w:val="32"/>
        </w:rPr>
        <w:t>年12月31日，</w:t>
      </w:r>
      <w:r>
        <w:rPr>
          <w:rFonts w:hint="eastAsia" w:ascii="Times New Roman" w:hAnsi="Times New Roman" w:eastAsia="仿宋_GB2312"/>
          <w:sz w:val="32"/>
        </w:rPr>
        <w:t>16个培训班，有 14个培训班已完成，有2个培训班未完成。</w:t>
      </w:r>
      <w:r>
        <w:rPr>
          <w:rFonts w:ascii="Times New Roman" w:hAnsi="Times New Roman" w:eastAsia="仿宋_GB2312"/>
          <w:sz w:val="32"/>
        </w:rPr>
        <w:t>该项目完成情况如下：</w:t>
      </w:r>
    </w:p>
    <w:p>
      <w:pPr>
        <w:spacing w:line="600" w:lineRule="exact"/>
        <w:ind w:firstLine="640"/>
        <w:rPr>
          <w:rFonts w:ascii="仿宋_GB2312" w:eastAsia="仿宋_GB2312"/>
          <w:sz w:val="32"/>
        </w:rPr>
      </w:pPr>
      <w:r>
        <w:rPr>
          <w:rFonts w:hint="eastAsia" w:ascii="仿宋_GB2312" w:eastAsia="仿宋_GB2312"/>
          <w:sz w:val="32"/>
        </w:rPr>
        <w:t>①产出数量方面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培训干部人数697人；干部专业化能力提升班分为12个班，已完成12个班；中青年干部能力提升培训班分为3个班，已完成2个班，1个班未完成；公务员队伍素质提升培训分为1个班，未完成；每期培训均由2-3名市级领导带队；培训干部实现率为100.00%；</w:t>
      </w:r>
    </w:p>
    <w:p>
      <w:pPr>
        <w:spacing w:line="600" w:lineRule="exact"/>
        <w:ind w:firstLine="640" w:firstLineChars="200"/>
        <w:rPr>
          <w:rFonts w:ascii="Times New Roman" w:hAnsi="Times New Roman" w:eastAsia="仿宋_GB2312"/>
          <w:sz w:val="32"/>
        </w:rPr>
      </w:pPr>
      <w:r>
        <w:rPr>
          <w:rFonts w:hint="eastAsia" w:ascii="宋体" w:hAnsi="宋体" w:cs="宋体"/>
          <w:sz w:val="32"/>
        </w:rPr>
        <w:t>②</w:t>
      </w:r>
      <w:r>
        <w:rPr>
          <w:rFonts w:ascii="Times New Roman" w:hAnsi="Times New Roman" w:eastAsia="仿宋_GB2312"/>
          <w:sz w:val="32"/>
        </w:rPr>
        <w:t>产出时效方面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已完成的14个班中有13个班按规定在</w:t>
      </w:r>
      <w:r>
        <w:rPr>
          <w:rFonts w:ascii="Times New Roman" w:hAnsi="Times New Roman" w:eastAsia="仿宋_GB2312"/>
          <w:sz w:val="32"/>
        </w:rPr>
        <w:t>2019年1-9月</w:t>
      </w:r>
      <w:r>
        <w:rPr>
          <w:rFonts w:hint="eastAsia" w:ascii="Times New Roman" w:hAnsi="Times New Roman" w:eastAsia="仿宋_GB2312"/>
          <w:sz w:val="32"/>
        </w:rPr>
        <w:t>内完成，有1个班未按规定在1-9月内完成</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已完成的14个班中有13个异地培训班按规定将</w:t>
      </w:r>
      <w:r>
        <w:rPr>
          <w:rFonts w:ascii="Times New Roman" w:hAnsi="Times New Roman" w:eastAsia="仿宋_GB2312"/>
          <w:sz w:val="32"/>
        </w:rPr>
        <w:t>异地培训单期时间控制在7天以内</w:t>
      </w:r>
      <w:r>
        <w:rPr>
          <w:rFonts w:hint="eastAsia" w:ascii="Times New Roman" w:hAnsi="Times New Roman" w:eastAsia="仿宋_GB2312"/>
          <w:sz w:val="32"/>
        </w:rPr>
        <w:t>，有1个异地培训班未按规定将异地培训单期时间控制在7天以内</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宋体" w:hAnsi="宋体" w:cs="宋体"/>
          <w:sz w:val="32"/>
        </w:rPr>
        <w:t>③</w:t>
      </w:r>
      <w:r>
        <w:rPr>
          <w:rFonts w:ascii="Times New Roman" w:hAnsi="Times New Roman" w:eastAsia="仿宋_GB2312"/>
          <w:sz w:val="32"/>
        </w:rPr>
        <w:t>培训成本控制方面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已完成的14个班中有13个培训班干部教育经费控制在40.00万元以内， 1个培训班干部教育经费超过40.00万元；</w:t>
      </w:r>
    </w:p>
    <w:p>
      <w:pPr>
        <w:spacing w:line="600" w:lineRule="exact"/>
        <w:ind w:firstLine="640" w:firstLineChars="200"/>
        <w:rPr>
          <w:rFonts w:ascii="仿宋_GB2312" w:eastAsia="仿宋_GB2312"/>
          <w:sz w:val="32"/>
        </w:rPr>
      </w:pPr>
      <w:r>
        <w:rPr>
          <w:rFonts w:hint="eastAsia" w:ascii="Times New Roman" w:hAnsi="Times New Roman" w:eastAsia="仿宋_GB2312"/>
          <w:sz w:val="32"/>
        </w:rPr>
        <w:t>已完成的14个班中有11个培训班按规定将异地培训人数控制在50人以内， 3个培训班未按规定将异地培训人数控制在50人以内；</w:t>
      </w:r>
      <w:r>
        <w:rPr>
          <w:rFonts w:hint="eastAsia" w:ascii="仿宋_GB2312" w:eastAsia="仿宋_GB2312"/>
          <w:sz w:val="32"/>
        </w:rPr>
        <w:t>详细情况见下表：</w:t>
      </w:r>
    </w:p>
    <w:tbl>
      <w:tblPr>
        <w:tblStyle w:val="11"/>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92"/>
        <w:gridCol w:w="2551"/>
        <w:gridCol w:w="1563"/>
        <w:gridCol w:w="709"/>
        <w:gridCol w:w="704"/>
        <w:gridCol w:w="62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42"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序号</w:t>
            </w:r>
          </w:p>
        </w:tc>
        <w:tc>
          <w:tcPr>
            <w:tcW w:w="992"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实施单位</w:t>
            </w:r>
          </w:p>
        </w:tc>
        <w:tc>
          <w:tcPr>
            <w:tcW w:w="2551"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培训班</w:t>
            </w:r>
          </w:p>
        </w:tc>
        <w:tc>
          <w:tcPr>
            <w:tcW w:w="1563"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培训时间</w:t>
            </w:r>
          </w:p>
        </w:tc>
        <w:tc>
          <w:tcPr>
            <w:tcW w:w="709" w:type="dxa"/>
            <w:shd w:val="clear" w:color="auto" w:fill="auto"/>
            <w:vAlign w:val="center"/>
          </w:tcPr>
          <w:p>
            <w:pPr>
              <w:widowControl/>
              <w:jc w:val="center"/>
              <w:rPr>
                <w:rFonts w:ascii="Times New Roman" w:hAnsi="Times New Roman" w:eastAsia="仿宋_GB2312"/>
                <w:bCs/>
                <w:color w:val="000000"/>
                <w:kern w:val="0"/>
                <w:sz w:val="18"/>
                <w:szCs w:val="18"/>
              </w:rPr>
            </w:pPr>
            <w:r>
              <w:rPr>
                <w:rFonts w:hint="eastAsia" w:ascii="Times New Roman" w:hAnsi="Times New Roman" w:eastAsia="仿宋_GB2312"/>
                <w:bCs/>
                <w:color w:val="000000"/>
                <w:kern w:val="0"/>
                <w:sz w:val="18"/>
                <w:szCs w:val="18"/>
              </w:rPr>
              <w:t>异地</w:t>
            </w:r>
            <w:r>
              <w:rPr>
                <w:rFonts w:ascii="Times New Roman" w:hAnsi="Times New Roman" w:eastAsia="仿宋_GB2312"/>
                <w:bCs/>
                <w:color w:val="000000"/>
                <w:kern w:val="0"/>
                <w:sz w:val="18"/>
                <w:szCs w:val="18"/>
              </w:rPr>
              <w:t>培训天数</w:t>
            </w:r>
          </w:p>
        </w:tc>
        <w:tc>
          <w:tcPr>
            <w:tcW w:w="704"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培训人数</w:t>
            </w:r>
          </w:p>
        </w:tc>
        <w:tc>
          <w:tcPr>
            <w:tcW w:w="624"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领导人数</w:t>
            </w:r>
          </w:p>
        </w:tc>
        <w:tc>
          <w:tcPr>
            <w:tcW w:w="794"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培训费(单位：万元)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市发改局</w:t>
            </w:r>
          </w:p>
        </w:tc>
        <w:tc>
          <w:tcPr>
            <w:tcW w:w="2551"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经济转型与产业振兴专题培训班</w:t>
            </w:r>
          </w:p>
        </w:tc>
        <w:tc>
          <w:tcPr>
            <w:tcW w:w="1563"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2019年4月13日-4月19日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47</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市农业局</w:t>
            </w:r>
          </w:p>
        </w:tc>
        <w:tc>
          <w:tcPr>
            <w:tcW w:w="2551"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乡村振兴专题培训班</w:t>
            </w:r>
          </w:p>
        </w:tc>
        <w:tc>
          <w:tcPr>
            <w:tcW w:w="1563"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2019年5月11日-5月17日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55</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市委组织部</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金方干部教育培训经费/新村社区干部教学点建设经费/草铺、县街、温泉等街道教学点升级改造经费</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2019年5月12日-5月18日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48</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市投促局</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招商引资专题培训班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2019年6月30日-7月8日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52</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市卫计局</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大健康产业专题培训班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2019年7月8日-7月14日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市委宣传部</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文旅产业发展与新闻发言人专题培训班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2019年8月18日-8月24日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53</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市规划局</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城市规划与建设专题培训班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2019年8月4日-8月10日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市环保局</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生态文明建设专题培训班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2019年7月28日-8月3日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市文明办</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城市管理与文明城市创建专题培训班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2019年7月14日-7月20日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市委编办</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优化营商环境专题培训班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2019年5月6日-5月12日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市委政法委</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创新社会治理专题培训班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2019年6月23日-6月29日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市国资局</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新任国有企业领导人员专题培训班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2019年10月20日-10月26日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13</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市委党校</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年轻后备干部能力提升班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2019年5月5日-5月11日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14</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市委共青团</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年轻干部能力提升班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2019年6月26日-7月2日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市人社局</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公务员队伍素质提升培训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未完成</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44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16</w:t>
            </w:r>
          </w:p>
        </w:tc>
        <w:tc>
          <w:tcPr>
            <w:tcW w:w="99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市委党校</w:t>
            </w:r>
          </w:p>
        </w:tc>
        <w:tc>
          <w:tcPr>
            <w:tcW w:w="255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新提拔干部能力提升班</w:t>
            </w:r>
          </w:p>
        </w:tc>
        <w:tc>
          <w:tcPr>
            <w:tcW w:w="1563"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未完成</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p>
        </w:tc>
        <w:tc>
          <w:tcPr>
            <w:tcW w:w="704" w:type="dxa"/>
            <w:shd w:val="clear" w:color="auto" w:fill="auto"/>
            <w:vAlign w:val="center"/>
          </w:tcPr>
          <w:p>
            <w:pPr>
              <w:widowControl/>
              <w:jc w:val="center"/>
              <w:rPr>
                <w:rFonts w:ascii="Times New Roman" w:hAnsi="Times New Roman" w:eastAsia="仿宋_GB2312"/>
                <w:color w:val="000000"/>
                <w:kern w:val="0"/>
                <w:sz w:val="18"/>
                <w:szCs w:val="18"/>
              </w:rPr>
            </w:pP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548" w:type="dxa"/>
            <w:gridSpan w:val="4"/>
            <w:shd w:val="clear" w:color="auto" w:fill="auto"/>
            <w:vAlign w:val="bottom"/>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合计</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fldChar w:fldCharType="begin"/>
            </w:r>
            <w:r>
              <w:rPr>
                <w:rFonts w:ascii="Times New Roman" w:hAnsi="Times New Roman" w:eastAsia="仿宋_GB2312"/>
                <w:color w:val="000000"/>
                <w:kern w:val="0"/>
                <w:sz w:val="18"/>
                <w:szCs w:val="18"/>
              </w:rPr>
              <w:instrText xml:space="preserve"> =SUM(ABOVE) </w:instrText>
            </w:r>
            <w:r>
              <w:rPr>
                <w:rFonts w:ascii="Times New Roman" w:hAnsi="Times New Roman" w:eastAsia="仿宋_GB2312"/>
                <w:color w:val="000000"/>
                <w:kern w:val="0"/>
                <w:sz w:val="18"/>
                <w:szCs w:val="18"/>
              </w:rPr>
              <w:fldChar w:fldCharType="separate"/>
            </w:r>
            <w:r>
              <w:rPr>
                <w:rFonts w:ascii="Times New Roman" w:hAnsi="Times New Roman" w:eastAsia="仿宋_GB2312"/>
                <w:color w:val="000000"/>
                <w:kern w:val="0"/>
                <w:sz w:val="18"/>
                <w:szCs w:val="18"/>
              </w:rPr>
              <w:t>100</w:t>
            </w:r>
            <w:r>
              <w:rPr>
                <w:rFonts w:ascii="Times New Roman" w:hAnsi="Times New Roman" w:eastAsia="仿宋_GB2312"/>
                <w:color w:val="000000"/>
                <w:kern w:val="0"/>
                <w:sz w:val="18"/>
                <w:szCs w:val="18"/>
              </w:rPr>
              <w:fldChar w:fldCharType="end"/>
            </w:r>
          </w:p>
        </w:tc>
        <w:tc>
          <w:tcPr>
            <w:tcW w:w="704" w:type="dxa"/>
            <w:shd w:val="clear" w:color="auto" w:fill="auto"/>
            <w:vAlign w:val="center"/>
          </w:tcPr>
          <w:p>
            <w:pPr>
              <w:widowControl/>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697</w:t>
            </w:r>
          </w:p>
        </w:tc>
        <w:tc>
          <w:tcPr>
            <w:tcW w:w="624" w:type="dxa"/>
            <w:shd w:val="clear" w:color="auto" w:fill="auto"/>
            <w:vAlign w:val="center"/>
          </w:tcPr>
          <w:p>
            <w:pPr>
              <w:widowControl/>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38</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412.46</w:t>
            </w:r>
          </w:p>
        </w:tc>
      </w:tr>
    </w:tbl>
    <w:p>
      <w:pPr>
        <w:spacing w:line="600" w:lineRule="exact"/>
        <w:ind w:firstLine="321" w:firstLineChars="100"/>
        <w:rPr>
          <w:rFonts w:ascii="仿宋_GB2312" w:eastAsia="仿宋_GB2312"/>
          <w:b/>
          <w:sz w:val="32"/>
        </w:rPr>
      </w:pPr>
      <w:r>
        <w:rPr>
          <w:rFonts w:hint="eastAsia" w:ascii="仿宋_GB2312" w:eastAsia="仿宋_GB2312"/>
          <w:b/>
          <w:sz w:val="32"/>
        </w:rPr>
        <w:t>（2）项目效益</w:t>
      </w:r>
    </w:p>
    <w:p>
      <w:pPr>
        <w:spacing w:line="600" w:lineRule="exact"/>
        <w:ind w:firstLine="640" w:firstLineChars="200"/>
        <w:rPr>
          <w:rFonts w:ascii="仿宋_GB2312" w:eastAsia="仿宋_GB2312"/>
          <w:sz w:val="32"/>
        </w:rPr>
      </w:pPr>
      <w:r>
        <w:rPr>
          <w:rFonts w:hint="eastAsia" w:ascii="仿宋_GB2312" w:eastAsia="仿宋_GB2312"/>
          <w:sz w:val="32"/>
        </w:rPr>
        <w:t>①社会效益</w:t>
      </w:r>
    </w:p>
    <w:p>
      <w:pPr>
        <w:spacing w:line="600" w:lineRule="exact"/>
        <w:ind w:firstLine="640" w:firstLineChars="200"/>
        <w:rPr>
          <w:rFonts w:ascii="仿宋_GB2312" w:eastAsia="仿宋_GB2312"/>
          <w:sz w:val="32"/>
        </w:rPr>
      </w:pPr>
      <w:r>
        <w:rPr>
          <w:rFonts w:hint="eastAsia" w:ascii="仿宋_GB2312" w:eastAsia="仿宋_GB2312"/>
          <w:sz w:val="32"/>
        </w:rPr>
        <w:t>增强参训人员法纪意识：培训结束后，参训人员法纪意识增强。参训人员在心得体会中将思想意识上要“到位”、实际行动上要“到位”、纪律要求上要“到位”进行合理归纳、精选整理。</w:t>
      </w:r>
      <w:r>
        <w:rPr>
          <w:rFonts w:ascii="仿宋_GB2312" w:eastAsia="仿宋_GB2312"/>
          <w:sz w:val="32"/>
        </w:rPr>
        <w:t xml:space="preserve"> </w:t>
      </w:r>
    </w:p>
    <w:p>
      <w:pPr>
        <w:spacing w:line="600" w:lineRule="exact"/>
        <w:ind w:firstLine="640" w:firstLineChars="200"/>
        <w:rPr>
          <w:rFonts w:ascii="仿宋_GB2312" w:eastAsia="仿宋_GB2312"/>
          <w:sz w:val="32"/>
        </w:rPr>
      </w:pPr>
      <w:r>
        <w:rPr>
          <w:rFonts w:hint="eastAsia" w:ascii="仿宋_GB2312" w:eastAsia="仿宋_GB2312"/>
          <w:sz w:val="32"/>
        </w:rPr>
        <w:t>干部在培训基础上进行了制度创新：培训结束后，参训干部将新进管理经验与单位制度相结合，进行讨论交流对其中不足之处进行改革创新。</w:t>
      </w:r>
    </w:p>
    <w:p>
      <w:pPr>
        <w:spacing w:line="600" w:lineRule="exact"/>
        <w:ind w:firstLine="640" w:firstLineChars="200"/>
        <w:rPr>
          <w:rFonts w:ascii="仿宋_GB2312" w:eastAsia="仿宋_GB2312"/>
          <w:sz w:val="32"/>
        </w:rPr>
      </w:pPr>
      <w:r>
        <w:rPr>
          <w:rFonts w:hint="eastAsia" w:ascii="仿宋_GB2312" w:eastAsia="仿宋_GB2312"/>
          <w:sz w:val="32"/>
        </w:rPr>
        <w:t>提升参训人员业务技能：培训结束后，参训人员在医疗技术、管理组织能力等方面的业务技能水平得到进一步提升，为以后工作打下良好基础。</w:t>
      </w:r>
    </w:p>
    <w:p>
      <w:pPr>
        <w:spacing w:line="600" w:lineRule="exact"/>
        <w:ind w:firstLine="640" w:firstLineChars="200"/>
        <w:rPr>
          <w:rFonts w:ascii="仿宋_GB2312" w:eastAsia="仿宋_GB2312"/>
          <w:sz w:val="32"/>
        </w:rPr>
      </w:pPr>
      <w:r>
        <w:rPr>
          <w:rFonts w:hint="eastAsia" w:ascii="仿宋_GB2312" w:eastAsia="仿宋_GB2312"/>
          <w:sz w:val="32"/>
        </w:rPr>
        <w:t>更新干部队伍知识：培训结束后，参训人员在医疗、党建工作建设、新型产业升级、城市管理、市场营销、营商环境等方面获取了新的认识。</w:t>
      </w:r>
    </w:p>
    <w:p>
      <w:pPr>
        <w:spacing w:line="600" w:lineRule="exact"/>
        <w:ind w:firstLine="640" w:firstLineChars="200"/>
        <w:rPr>
          <w:rFonts w:ascii="仿宋_GB2312" w:eastAsia="仿宋_GB2312"/>
          <w:sz w:val="32"/>
        </w:rPr>
      </w:pPr>
      <w:r>
        <w:rPr>
          <w:rFonts w:hint="eastAsia" w:ascii="仿宋_GB2312" w:eastAsia="仿宋_GB2312"/>
          <w:sz w:val="32"/>
        </w:rPr>
        <w:t>②可持续效益</w:t>
      </w:r>
    </w:p>
    <w:p>
      <w:pPr>
        <w:spacing w:line="600" w:lineRule="exact"/>
        <w:ind w:firstLine="640" w:firstLineChars="200"/>
        <w:rPr>
          <w:rFonts w:ascii="仿宋_GB2312" w:eastAsia="仿宋_GB2312"/>
          <w:sz w:val="32"/>
        </w:rPr>
      </w:pPr>
      <w:r>
        <w:rPr>
          <w:rFonts w:hint="eastAsia" w:ascii="仿宋_GB2312" w:eastAsia="仿宋_GB2312"/>
          <w:sz w:val="32"/>
        </w:rPr>
        <w:t>培训结束后，参训人员与各行业专家现场观摩式互动学习，将新进管理模式进行分享交流持续创造了高效管理型领导班子，为后期提高工作效率创造了良好条件。</w:t>
      </w:r>
    </w:p>
    <w:p>
      <w:pPr>
        <w:spacing w:line="600" w:lineRule="exact"/>
        <w:ind w:firstLine="640" w:firstLineChars="200"/>
        <w:rPr>
          <w:rFonts w:ascii="Times New Roman" w:hAnsi="Times New Roman" w:eastAsia="仿宋_GB2312"/>
          <w:sz w:val="32"/>
        </w:rPr>
      </w:pPr>
      <w:r>
        <w:rPr>
          <w:rFonts w:hint="eastAsia" w:ascii="仿宋_GB2312" w:eastAsia="仿宋_GB2312"/>
          <w:sz w:val="32"/>
        </w:rPr>
        <w:t>③受训人员满意度：</w:t>
      </w:r>
      <w:r>
        <w:rPr>
          <w:rFonts w:ascii="Times New Roman" w:hAnsi="Times New Roman" w:eastAsia="仿宋_GB2312"/>
          <w:sz w:val="32"/>
        </w:rPr>
        <w:t>94.86%</w:t>
      </w:r>
    </w:p>
    <w:p>
      <w:pPr>
        <w:spacing w:line="600" w:lineRule="exact"/>
        <w:ind w:firstLine="640" w:firstLineChars="200"/>
        <w:rPr>
          <w:rFonts w:ascii="仿宋_GB2312" w:eastAsia="仿宋_GB2312"/>
          <w:sz w:val="32"/>
        </w:rPr>
      </w:pPr>
      <w:r>
        <w:rPr>
          <w:rFonts w:hint="eastAsia" w:ascii="仿宋_GB2312" w:eastAsia="仿宋_GB2312"/>
          <w:sz w:val="32"/>
        </w:rPr>
        <w:t>（2）资金使用情况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2019年</w:t>
      </w:r>
      <w:r>
        <w:rPr>
          <w:rFonts w:ascii="Times New Roman" w:hAnsi="Times New Roman" w:eastAsia="仿宋_GB2312"/>
          <w:sz w:val="32"/>
        </w:rPr>
        <w:t>项目预算批复资金600.00万元，2019年</w:t>
      </w:r>
      <w:r>
        <w:rPr>
          <w:rFonts w:hint="eastAsia" w:ascii="Times New Roman" w:hAnsi="Times New Roman" w:eastAsia="仿宋_GB2312"/>
          <w:sz w:val="32"/>
        </w:rPr>
        <w:t>安宁市中共市委组织部</w:t>
      </w:r>
      <w:r>
        <w:rPr>
          <w:rFonts w:ascii="Times New Roman" w:hAnsi="Times New Roman" w:eastAsia="仿宋_GB2312"/>
          <w:sz w:val="32"/>
        </w:rPr>
        <w:t>实际支出417.36万元，</w:t>
      </w:r>
      <w:r>
        <w:rPr>
          <w:rFonts w:hint="eastAsia" w:ascii="Times New Roman" w:hAnsi="Times New Roman" w:eastAsia="仿宋_GB2312"/>
          <w:sz w:val="32"/>
        </w:rPr>
        <w:t>结余</w:t>
      </w:r>
      <w:r>
        <w:rPr>
          <w:rFonts w:ascii="Times New Roman" w:hAnsi="Times New Roman" w:eastAsia="仿宋_GB2312"/>
          <w:sz w:val="32"/>
        </w:rPr>
        <w:t>182.64万元</w:t>
      </w:r>
      <w:r>
        <w:rPr>
          <w:rFonts w:hint="eastAsia" w:ascii="Times New Roman" w:hAnsi="Times New Roman" w:eastAsia="仿宋_GB2312"/>
          <w:sz w:val="32"/>
        </w:rPr>
        <w:t>，已上缴安宁市财政局</w:t>
      </w:r>
      <w:r>
        <w:rPr>
          <w:rFonts w:ascii="Times New Roman" w:hAnsi="Times New Roman" w:eastAsia="仿宋_GB2312"/>
          <w:sz w:val="32"/>
        </w:rPr>
        <w:t>。</w:t>
      </w:r>
      <w:r>
        <w:rPr>
          <w:rFonts w:hint="eastAsia" w:ascii="Times New Roman" w:hAnsi="Times New Roman" w:eastAsia="仿宋_GB2312"/>
          <w:sz w:val="32"/>
        </w:rPr>
        <w:t>支出明细具体如下：</w:t>
      </w:r>
    </w:p>
    <w:tbl>
      <w:tblPr>
        <w:tblStyle w:val="11"/>
        <w:tblW w:w="8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4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auto" w:fill="auto"/>
            <w:vAlign w:val="center"/>
          </w:tcPr>
          <w:p>
            <w:pPr>
              <w:widowControl/>
              <w:jc w:val="center"/>
              <w:rPr>
                <w:rFonts w:ascii="仿宋_GB2312" w:hAnsi="仿宋_GB2312" w:eastAsia="仿宋_GB2312" w:cs="仿宋_GB2312"/>
                <w:b/>
                <w:bCs/>
                <w:color w:val="000000"/>
                <w:kern w:val="0"/>
                <w:szCs w:val="21"/>
              </w:rPr>
            </w:pPr>
            <w:bookmarkStart w:id="9" w:name="_Toc48991964"/>
            <w:bookmarkStart w:id="10" w:name="_Toc48082193"/>
            <w:bookmarkStart w:id="11" w:name="_Toc53382687"/>
            <w:r>
              <w:rPr>
                <w:rFonts w:hint="eastAsia" w:ascii="仿宋_GB2312" w:hAnsi="仿宋_GB2312" w:eastAsia="仿宋_GB2312" w:cs="仿宋_GB2312"/>
                <w:b/>
                <w:bCs/>
                <w:color w:val="000000"/>
                <w:kern w:val="0"/>
                <w:szCs w:val="21"/>
              </w:rPr>
              <w:t>实施单位</w:t>
            </w:r>
          </w:p>
        </w:tc>
        <w:tc>
          <w:tcPr>
            <w:tcW w:w="4120" w:type="dxa"/>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支出内容</w:t>
            </w:r>
          </w:p>
        </w:tc>
        <w:tc>
          <w:tcPr>
            <w:tcW w:w="1920" w:type="dxa"/>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支出金额（万元）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市发改局</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经济转型升级与产业振兴专题培训班培训费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市农业局</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乡村振兴战略专题培训班培训费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58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市委组织部</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金方干部教育培训经费/新村社区干部教学点建设经费/草铺、县街、温泉等街道教学点升级改造经费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市投促局</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招商引资专题培训班经费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市卫计局</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大健康专题培训班经费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市委宣传部</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文旅产业发展与新闻发言人专题培训经费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市规划局</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城市规划与建设专题培训班经费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市环保局</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生态文明建设专题培训班经费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市文明办</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城市管理与文明城市创建专题培训班经费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22.9</w:t>
            </w:r>
            <w:r>
              <w:rPr>
                <w:rFonts w:hint="eastAsia" w:ascii="Times New Roman" w:hAnsi="Times New Roman" w:eastAsia="仿宋_GB2312"/>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80"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市委编办</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优化营商环境专题培训班培训费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27.7</w:t>
            </w:r>
            <w:r>
              <w:rPr>
                <w:rFonts w:hint="eastAsia" w:ascii="Times New Roman" w:hAnsi="Times New Roman" w:eastAsia="仿宋_GB2312"/>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市委政法委</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创新社会治理专题培训班培训费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市国资局</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国有企业领导人员专题培训班经费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市委党校</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年轻后备干部能力提升班</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58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市委共青团</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年轻干部专题培训班经费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580" w:type="dxa"/>
            <w:shd w:val="clear" w:color="auto" w:fill="auto"/>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市委组织部</w:t>
            </w:r>
          </w:p>
        </w:tc>
        <w:tc>
          <w:tcPr>
            <w:tcW w:w="4120" w:type="dxa"/>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第五批全国干部学习培训教材订购经费</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4.9</w:t>
            </w:r>
            <w:r>
              <w:rPr>
                <w:rFonts w:hint="eastAsia" w:ascii="Times New Roman" w:hAnsi="Times New Roman" w:eastAsia="仿宋_GB2312"/>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700" w:type="dxa"/>
            <w:gridSpan w:val="2"/>
            <w:shd w:val="clear" w:color="000000" w:fill="FFFFFF"/>
            <w:vAlign w:val="center"/>
          </w:tcPr>
          <w:p>
            <w:pPr>
              <w:widowControl/>
              <w:ind w:firstLine="2940" w:firstLineChars="14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合计</w:t>
            </w:r>
          </w:p>
        </w:tc>
        <w:tc>
          <w:tcPr>
            <w:tcW w:w="192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417.36</w:t>
            </w:r>
          </w:p>
        </w:tc>
      </w:tr>
    </w:tbl>
    <w:p>
      <w:pPr>
        <w:pStyle w:val="3"/>
        <w:spacing w:line="600" w:lineRule="exact"/>
        <w:ind w:firstLine="640" w:firstLineChars="200"/>
        <w:rPr>
          <w:rFonts w:ascii="黑体" w:hAnsi="黑体" w:eastAsia="黑体"/>
          <w:b w:val="0"/>
        </w:rPr>
      </w:pPr>
      <w:bookmarkStart w:id="12" w:name="_Toc72934069"/>
      <w:bookmarkStart w:id="13" w:name="_Toc72938835"/>
      <w:bookmarkStart w:id="14" w:name="_Toc72762037"/>
      <w:bookmarkStart w:id="15" w:name="_Toc73015738"/>
      <w:r>
        <w:rPr>
          <w:rFonts w:hint="eastAsia" w:ascii="黑体" w:hAnsi="黑体" w:eastAsia="黑体"/>
          <w:b w:val="0"/>
        </w:rPr>
        <w:t>二、评价结论</w:t>
      </w:r>
      <w:bookmarkEnd w:id="9"/>
      <w:bookmarkEnd w:id="10"/>
      <w:bookmarkEnd w:id="11"/>
      <w:bookmarkEnd w:id="12"/>
      <w:bookmarkEnd w:id="13"/>
      <w:bookmarkEnd w:id="14"/>
      <w:bookmarkEnd w:id="15"/>
    </w:p>
    <w:p>
      <w:pPr>
        <w:spacing w:line="600" w:lineRule="exact"/>
        <w:ind w:firstLine="640" w:firstLineChars="200"/>
        <w:rPr>
          <w:rFonts w:ascii="Times New Roman" w:eastAsia="仿宋_GB2312"/>
          <w:sz w:val="32"/>
        </w:rPr>
      </w:pPr>
      <w:r>
        <w:rPr>
          <w:rFonts w:ascii="Times New Roman" w:eastAsia="仿宋_GB2312"/>
          <w:sz w:val="32"/>
        </w:rPr>
        <w:t>项目组严格按照</w:t>
      </w:r>
      <w:r>
        <w:rPr>
          <w:rFonts w:hint="eastAsia" w:ascii="Times New Roman" w:eastAsia="仿宋_GB2312"/>
          <w:sz w:val="32"/>
        </w:rPr>
        <w:t>实施</w:t>
      </w:r>
      <w:r>
        <w:rPr>
          <w:rFonts w:ascii="Times New Roman" w:eastAsia="仿宋_GB2312"/>
          <w:sz w:val="32"/>
        </w:rPr>
        <w:t>方案确定的指标体系及评分标准，对</w:t>
      </w:r>
      <w:r>
        <w:rPr>
          <w:rFonts w:hint="eastAsia" w:ascii="Times New Roman" w:eastAsia="仿宋_GB2312"/>
          <w:sz w:val="32"/>
        </w:rPr>
        <w:t>项目</w:t>
      </w:r>
      <w:r>
        <w:rPr>
          <w:rFonts w:ascii="Times New Roman" w:eastAsia="仿宋_GB2312"/>
          <w:sz w:val="32"/>
        </w:rPr>
        <w:t>进行客观评价，项目总体组织比较规范，基本实现预期目标，最终评分结</w:t>
      </w:r>
      <w:r>
        <w:rPr>
          <w:rFonts w:hint="eastAsia" w:ascii="仿宋_GB2312" w:eastAsia="仿宋_GB2312"/>
          <w:sz w:val="32"/>
        </w:rPr>
        <w:t>果为</w:t>
      </w:r>
      <w:r>
        <w:rPr>
          <w:rFonts w:hint="eastAsia" w:ascii="Times New Roman" w:hAnsi="Times New Roman" w:eastAsia="仿宋_GB2312"/>
          <w:sz w:val="32"/>
        </w:rPr>
        <w:t>85.79</w:t>
      </w:r>
      <w:r>
        <w:rPr>
          <w:rFonts w:hint="eastAsia" w:ascii="仿宋_GB2312" w:eastAsia="仿宋_GB2312"/>
          <w:sz w:val="32"/>
        </w:rPr>
        <w:t>分，</w:t>
      </w:r>
      <w:r>
        <w:rPr>
          <w:rFonts w:ascii="Times New Roman" w:eastAsia="仿宋_GB2312"/>
          <w:sz w:val="32"/>
        </w:rPr>
        <w:t>绩效评级为“</w:t>
      </w:r>
      <w:r>
        <w:rPr>
          <w:rFonts w:hint="eastAsia" w:ascii="Times New Roman" w:eastAsia="仿宋_GB2312"/>
          <w:sz w:val="32"/>
        </w:rPr>
        <w:t>良</w:t>
      </w:r>
      <w:r>
        <w:rPr>
          <w:rFonts w:ascii="Times New Roman" w:eastAsia="仿宋_GB2312"/>
          <w:sz w:val="32"/>
        </w:rPr>
        <w:t>”</w:t>
      </w:r>
      <w:r>
        <w:rPr>
          <w:rFonts w:hint="eastAsia" w:ascii="Times New Roman" w:eastAsia="仿宋_GB2312"/>
          <w:sz w:val="32"/>
        </w:rPr>
        <w:t>。</w:t>
      </w:r>
    </w:p>
    <w:tbl>
      <w:tblPr>
        <w:tblStyle w:val="29"/>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3"/>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3"/>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3"/>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3"/>
              <w:spacing w:before="106"/>
              <w:ind w:left="304" w:right="294"/>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15分</w:t>
            </w:r>
          </w:p>
        </w:tc>
        <w:tc>
          <w:tcPr>
            <w:tcW w:w="1701" w:type="dxa"/>
            <w:vAlign w:val="center"/>
          </w:tcPr>
          <w:p>
            <w:pPr>
              <w:pStyle w:val="23"/>
              <w:spacing w:before="106"/>
              <w:ind w:left="304" w:right="292"/>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25分</w:t>
            </w:r>
          </w:p>
        </w:tc>
        <w:tc>
          <w:tcPr>
            <w:tcW w:w="1559" w:type="dxa"/>
            <w:vAlign w:val="center"/>
          </w:tcPr>
          <w:p>
            <w:pPr>
              <w:pStyle w:val="23"/>
              <w:spacing w:before="106"/>
              <w:ind w:left="304" w:right="291"/>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60分</w:t>
            </w:r>
          </w:p>
        </w:tc>
        <w:tc>
          <w:tcPr>
            <w:tcW w:w="1843" w:type="dxa"/>
            <w:vAlign w:val="center"/>
          </w:tcPr>
          <w:p>
            <w:pPr>
              <w:pStyle w:val="23"/>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100</w:t>
            </w:r>
            <w:r>
              <w:rPr>
                <w:rFonts w:hint="eastAsia" w:ascii="Times New Roman" w:hAnsi="Times New Roman" w:eastAsia="宋体" w:cs="Times New Roman"/>
                <w:sz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3"/>
              <w:spacing w:before="103"/>
              <w:ind w:left="7"/>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100%</w:t>
            </w:r>
          </w:p>
        </w:tc>
        <w:tc>
          <w:tcPr>
            <w:tcW w:w="1701" w:type="dxa"/>
            <w:vAlign w:val="center"/>
          </w:tcPr>
          <w:p>
            <w:pPr>
              <w:pStyle w:val="23"/>
              <w:spacing w:before="103"/>
              <w:ind w:left="303" w:right="294"/>
              <w:rPr>
                <w:rFonts w:ascii="Times New Roman" w:hAnsi="Times New Roman" w:eastAsia="宋体" w:cs="Times New Roman"/>
                <w:sz w:val="21"/>
                <w:lang w:eastAsia="en-US"/>
              </w:rPr>
            </w:pPr>
            <w:r>
              <w:rPr>
                <w:rFonts w:hint="eastAsia" w:ascii="Times New Roman"/>
                <w:sz w:val="24"/>
                <w:szCs w:val="24"/>
                <w:lang w:eastAsia="en-US"/>
              </w:rPr>
              <w:t>83.56%</w:t>
            </w:r>
          </w:p>
        </w:tc>
        <w:tc>
          <w:tcPr>
            <w:tcW w:w="1559" w:type="dxa"/>
            <w:vAlign w:val="center"/>
          </w:tcPr>
          <w:p>
            <w:pPr>
              <w:pStyle w:val="23"/>
              <w:spacing w:before="103"/>
              <w:ind w:left="304" w:right="294"/>
              <w:rPr>
                <w:rFonts w:ascii="Times New Roman" w:hAnsi="Times New Roman" w:eastAsia="宋体" w:cs="Times New Roman"/>
                <w:sz w:val="21"/>
                <w:lang w:eastAsia="en-US"/>
              </w:rPr>
            </w:pPr>
            <w:r>
              <w:rPr>
                <w:rFonts w:hint="eastAsia" w:ascii="Times New Roman"/>
                <w:sz w:val="24"/>
                <w:szCs w:val="24"/>
                <w:lang w:eastAsia="en-US"/>
              </w:rPr>
              <w:t>8</w:t>
            </w:r>
            <w:r>
              <w:rPr>
                <w:rFonts w:hint="eastAsia" w:ascii="Times New Roman"/>
                <w:sz w:val="24"/>
                <w:szCs w:val="24"/>
                <w:lang w:eastAsia="zh-CN"/>
              </w:rPr>
              <w:t>3</w:t>
            </w:r>
            <w:r>
              <w:rPr>
                <w:rFonts w:hint="eastAsia" w:ascii="Times New Roman"/>
                <w:sz w:val="24"/>
                <w:szCs w:val="24"/>
                <w:lang w:eastAsia="en-US"/>
              </w:rPr>
              <w:t>.</w:t>
            </w:r>
            <w:r>
              <w:rPr>
                <w:rFonts w:hint="eastAsia" w:ascii="Times New Roman"/>
                <w:sz w:val="24"/>
                <w:szCs w:val="24"/>
                <w:lang w:eastAsia="zh-CN"/>
              </w:rPr>
              <w:t>17</w:t>
            </w:r>
            <w:r>
              <w:rPr>
                <w:rFonts w:hint="eastAsia" w:ascii="Times New Roman"/>
                <w:sz w:val="24"/>
                <w:szCs w:val="24"/>
                <w:lang w:eastAsia="en-US"/>
              </w:rPr>
              <w:t>%</w:t>
            </w:r>
          </w:p>
        </w:tc>
        <w:tc>
          <w:tcPr>
            <w:tcW w:w="1843" w:type="dxa"/>
            <w:vAlign w:val="center"/>
          </w:tcPr>
          <w:p>
            <w:pPr>
              <w:pStyle w:val="23"/>
              <w:spacing w:before="106"/>
              <w:ind w:left="304" w:right="291"/>
              <w:rPr>
                <w:rFonts w:ascii="Times New Roman" w:hAnsi="Times New Roman" w:eastAsia="宋体" w:cs="Times New Roman"/>
                <w:sz w:val="21"/>
                <w:lang w:eastAsia="en-US"/>
              </w:rPr>
            </w:pPr>
            <w:r>
              <w:rPr>
                <w:rFonts w:ascii="Times New Roman"/>
                <w:sz w:val="24"/>
                <w:szCs w:val="24"/>
                <w:lang w:eastAsia="en-US"/>
              </w:rPr>
              <w:fldChar w:fldCharType="begin"/>
            </w:r>
            <w:r>
              <w:rPr>
                <w:rFonts w:ascii="Times New Roman"/>
                <w:sz w:val="24"/>
                <w:szCs w:val="24"/>
                <w:lang w:eastAsia="en-US"/>
              </w:rPr>
              <w:instrText xml:space="preserve"> </w:instrText>
            </w:r>
            <w:r>
              <w:rPr>
                <w:rFonts w:hint="eastAsia" w:ascii="Times New Roman"/>
                <w:sz w:val="24"/>
                <w:szCs w:val="24"/>
                <w:lang w:eastAsia="en-US"/>
              </w:rPr>
              <w:instrText xml:space="preserve">=SUM(ABOVE)*100 \# "0.00%"</w:instrText>
            </w:r>
            <w:r>
              <w:rPr>
                <w:rFonts w:ascii="Times New Roman"/>
                <w:sz w:val="24"/>
                <w:szCs w:val="24"/>
                <w:lang w:eastAsia="en-US"/>
              </w:rPr>
              <w:instrText xml:space="preserve"> </w:instrText>
            </w:r>
            <w:r>
              <w:rPr>
                <w:rFonts w:ascii="Times New Roman"/>
                <w:sz w:val="24"/>
                <w:szCs w:val="24"/>
                <w:lang w:eastAsia="en-US"/>
              </w:rPr>
              <w:fldChar w:fldCharType="separate"/>
            </w:r>
            <w:r>
              <w:rPr>
                <w:rFonts w:hint="eastAsia" w:ascii="Times New Roman"/>
                <w:sz w:val="24"/>
                <w:szCs w:val="24"/>
                <w:lang w:eastAsia="en-US"/>
              </w:rPr>
              <w:t>8</w:t>
            </w:r>
            <w:r>
              <w:rPr>
                <w:rFonts w:hint="eastAsia" w:ascii="Times New Roman"/>
                <w:sz w:val="24"/>
                <w:szCs w:val="24"/>
                <w:lang w:eastAsia="zh-CN"/>
              </w:rPr>
              <w:t>5</w:t>
            </w:r>
            <w:r>
              <w:rPr>
                <w:rFonts w:hint="eastAsia" w:ascii="Times New Roman"/>
                <w:sz w:val="24"/>
                <w:szCs w:val="24"/>
                <w:lang w:eastAsia="en-US"/>
              </w:rPr>
              <w:t>.79%</w:t>
            </w:r>
            <w:r>
              <w:rPr>
                <w:rFonts w:ascii="Times New Roman"/>
                <w:sz w:val="24"/>
                <w:szCs w:val="24"/>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3"/>
              <w:spacing w:before="103"/>
              <w:ind w:left="7"/>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15.00</w:t>
            </w:r>
          </w:p>
        </w:tc>
        <w:tc>
          <w:tcPr>
            <w:tcW w:w="1701" w:type="dxa"/>
            <w:vAlign w:val="center"/>
          </w:tcPr>
          <w:p>
            <w:pPr>
              <w:pStyle w:val="23"/>
              <w:spacing w:before="103"/>
              <w:ind w:left="303" w:right="294"/>
              <w:rPr>
                <w:rFonts w:ascii="Times New Roman" w:hAnsi="Times New Roman" w:eastAsia="宋体" w:cs="Times New Roman"/>
                <w:sz w:val="21"/>
                <w:lang w:eastAsia="en-US"/>
              </w:rPr>
            </w:pPr>
            <w:r>
              <w:rPr>
                <w:rFonts w:hint="eastAsia" w:ascii="Times New Roman"/>
                <w:sz w:val="24"/>
                <w:szCs w:val="24"/>
                <w:lang w:eastAsia="en-US"/>
              </w:rPr>
              <w:t>20.89</w:t>
            </w:r>
          </w:p>
        </w:tc>
        <w:tc>
          <w:tcPr>
            <w:tcW w:w="1559" w:type="dxa"/>
            <w:vAlign w:val="center"/>
          </w:tcPr>
          <w:p>
            <w:pPr>
              <w:pStyle w:val="23"/>
              <w:spacing w:before="106"/>
              <w:ind w:left="304" w:right="291"/>
              <w:rPr>
                <w:rFonts w:ascii="Times New Roman" w:hAnsi="Times New Roman" w:eastAsia="宋体" w:cs="Times New Roman"/>
                <w:sz w:val="21"/>
                <w:lang w:eastAsia="en-US"/>
              </w:rPr>
            </w:pPr>
            <w:r>
              <w:rPr>
                <w:rFonts w:hint="eastAsia" w:ascii="Times New Roman"/>
                <w:sz w:val="24"/>
                <w:szCs w:val="24"/>
                <w:lang w:eastAsia="zh-CN"/>
              </w:rPr>
              <w:t>49</w:t>
            </w:r>
            <w:r>
              <w:rPr>
                <w:rFonts w:hint="eastAsia" w:ascii="Times New Roman"/>
                <w:sz w:val="24"/>
                <w:szCs w:val="24"/>
                <w:lang w:eastAsia="en-US"/>
              </w:rPr>
              <w:t>.90</w:t>
            </w:r>
          </w:p>
        </w:tc>
        <w:tc>
          <w:tcPr>
            <w:tcW w:w="1843" w:type="dxa"/>
            <w:vAlign w:val="center"/>
          </w:tcPr>
          <w:p>
            <w:pPr>
              <w:pStyle w:val="23"/>
              <w:spacing w:before="106"/>
              <w:ind w:left="585" w:right="291"/>
              <w:jc w:val="both"/>
              <w:rPr>
                <w:rFonts w:ascii="Times New Roman" w:hAnsi="Times New Roman" w:eastAsia="宋体" w:cs="Times New Roman"/>
                <w:sz w:val="21"/>
                <w:lang w:eastAsia="en-US"/>
              </w:rPr>
            </w:pPr>
            <w:r>
              <w:rPr>
                <w:rFonts w:hint="eastAsia" w:ascii="Times New Roman"/>
                <w:sz w:val="24"/>
                <w:szCs w:val="24"/>
                <w:lang w:eastAsia="en-US"/>
              </w:rPr>
              <w:t>8</w:t>
            </w:r>
            <w:r>
              <w:rPr>
                <w:rFonts w:hint="eastAsia" w:ascii="Times New Roman"/>
                <w:sz w:val="24"/>
                <w:szCs w:val="24"/>
                <w:lang w:eastAsia="zh-CN"/>
              </w:rPr>
              <w:t>5</w:t>
            </w:r>
            <w:r>
              <w:rPr>
                <w:rFonts w:hint="eastAsia" w:ascii="Times New Roman"/>
                <w:sz w:val="24"/>
                <w:szCs w:val="24"/>
                <w:lang w:eastAsia="en-US"/>
              </w:rPr>
              <w:t>.79</w:t>
            </w:r>
          </w:p>
        </w:tc>
      </w:tr>
    </w:tbl>
    <w:p>
      <w:pPr>
        <w:spacing w:line="600" w:lineRule="exact"/>
        <w:ind w:firstLine="640" w:firstLineChars="200"/>
        <w:rPr>
          <w:rFonts w:ascii="Times New Roman" w:eastAsia="仿宋_GB2312"/>
          <w:sz w:val="32"/>
        </w:rPr>
      </w:pPr>
      <w:bookmarkStart w:id="16" w:name="_Toc72762038"/>
      <w:bookmarkStart w:id="17" w:name="_Toc73007167"/>
      <w:bookmarkStart w:id="18" w:name="_Toc72938836"/>
      <w:bookmarkStart w:id="19" w:name="_Toc73015739"/>
      <w:bookmarkStart w:id="20" w:name="_Toc72934070"/>
      <w:bookmarkStart w:id="21" w:name="_Toc53382688"/>
      <w:bookmarkStart w:id="22" w:name="_Toc48991965"/>
      <w:bookmarkStart w:id="23" w:name="_Toc48082194"/>
      <w:r>
        <w:rPr>
          <w:rFonts w:hint="eastAsia" w:ascii="Times New Roman" w:eastAsia="仿宋_GB2312"/>
          <w:sz w:val="32"/>
        </w:rPr>
        <w:t>本项目总体的实施、管理比较规范，专项经费投入使用后，能够及时完成项目计划的内容，项目实施后，提高了受训人员业务技能、更新了受训人员的知识、增强受训人员自身法纪意识，参训人员对培训项目满意度较高。</w:t>
      </w:r>
      <w:bookmarkEnd w:id="16"/>
      <w:bookmarkEnd w:id="17"/>
      <w:bookmarkEnd w:id="18"/>
      <w:bookmarkEnd w:id="19"/>
      <w:bookmarkEnd w:id="20"/>
    </w:p>
    <w:p>
      <w:pPr>
        <w:pStyle w:val="3"/>
        <w:spacing w:line="600" w:lineRule="exact"/>
        <w:ind w:firstLine="640" w:firstLineChars="200"/>
        <w:rPr>
          <w:rFonts w:ascii="黑体" w:hAnsi="黑体" w:eastAsia="黑体"/>
          <w:b w:val="0"/>
        </w:rPr>
      </w:pPr>
      <w:bookmarkStart w:id="24" w:name="_Toc72934071"/>
      <w:bookmarkStart w:id="25" w:name="_Toc72762039"/>
      <w:bookmarkStart w:id="26" w:name="_Toc73015740"/>
      <w:bookmarkStart w:id="27" w:name="_Toc72938837"/>
      <w:r>
        <w:rPr>
          <w:rFonts w:hint="eastAsia" w:ascii="黑体" w:hAnsi="黑体" w:eastAsia="黑体"/>
          <w:b w:val="0"/>
        </w:rPr>
        <w:t>三、经验、问题和建议</w:t>
      </w:r>
      <w:bookmarkEnd w:id="21"/>
      <w:bookmarkEnd w:id="22"/>
      <w:bookmarkEnd w:id="23"/>
      <w:bookmarkEnd w:id="24"/>
      <w:bookmarkEnd w:id="25"/>
      <w:bookmarkEnd w:id="26"/>
      <w:bookmarkEnd w:id="27"/>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28" w:name="_Toc72934072"/>
      <w:bookmarkStart w:id="29" w:name="_Toc72762040"/>
      <w:bookmarkStart w:id="30" w:name="_Toc73015741"/>
      <w:bookmarkStart w:id="31" w:name="_Toc72938838"/>
      <w:r>
        <w:rPr>
          <w:rFonts w:hint="eastAsia" w:ascii="楷体_GB2312" w:eastAsia="楷体_GB2312" w:hAnsiTheme="majorHAnsi" w:cstheme="majorBidi"/>
          <w:bCs/>
          <w:sz w:val="32"/>
          <w:szCs w:val="32"/>
        </w:rPr>
        <w:t>（一）主要经验及做法</w:t>
      </w:r>
      <w:bookmarkEnd w:id="28"/>
      <w:bookmarkEnd w:id="29"/>
      <w:bookmarkEnd w:id="30"/>
      <w:bookmarkEnd w:id="31"/>
    </w:p>
    <w:p>
      <w:pPr>
        <w:spacing w:line="600" w:lineRule="exact"/>
        <w:ind w:firstLine="643" w:firstLineChars="200"/>
        <w:rPr>
          <w:rFonts w:hint="eastAsia" w:ascii="Times New Roman" w:eastAsia="仿宋_GB2312"/>
          <w:b/>
          <w:sz w:val="32"/>
        </w:rPr>
      </w:pPr>
      <w:r>
        <w:rPr>
          <w:rFonts w:hint="eastAsia" w:ascii="Times New Roman" w:eastAsia="仿宋_GB2312"/>
          <w:b/>
          <w:sz w:val="32"/>
        </w:rPr>
        <w:t xml:space="preserve">统一部署，合理组织规划。 </w:t>
      </w:r>
    </w:p>
    <w:p>
      <w:pPr>
        <w:spacing w:line="600" w:lineRule="exact"/>
        <w:ind w:firstLine="640" w:firstLineChars="200"/>
        <w:rPr>
          <w:rFonts w:ascii="Times New Roman" w:eastAsia="仿宋_GB2312"/>
          <w:sz w:val="32"/>
        </w:rPr>
      </w:pPr>
      <w:r>
        <w:rPr>
          <w:rFonts w:hint="eastAsia" w:ascii="Times New Roman" w:eastAsia="仿宋_GB2312"/>
          <w:sz w:val="32"/>
        </w:rPr>
        <w:t>安宁市“螳川干部综合素质提升行动计划”年度实施方案在市委的统一领导下，市委组织部牵头抓总，相关责任单位具体负责专题培训方案拟制和培训组织。确保</w:t>
      </w:r>
      <w:r>
        <w:rPr>
          <w:rFonts w:hint="eastAsia" w:ascii="Times New Roman" w:eastAsia="仿宋_GB2312"/>
          <w:sz w:val="32"/>
          <w:lang w:eastAsia="zh-CN"/>
        </w:rPr>
        <w:t>安宁</w:t>
      </w:r>
      <w:r>
        <w:rPr>
          <w:rFonts w:hint="eastAsia" w:ascii="Times New Roman" w:eastAsia="仿宋_GB2312"/>
          <w:sz w:val="32"/>
        </w:rPr>
        <w:t>市级党和国家机关机构改革后，教育培训工作秩序不乱、力度不减。课程设置紧密结合安宁市干部队伍实际，紧扣安宁市经济社会发展需要；每个专题必须安排习近平新时代中国特色社会主义思想和党性党风纪教育课程，同时也要把传承和弘扬中华优秀传统文化教育列为重要的培训内容。注重课堂教学与现场教学相结合，充分考虑现场教学点的甄选，使参训学员能够在培训中对标先进找差距、开拓眼界增信心。</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32" w:name="_Toc72934073"/>
      <w:bookmarkStart w:id="33" w:name="_Toc72762041"/>
      <w:bookmarkStart w:id="34" w:name="_Toc73015742"/>
      <w:bookmarkStart w:id="35" w:name="_Toc72938839"/>
      <w:r>
        <w:rPr>
          <w:rFonts w:hint="eastAsia" w:ascii="楷体_GB2312" w:eastAsia="楷体_GB2312" w:hAnsiTheme="majorHAnsi" w:cstheme="majorBidi"/>
          <w:bCs/>
          <w:sz w:val="32"/>
          <w:szCs w:val="32"/>
        </w:rPr>
        <w:t>（二）存在问题及整改情况</w:t>
      </w:r>
      <w:bookmarkEnd w:id="32"/>
      <w:bookmarkEnd w:id="33"/>
      <w:bookmarkEnd w:id="34"/>
      <w:bookmarkEnd w:id="35"/>
    </w:p>
    <w:p>
      <w:pPr>
        <w:spacing w:line="600" w:lineRule="exact"/>
        <w:ind w:firstLine="643" w:firstLineChars="200"/>
        <w:rPr>
          <w:rFonts w:ascii="仿宋_GB2312" w:eastAsia="仿宋_GB2312"/>
          <w:b/>
          <w:sz w:val="32"/>
        </w:rPr>
      </w:pPr>
      <w:r>
        <w:rPr>
          <w:rFonts w:hint="eastAsia" w:ascii="仿宋_GB2312" w:eastAsia="仿宋_GB2312"/>
          <w:b/>
          <w:sz w:val="32"/>
        </w:rPr>
        <w:t>1.预算执行率低</w:t>
      </w:r>
    </w:p>
    <w:p>
      <w:pPr>
        <w:spacing w:line="600" w:lineRule="exact"/>
        <w:ind w:firstLine="640" w:firstLineChars="200"/>
        <w:rPr>
          <w:rFonts w:ascii="楷体_GB2312" w:eastAsia="楷体_GB2312" w:hAnsiTheme="majorHAnsi" w:cstheme="majorBidi"/>
          <w:bCs/>
          <w:sz w:val="32"/>
          <w:szCs w:val="32"/>
        </w:rPr>
      </w:pPr>
      <w:r>
        <w:rPr>
          <w:rFonts w:hint="eastAsia" w:ascii="Times New Roman" w:hAnsi="Times New Roman" w:eastAsia="仿宋_GB2312"/>
          <w:sz w:val="32"/>
        </w:rPr>
        <w:t>2019年项目批复经费为600.00万元，2019年螳川干部综合素质提升教育培训经费支出417.36万元，结余182.64万元。由于新提拔干部能力提升班、公务员队伍素质提升培训未开展，导致预算执行率低，预算执行率69.56%。</w:t>
      </w:r>
    </w:p>
    <w:p>
      <w:pPr>
        <w:spacing w:line="600" w:lineRule="exact"/>
        <w:ind w:firstLine="643" w:firstLineChars="200"/>
        <w:rPr>
          <w:rFonts w:ascii="Times New Roman" w:hAnsi="Times New Roman" w:eastAsia="仿宋_GB2312"/>
          <w:b/>
          <w:sz w:val="32"/>
        </w:rPr>
      </w:pPr>
      <w:r>
        <w:rPr>
          <w:rFonts w:hint="eastAsia" w:ascii="Times New Roman" w:hAnsi="Times New Roman" w:eastAsia="仿宋_GB2312"/>
          <w:b/>
          <w:sz w:val="32"/>
        </w:rPr>
        <w:t>2.实施方案未得到有效执行</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（1）超范围报销交通费</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安宁市中共市委组织部违反中共安宁市委办公室关于印发《安宁市2019年“螳川干部综合素质提升行动计划”实施方案的通知》（安办通〔2018〕105号）文件中“异地培训往返交通费由各派员单位承担（社区干部除外）”规定，报销市环保局、市委组织部、市卫计局、市国资局、市规划局市内交通费25,400.00元。明细如下：</w:t>
      </w:r>
    </w:p>
    <w:tbl>
      <w:tblPr>
        <w:tblStyle w:val="11"/>
        <w:tblW w:w="80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396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市内交通费（单位：元）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市环保局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生态文明建设专题培训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市委组织部</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基层党建专题培训班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市卫计局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大健康产业专题培训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市国资局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新任国有企业领导人员专题培训班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市规划局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城市规划与建设专题培训班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685" w:type="dxa"/>
            <w:gridSpan w:val="2"/>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合计　</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25,400.00</w:t>
            </w:r>
          </w:p>
        </w:tc>
      </w:tr>
    </w:tbl>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（2）培训班人次超标</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市投促局、市委宣传部、市农业局在</w:t>
      </w:r>
      <w:r>
        <w:rPr>
          <w:rFonts w:ascii="Times New Roman" w:hAnsi="Times New Roman" w:eastAsia="仿宋_GB2312"/>
          <w:sz w:val="32"/>
        </w:rPr>
        <w:t>项目实施过程中违反</w:t>
      </w:r>
      <w:r>
        <w:rPr>
          <w:rFonts w:hint="eastAsia" w:ascii="Times New Roman" w:hAnsi="Times New Roman" w:eastAsia="仿宋_GB2312"/>
          <w:sz w:val="32"/>
        </w:rPr>
        <w:t>中共安宁市委办公室关于印发《安宁市2019年“螳川干部综合素质提升行动计划”实施方案的通知》（安办通〔2018〕105号）中文件“</w:t>
      </w:r>
      <w:r>
        <w:rPr>
          <w:rFonts w:ascii="Times New Roman" w:hAnsi="Times New Roman" w:eastAsia="仿宋_GB2312"/>
          <w:sz w:val="32"/>
        </w:rPr>
        <w:t>参训人员控制在50人以内</w:t>
      </w:r>
      <w:r>
        <w:rPr>
          <w:rFonts w:hint="eastAsia" w:ascii="Times New Roman" w:hAnsi="Times New Roman" w:eastAsia="仿宋_GB2312"/>
          <w:sz w:val="32"/>
        </w:rPr>
        <w:t>”规定。在实施过程中市投促局、市委宣传部、市农业局培训班人数超过50人。具体明细如下：</w:t>
      </w:r>
    </w:p>
    <w:tbl>
      <w:tblPr>
        <w:tblStyle w:val="11"/>
        <w:tblW w:w="8188" w:type="dxa"/>
        <w:tblInd w:w="0" w:type="dxa"/>
        <w:tblLayout w:type="fixed"/>
        <w:tblCellMar>
          <w:top w:w="0" w:type="dxa"/>
          <w:left w:w="108" w:type="dxa"/>
          <w:bottom w:w="0" w:type="dxa"/>
          <w:right w:w="108" w:type="dxa"/>
        </w:tblCellMar>
      </w:tblPr>
      <w:tblGrid>
        <w:gridCol w:w="2376"/>
        <w:gridCol w:w="4253"/>
        <w:gridCol w:w="1559"/>
      </w:tblGrid>
      <w:tr>
        <w:tblPrEx>
          <w:tblLayout w:type="fixed"/>
          <w:tblCellMar>
            <w:top w:w="0" w:type="dxa"/>
            <w:left w:w="108" w:type="dxa"/>
            <w:bottom w:w="0" w:type="dxa"/>
            <w:right w:w="108" w:type="dxa"/>
          </w:tblCellMar>
        </w:tblPrEx>
        <w:trPr>
          <w:trHeight w:val="430"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培训班</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人数</w:t>
            </w:r>
          </w:p>
        </w:tc>
      </w:tr>
      <w:tr>
        <w:tblPrEx>
          <w:tblLayout w:type="fixed"/>
          <w:tblCellMar>
            <w:top w:w="0" w:type="dxa"/>
            <w:left w:w="108" w:type="dxa"/>
            <w:bottom w:w="0" w:type="dxa"/>
            <w:right w:w="108" w:type="dxa"/>
          </w:tblCellMar>
        </w:tblPrEx>
        <w:trPr>
          <w:trHeight w:val="423"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市投促局</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招商引资专题培训班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52</w:t>
            </w:r>
          </w:p>
        </w:tc>
      </w:tr>
      <w:tr>
        <w:tblPrEx>
          <w:tblLayout w:type="fixed"/>
          <w:tblCellMar>
            <w:top w:w="0" w:type="dxa"/>
            <w:left w:w="108" w:type="dxa"/>
            <w:bottom w:w="0" w:type="dxa"/>
            <w:right w:w="108" w:type="dxa"/>
          </w:tblCellMar>
        </w:tblPrEx>
        <w:trPr>
          <w:trHeight w:val="415"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市委宣传部</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文旅产业发展与新闻发言人专题培训班</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53</w:t>
            </w:r>
          </w:p>
        </w:tc>
      </w:tr>
      <w:tr>
        <w:tblPrEx>
          <w:tblLayout w:type="fixed"/>
          <w:tblCellMar>
            <w:top w:w="0" w:type="dxa"/>
            <w:left w:w="108" w:type="dxa"/>
            <w:bottom w:w="0" w:type="dxa"/>
            <w:right w:w="108" w:type="dxa"/>
          </w:tblCellMar>
        </w:tblPrEx>
        <w:trPr>
          <w:trHeight w:val="540"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市农业局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乡村振兴战略专题培训班</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55</w:t>
            </w:r>
          </w:p>
        </w:tc>
      </w:tr>
    </w:tbl>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（3）异地培训天数超标</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市投促局</w:t>
      </w:r>
      <w:r>
        <w:rPr>
          <w:rFonts w:ascii="Times New Roman" w:hAnsi="Times New Roman" w:eastAsia="仿宋_GB2312"/>
          <w:sz w:val="32"/>
        </w:rPr>
        <w:t>违反</w:t>
      </w:r>
      <w:r>
        <w:rPr>
          <w:rFonts w:hint="eastAsia" w:ascii="Times New Roman" w:hAnsi="Times New Roman" w:eastAsia="仿宋_GB2312"/>
          <w:sz w:val="32"/>
        </w:rPr>
        <w:t>中共安宁市委办公室关于印发《安宁市2019年“螳川干部综合素质提升行动计划”实施方案的通知》（安办通〔2018〕105号）中“培训班单期时间控制在7天以内”规定。市投促局组织开展的招商引资专题培训班培训时间为2019年6月30日至7月8日培训天数为9天。</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（4）干部教育经费超标准报销</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市投促局</w:t>
      </w:r>
      <w:r>
        <w:rPr>
          <w:rFonts w:ascii="Times New Roman" w:hAnsi="Times New Roman" w:eastAsia="仿宋_GB2312"/>
          <w:sz w:val="32"/>
        </w:rPr>
        <w:t>违反</w:t>
      </w:r>
      <w:r>
        <w:rPr>
          <w:rFonts w:hint="eastAsia" w:ascii="Times New Roman" w:hAnsi="Times New Roman" w:eastAsia="仿宋_GB2312"/>
          <w:sz w:val="32"/>
        </w:rPr>
        <w:t>中共安宁市委办公室关于印发《安宁市2019年“螳川干部综合素质提升行动计划”实施方案的通知》（安办通〔2018〕105号）中“每期培训班使用干部教育经费原则上控制在40万元以内，超出部分由责任单位工作经费开支”</w:t>
      </w:r>
      <w:r>
        <w:rPr>
          <w:rFonts w:hint="eastAsia"/>
        </w:rPr>
        <w:t xml:space="preserve"> </w:t>
      </w:r>
      <w:r>
        <w:rPr>
          <w:rFonts w:hint="eastAsia" w:ascii="Times New Roman" w:hAnsi="Times New Roman" w:eastAsia="仿宋_GB2312"/>
          <w:sz w:val="32"/>
        </w:rPr>
        <w:t>市投促局组织开展的招商引资专题培训班培训费用支出为41.48万元，安宁市中共市委组织部超标准报销培训费用1.48万元。</w:t>
      </w:r>
    </w:p>
    <w:p>
      <w:pPr>
        <w:spacing w:line="600" w:lineRule="exact"/>
        <w:ind w:firstLine="643" w:firstLineChars="200"/>
        <w:rPr>
          <w:rFonts w:ascii="仿宋_GB2312" w:eastAsia="仿宋_GB2312"/>
          <w:b/>
          <w:sz w:val="32"/>
        </w:rPr>
      </w:pPr>
      <w:bookmarkStart w:id="36" w:name="_Toc72762042"/>
      <w:r>
        <w:rPr>
          <w:rFonts w:hint="eastAsia" w:ascii="仿宋_GB2312" w:eastAsia="仿宋_GB2312"/>
          <w:b/>
          <w:sz w:val="32"/>
        </w:rPr>
        <w:t>3.培训方案地点与签订合同</w:t>
      </w:r>
      <w:r>
        <w:rPr>
          <w:rFonts w:hint="eastAsia" w:ascii="仿宋_GB2312" w:eastAsia="仿宋_GB2312"/>
          <w:b/>
          <w:sz w:val="32"/>
          <w:lang w:eastAsia="zh-CN"/>
        </w:rPr>
        <w:t>的培训</w:t>
      </w:r>
      <w:r>
        <w:rPr>
          <w:rFonts w:hint="eastAsia" w:ascii="仿宋_GB2312" w:eastAsia="仿宋_GB2312"/>
          <w:b/>
          <w:sz w:val="32"/>
        </w:rPr>
        <w:t>地点不一致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（1）市投促局培训方案地点为深圳华中科技大学研究培训中心，市投促局签订的培训合同</w:t>
      </w:r>
      <w:r>
        <w:rPr>
          <w:rFonts w:hint="eastAsia" w:ascii="Times New Roman" w:hAnsi="Times New Roman" w:eastAsia="仿宋_GB2312"/>
          <w:sz w:val="32"/>
        </w:rPr>
        <w:t>培训</w:t>
      </w:r>
      <w:r>
        <w:rPr>
          <w:rFonts w:ascii="Times New Roman" w:hAnsi="Times New Roman" w:eastAsia="仿宋_GB2312"/>
          <w:sz w:val="32"/>
        </w:rPr>
        <w:t>地点为武汉大学苏州研究院；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w:t>
      </w:r>
      <w:r>
        <w:rPr>
          <w:rFonts w:hint="eastAsia" w:ascii="Times New Roman" w:hAnsi="Times New Roman" w:eastAsia="仿宋_GB2312"/>
          <w:sz w:val="32"/>
        </w:rPr>
        <w:t>2</w:t>
      </w:r>
      <w:r>
        <w:rPr>
          <w:rFonts w:ascii="Times New Roman" w:hAnsi="Times New Roman" w:eastAsia="仿宋_GB2312"/>
          <w:sz w:val="32"/>
        </w:rPr>
        <w:t>）市国资局培训方案地点为上海复旦大学宁波研究院教育中心，市国资局签订的培训合同</w:t>
      </w:r>
      <w:r>
        <w:rPr>
          <w:rFonts w:hint="eastAsia" w:ascii="Times New Roman" w:hAnsi="Times New Roman" w:eastAsia="仿宋_GB2312"/>
          <w:sz w:val="32"/>
          <w:lang w:eastAsia="zh-CN"/>
        </w:rPr>
        <w:t>培训</w:t>
      </w:r>
      <w:r>
        <w:rPr>
          <w:rFonts w:ascii="Times New Roman" w:hAnsi="Times New Roman" w:eastAsia="仿宋_GB2312"/>
          <w:sz w:val="32"/>
        </w:rPr>
        <w:t>地点为武汉大学苏州研究院。</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37" w:name="_Toc73015743"/>
      <w:bookmarkStart w:id="38" w:name="_Toc72938840"/>
      <w:bookmarkStart w:id="39" w:name="_Toc72934074"/>
      <w:r>
        <w:rPr>
          <w:rFonts w:hint="eastAsia" w:ascii="楷体_GB2312" w:eastAsia="楷体_GB2312" w:hAnsiTheme="majorHAnsi" w:cstheme="majorBidi"/>
          <w:bCs/>
          <w:sz w:val="32"/>
          <w:szCs w:val="32"/>
        </w:rPr>
        <w:t>（三）改进措施及建议</w:t>
      </w:r>
      <w:bookmarkEnd w:id="36"/>
      <w:bookmarkEnd w:id="37"/>
      <w:bookmarkEnd w:id="38"/>
      <w:bookmarkEnd w:id="39"/>
    </w:p>
    <w:p>
      <w:pPr>
        <w:spacing w:line="600" w:lineRule="exact"/>
        <w:ind w:firstLine="643" w:firstLineChars="200"/>
        <w:rPr>
          <w:rFonts w:ascii="仿宋_GB2312" w:eastAsia="仿宋_GB2312"/>
          <w:b/>
          <w:sz w:val="32"/>
        </w:rPr>
      </w:pPr>
      <w:r>
        <w:rPr>
          <w:rFonts w:hint="eastAsia" w:ascii="仿宋_GB2312" w:eastAsia="仿宋_GB2312"/>
          <w:b/>
          <w:sz w:val="32"/>
        </w:rPr>
        <w:t>1.按方案计划完成目标工作</w:t>
      </w:r>
    </w:p>
    <w:p>
      <w:pPr>
        <w:spacing w:line="600" w:lineRule="exact"/>
        <w:ind w:firstLine="640" w:firstLineChars="200"/>
        <w:rPr>
          <w:rFonts w:ascii="Times New Roman" w:hAnsi="Times New Roman" w:eastAsia="仿宋_GB2312"/>
          <w:b/>
          <w:sz w:val="32"/>
        </w:rPr>
      </w:pPr>
      <w:r>
        <w:rPr>
          <w:rFonts w:hint="eastAsia" w:ascii="仿宋_GB2312" w:eastAsia="仿宋_GB2312"/>
          <w:sz w:val="32"/>
        </w:rPr>
        <w:t>建议安宁市中共市委组织部在以后年度的素质提升培训项目中监督落实各实施单位按方案计划完成培训工作，如需调整，需取得相关部门的批复，提高资金使用效益。</w:t>
      </w:r>
    </w:p>
    <w:p>
      <w:pPr>
        <w:spacing w:line="600" w:lineRule="exact"/>
        <w:ind w:firstLine="643" w:firstLineChars="200"/>
        <w:rPr>
          <w:rFonts w:ascii="Times New Roman" w:hAnsi="Times New Roman" w:eastAsia="仿宋_GB2312"/>
          <w:b/>
          <w:sz w:val="32"/>
        </w:rPr>
      </w:pPr>
      <w:r>
        <w:rPr>
          <w:rFonts w:hint="eastAsia" w:ascii="Times New Roman" w:hAnsi="Times New Roman" w:eastAsia="仿宋_GB2312"/>
          <w:b/>
          <w:sz w:val="32"/>
        </w:rPr>
        <w:t>2.加强监管措施执行</w:t>
      </w:r>
    </w:p>
    <w:p>
      <w:pPr>
        <w:spacing w:line="600" w:lineRule="exact"/>
        <w:ind w:firstLine="640" w:firstLineChars="200"/>
        <w:rPr>
          <w:rFonts w:ascii="仿宋_GB2312" w:eastAsia="仿宋_GB2312"/>
          <w:sz w:val="32"/>
        </w:rPr>
      </w:pPr>
      <w:r>
        <w:rPr>
          <w:rFonts w:hint="eastAsia" w:ascii="仿宋_GB2312" w:eastAsia="仿宋_GB2312"/>
          <w:sz w:val="32"/>
        </w:rPr>
        <w:t>建议市委组织部在以后年度按相关规定严格执行监管措施，防止财政资金的浪费，提高财政资金使用效益。</w:t>
      </w:r>
    </w:p>
    <w:p>
      <w:pPr>
        <w:spacing w:line="600" w:lineRule="exact"/>
        <w:ind w:firstLine="643" w:firstLineChars="200"/>
        <w:rPr>
          <w:rFonts w:ascii="仿宋_GB2312" w:eastAsia="仿宋_GB2312"/>
          <w:b/>
          <w:sz w:val="32"/>
        </w:rPr>
      </w:pPr>
      <w:r>
        <w:rPr>
          <w:rFonts w:hint="eastAsia" w:ascii="仿宋_GB2312" w:eastAsia="仿宋_GB2312"/>
          <w:b/>
          <w:sz w:val="32"/>
        </w:rPr>
        <w:t>3.加强培训方案、培训费用的审核</w:t>
      </w:r>
    </w:p>
    <w:p>
      <w:pPr>
        <w:spacing w:line="620" w:lineRule="exact"/>
        <w:ind w:firstLine="664" w:firstLineChars="200"/>
        <w:rPr>
          <w:rFonts w:ascii="仿宋_GB2312" w:hAnsi="方正小标宋简体" w:eastAsia="仿宋_GB2312" w:cs="方正小标宋简体"/>
          <w:spacing w:val="6"/>
          <w:kern w:val="0"/>
          <w:sz w:val="32"/>
          <w:szCs w:val="32"/>
        </w:rPr>
      </w:pPr>
      <w:r>
        <w:rPr>
          <w:rFonts w:hint="eastAsia" w:ascii="仿宋_GB2312" w:hAnsi="方正小标宋简体" w:eastAsia="仿宋_GB2312" w:cs="方正小标宋简体"/>
          <w:spacing w:val="6"/>
          <w:kern w:val="0"/>
          <w:sz w:val="32"/>
          <w:szCs w:val="32"/>
        </w:rPr>
        <w:t>建议市委组织部在以后年度加强培训方案与培训费用的审核，保障培训活动严格按照培训方案执行，对于未按培训方案执行或擅自更改培训方案的培训活动产生的费用不予报销。</w:t>
      </w:r>
    </w:p>
    <w:p>
      <w:pPr>
        <w:spacing w:line="620" w:lineRule="exact"/>
        <w:jc w:val="center"/>
        <w:rPr>
          <w:rFonts w:ascii="方正小标宋_GBK" w:hAnsi="方正小标宋简体" w:eastAsia="方正小标宋_GBK" w:cs="方正小标宋简体"/>
          <w:spacing w:val="6"/>
          <w:kern w:val="0"/>
          <w:sz w:val="40"/>
          <w:szCs w:val="40"/>
        </w:rPr>
      </w:pPr>
    </w:p>
    <w:p>
      <w:pPr>
        <w:spacing w:line="620" w:lineRule="exact"/>
        <w:jc w:val="center"/>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rPr>
          <w:rFonts w:ascii="方正小标宋_GBK" w:hAnsi="方正小标宋简体" w:eastAsia="方正小标宋_GBK" w:cs="方正小标宋简体"/>
          <w:spacing w:val="6"/>
          <w:kern w:val="0"/>
          <w:sz w:val="40"/>
          <w:szCs w:val="40"/>
        </w:rPr>
      </w:pPr>
    </w:p>
    <w:p>
      <w:pPr>
        <w:spacing w:line="620" w:lineRule="exact"/>
        <w:jc w:val="center"/>
        <w:rPr>
          <w:rFonts w:hint="eastAsia" w:ascii="方正小标宋_GBK" w:hAnsi="方正小标宋简体" w:eastAsia="方正小标宋_GBK" w:cs="方正小标宋简体"/>
          <w:spacing w:val="6"/>
          <w:kern w:val="0"/>
          <w:sz w:val="40"/>
          <w:szCs w:val="40"/>
        </w:rPr>
      </w:pPr>
    </w:p>
    <w:p>
      <w:pPr>
        <w:spacing w:line="620" w:lineRule="exact"/>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0"/>
          <w:szCs w:val="40"/>
        </w:rPr>
        <w:t>安宁市2019年度螳川干部综合素质提升</w:t>
      </w:r>
    </w:p>
    <w:p>
      <w:pPr>
        <w:spacing w:line="620" w:lineRule="exact"/>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0"/>
          <w:szCs w:val="40"/>
        </w:rPr>
        <w:t>教育培训经费绩效再评价报告</w:t>
      </w:r>
    </w:p>
    <w:p>
      <w:pPr>
        <w:spacing w:line="620" w:lineRule="exact"/>
        <w:jc w:val="center"/>
        <w:rPr>
          <w:rFonts w:ascii="方正小标宋_GBK" w:hAnsi="Arial Narrow" w:eastAsia="方正小标宋_GBK"/>
          <w:kern w:val="40"/>
          <w:sz w:val="40"/>
          <w:szCs w:val="44"/>
        </w:rPr>
      </w:pP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为科学、规范完成安宁市财政支出绩效评价工作，根据《安宁市财政局关于开展预算绩效再评价工作的公告》的要求，安宁市财政局对2019年螳川干部综合素质提升教育培训经费项目展开绩效评价。昆明旭坤会计师事务所有限责任公司受安宁市财政局委托，对本项目进行具体评价工作，形成评价报告。</w:t>
      </w:r>
    </w:p>
    <w:p>
      <w:pPr>
        <w:pStyle w:val="3"/>
        <w:spacing w:line="600" w:lineRule="exact"/>
        <w:ind w:firstLine="640" w:firstLineChars="200"/>
        <w:rPr>
          <w:rFonts w:ascii="黑体" w:hAnsi="黑体" w:eastAsia="黑体"/>
          <w:b w:val="0"/>
        </w:rPr>
      </w:pPr>
      <w:bookmarkStart w:id="40" w:name="_Toc73015744"/>
      <w:bookmarkStart w:id="41" w:name="_Toc48082198"/>
      <w:r>
        <w:rPr>
          <w:rFonts w:hint="eastAsia" w:ascii="黑体" w:hAnsi="黑体" w:eastAsia="黑体"/>
          <w:b w:val="0"/>
        </w:rPr>
        <w:t>一、项目基本情况</w:t>
      </w:r>
      <w:bookmarkEnd w:id="40"/>
      <w:bookmarkEnd w:id="41"/>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42" w:name="_Toc48082199"/>
      <w:bookmarkStart w:id="43" w:name="_Toc73015745"/>
      <w:r>
        <w:rPr>
          <w:rFonts w:hint="eastAsia" w:ascii="楷体_GB2312" w:eastAsia="楷体_GB2312" w:hAnsiTheme="majorHAnsi" w:cstheme="majorBidi"/>
          <w:bCs/>
          <w:sz w:val="32"/>
          <w:szCs w:val="32"/>
        </w:rPr>
        <w:t>（一）</w:t>
      </w:r>
      <w:bookmarkEnd w:id="42"/>
      <w:r>
        <w:rPr>
          <w:rFonts w:hint="eastAsia" w:ascii="楷体_GB2312" w:eastAsia="楷体_GB2312" w:hAnsiTheme="majorHAnsi" w:cstheme="majorBidi"/>
          <w:bCs/>
          <w:sz w:val="32"/>
          <w:szCs w:val="32"/>
        </w:rPr>
        <w:t>项目立项背景</w:t>
      </w:r>
      <w:bookmarkEnd w:id="43"/>
    </w:p>
    <w:p>
      <w:pPr>
        <w:spacing w:line="600" w:lineRule="exact"/>
        <w:ind w:firstLine="640" w:firstLineChars="200"/>
        <w:rPr>
          <w:rFonts w:ascii="Times New Roman" w:eastAsia="仿宋_GB2312"/>
          <w:sz w:val="32"/>
        </w:rPr>
      </w:pPr>
      <w:r>
        <w:rPr>
          <w:rFonts w:hint="eastAsia" w:ascii="Times New Roman" w:eastAsia="仿宋_GB2312"/>
          <w:sz w:val="32"/>
        </w:rPr>
        <w:t>为认真贯彻落实《干部教育培训工作条例》《2018-2022年全国干部教育培训规划》《全国党政领导班子建设规划纲要》及省委、昆明市委关于进一步加强党政领导班子和干部队伍建设的部署要求，围绕建设“政治坚定、能力过硬、作风优良、奋发有为”执政骨干队伍的总体要求，紧扣安宁市高质量建设区域性国际中心城市重要一极发展战略，推动安宁新一轮跨越发展，为实现更高质量发展提供坚强的组织保障和人才支撑，中共安宁市委组织部实施。</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44" w:name="_Toc73015746"/>
      <w:r>
        <w:rPr>
          <w:rFonts w:hint="eastAsia" w:ascii="楷体_GB2312" w:eastAsia="楷体_GB2312" w:hAnsiTheme="majorHAnsi" w:cstheme="majorBidi"/>
          <w:bCs/>
          <w:sz w:val="32"/>
          <w:szCs w:val="32"/>
        </w:rPr>
        <w:t>（二）项目立项依据</w:t>
      </w:r>
      <w:bookmarkEnd w:id="4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根据中共安宁市委关于深入《实施“螳川干部综合素质提升行动”》的意见（安发〔2018〕22号），</w:t>
      </w:r>
      <w:r>
        <w:rPr>
          <w:rFonts w:hint="eastAsia" w:ascii="Times New Roman" w:hAnsi="Times New Roman" w:eastAsia="仿宋_GB2312"/>
          <w:sz w:val="32"/>
        </w:rPr>
        <w:t>安宁市</w:t>
      </w:r>
      <w:r>
        <w:rPr>
          <w:rFonts w:ascii="Times New Roman" w:hAnsi="Times New Roman" w:eastAsia="仿宋_GB2312"/>
          <w:sz w:val="32"/>
        </w:rPr>
        <w:t>中共市委组织部</w:t>
      </w:r>
      <w:r>
        <w:rPr>
          <w:rFonts w:hint="eastAsia" w:ascii="Times New Roman" w:hAnsi="Times New Roman" w:eastAsia="仿宋_GB2312"/>
          <w:sz w:val="32"/>
        </w:rPr>
        <w:t>根据（安发〔2018〕22号）文件</w:t>
      </w:r>
      <w:r>
        <w:rPr>
          <w:rFonts w:ascii="Times New Roman" w:hAnsi="Times New Roman" w:eastAsia="仿宋_GB2312"/>
          <w:sz w:val="32"/>
        </w:rPr>
        <w:t>制定了《安宁市2019年“螳川干部综合素质提升行动计划”实施方案》（安办通〔2018〕105号）文件</w:t>
      </w:r>
      <w:r>
        <w:rPr>
          <w:rFonts w:hint="eastAsia" w:ascii="Times New Roman" w:hAnsi="Times New Roman" w:eastAsia="仿宋_GB2312"/>
          <w:sz w:val="32"/>
        </w:rPr>
        <w:t>根据该文件</w:t>
      </w:r>
      <w:r>
        <w:rPr>
          <w:rFonts w:ascii="Times New Roman" w:hAnsi="Times New Roman" w:eastAsia="仿宋_GB2312"/>
          <w:sz w:val="32"/>
        </w:rPr>
        <w:t>开展实施本项目。</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45" w:name="_Toc73015747"/>
      <w:r>
        <w:rPr>
          <w:rFonts w:hint="eastAsia" w:ascii="楷体_GB2312" w:eastAsia="楷体_GB2312" w:hAnsiTheme="majorHAnsi" w:cstheme="majorBidi"/>
          <w:bCs/>
          <w:sz w:val="32"/>
          <w:szCs w:val="32"/>
        </w:rPr>
        <w:t>（三）项目实施内容</w:t>
      </w:r>
      <w:bookmarkEnd w:id="45"/>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14个单位共开展16个培训班</w:t>
      </w:r>
      <w:r>
        <w:rPr>
          <w:rFonts w:ascii="Times New Roman" w:hAnsi="Times New Roman" w:eastAsia="仿宋_GB2312"/>
          <w:sz w:val="32"/>
        </w:rPr>
        <w:t>培训具体内容如下：</w:t>
      </w:r>
    </w:p>
    <w:tbl>
      <w:tblPr>
        <w:tblStyle w:val="11"/>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210"/>
        <w:gridCol w:w="2074"/>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25"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类别</w:t>
            </w:r>
          </w:p>
        </w:tc>
        <w:tc>
          <w:tcPr>
            <w:tcW w:w="1210" w:type="dxa"/>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单位</w:t>
            </w:r>
          </w:p>
        </w:tc>
        <w:tc>
          <w:tcPr>
            <w:tcW w:w="2074"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专题培训班</w:t>
            </w:r>
          </w:p>
        </w:tc>
        <w:tc>
          <w:tcPr>
            <w:tcW w:w="4020"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025" w:type="dxa"/>
            <w:vMerge w:val="restart"/>
            <w:shd w:val="clear" w:color="auto" w:fill="auto"/>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领导干部专业化能力提升培训</w:t>
            </w: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市发改局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经济转型与产业振兴专题培训班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 年 4 月 13 日-4 月19 日在中新苏州工业园区学习中国特色社会主义市场经济建设、新常态下宏观经济金融形势、资源型城市产业转型与升级、加快新旧动能转换、产业转型升级策略和产业资源开发等内容。主讲老师为徐学通、李忠、杨上广、沈小鹰、顾清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市农业局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乡村振兴专题培训班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2019年5月11日—5月17日在中国农业大学学习乡村振兴内涵、组织振兴、文化振兴、乡村旅游、农村电商培育、现代农业产业发展和乡村产业融合发展等方面内容，主讲老师为任大鹏、朱启酒、张孝德、王瑞梅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市委组织部</w:t>
            </w:r>
          </w:p>
        </w:tc>
        <w:tc>
          <w:tcPr>
            <w:tcW w:w="2074"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金方干部教育培训经费/新村社区干部教学点建设项目草铺、县街、温泉等街道教学点升级改造项目</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12日—5月18日在上海交通大学干部教育学院学习基层党建工作创新、提高党建科学化水平、社区治理、城市党建、机关党建、农村党建、非公党建和中小学党建等方面内容。主讲老师为刘昀献、吴仲华、冯小敏、王 萍、徐善良、顾美华。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市投促局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招商引资专题培训班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30日—7月8日在深圳华中科技大学研究培训中心学习新经济发展趋势、对外开放与招商引资、投资环境优化、招商引资谈判艺术、产业园区发展、优化营商环境和政府投资基金政策与PPP模式等方面内容。主讲老师为徐学通、杨立勋、宋锦标、周志文、耿旭、张克科、殷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市卫计局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大健康产业专题培训班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2019年7月8日至7月14日在浙江大学学习大健康产业发展前景、大健康与生态农业、医养结合的大健康产业发展、智慧医疗、健康制造、生物医药产业 发展和健康管理等方面内容。主讲老师为张子法、王建勋、董茂生、叶加申。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市委宣传部</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文旅产业发展与新闻发言人专题培训班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2019年8月18日— 8月24日在厦门大学学习文化创意产业园建设、文化特色小镇建设、文旅融合业态创新、互联网+文化产业、乡村旅游规划与开发、智慧旅游、新媒体时代的宣传舆论和全媒体时代话语权等方面内容。主讲老师为陈经超、朱仁显、徐祥清、胡永洪、乐媛、吕志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市规划局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城市规划与建设专题培训班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8月4日-8月10日在同济大学四平路校区学习城市战略规划与空间布局、现代城市管理理念、城乡建设战略、产业规划与产城一体化、新型城镇化建设、现代小城镇建设、低碳城市建设、智慧城市建设和生态城市建设等方面内容。主讲老师为丁晓强、陈秉钊、陈蔚镇、卓建、沈清基、赵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市环保局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生态文明建设专题培训班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2019年7月28日— 8月3日在浙江大学继续教育学院该班重点学习生态文明战略构想、国家绿色经济产业政策、低碳经济产业格局、绿色城市建筑、生态文明村镇建设、循环经济建设、美丽乡村建设和生态城市建设等方面内容主讲老师为朱法君、周文军、沈伟桥、成龙、刘维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市文明办</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城市管理与文明城市创建专题培训班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2019年7月14日— 7月20日在山东大学继续教育学院学习智慧城市、城市形象和城市品牌营销、生态城市管理、基础社会治理与创新和江苏文明城市创建经验等内容。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市委编办</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优化营商环境专题培训班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2019年5月6日-5月12日在浙江大学学习互联网+电子政务、行政审批制度改革、公共资源交易平台整合、优化营商环境和服务型政府建设等内容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市委政法委</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创新社会治理专题培训班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2019年6月23-6月29日四川大学学习社会综合治理与管理创新、法治思维与依法行政、群体性事件预防和处理、城市管理创新和服务型政府建设等内容。主讲老师为雷佳、薛一飞、郭金云、吕志辉。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市国资局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新任国有企业领导人员专题培训班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10月20日-10月26日在上海复旦大学宁波研究院教育中心学习国有企业党组织建设、现代公司治理实践、董事会的规范运作、产业升级与企业变革、资本运作与财务管理、市场营销与生产运营和国有企业管理创新等内容。主讲老师为徐学通、钱朝霞、陆敏、植伟超、陈禹志、赵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25" w:type="dxa"/>
            <w:vMerge w:val="restart"/>
            <w:shd w:val="clear" w:color="auto" w:fill="auto"/>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中青年干部能力提升培训</w:t>
            </w: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市委党校</w:t>
            </w:r>
          </w:p>
        </w:tc>
        <w:tc>
          <w:tcPr>
            <w:tcW w:w="2074"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新提拔干部能力提升班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2019年6月26日-7月2日在红旗精神革命传统教育培训中心学习“自力更生、艰苦创业、团结协作、无私奉献”的红旗渠精神。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市委党校</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年轻后备干部能力提升班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5日-5月11日在云南保山杨善洲干部学院学习杨善洲爱国主义教育基地和干部学院的课程内容，突出针对性和时效性，做到理论和实践相结合，专题辅导与现场观摩相结合，增强参训领导干部党性修养、坚定理想信念、陶冶道德情操、提高自身素质，为领导干部提供高效、有益的红色精神能量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25" w:type="dxa"/>
            <w:vMerge w:val="continue"/>
            <w:vAlign w:val="center"/>
          </w:tcPr>
          <w:p>
            <w:pPr>
              <w:widowControl/>
              <w:jc w:val="left"/>
              <w:rPr>
                <w:rFonts w:ascii="Times New Roman" w:hAnsi="Times New Roman" w:eastAsia="仿宋_GB2312"/>
                <w:color w:val="000000"/>
                <w:kern w:val="0"/>
                <w:sz w:val="18"/>
                <w:szCs w:val="18"/>
              </w:rPr>
            </w:pP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市委共青团</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年轻干部能力提升班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培训内容为针对年轻干部的特点，按照党政领导干部选拨培养有关要求，突出理想信念教育、思想道德教育、优良作风教育和业务能力教育，通过理论教学、团体拓展训练、思维训练等多种方式，加强年轻干部政治训练和专业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25" w:type="dxa"/>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公务员队伍素质提升培训</w:t>
            </w:r>
          </w:p>
        </w:tc>
        <w:tc>
          <w:tcPr>
            <w:tcW w:w="1210" w:type="dxa"/>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市人社局</w:t>
            </w:r>
          </w:p>
        </w:tc>
        <w:tc>
          <w:tcPr>
            <w:tcW w:w="207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公务员队伍素质提升培训</w:t>
            </w:r>
          </w:p>
        </w:tc>
        <w:tc>
          <w:tcPr>
            <w:tcW w:w="4020" w:type="dxa"/>
            <w:shd w:val="clear" w:color="auto" w:fill="auto"/>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培训内容主要以加强思想政治建设、职业道德建设和业务能力建设为重点，积极组织党性教育，开展经济、政治、文化、社会、生态文明、科技等方面知识技能培训，帮助干部完善履行岗位职责必备的基本知识体系。</w:t>
            </w:r>
          </w:p>
        </w:tc>
      </w:tr>
    </w:tbl>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46" w:name="_Toc73015748"/>
      <w:r>
        <w:rPr>
          <w:rFonts w:hint="eastAsia" w:ascii="楷体_GB2312" w:eastAsia="楷体_GB2312" w:hAnsiTheme="majorHAnsi" w:cstheme="majorBidi"/>
          <w:bCs/>
          <w:sz w:val="32"/>
          <w:szCs w:val="32"/>
        </w:rPr>
        <w:t>（四）项目实施计划及完成情况</w:t>
      </w:r>
      <w:bookmarkEnd w:id="46"/>
    </w:p>
    <w:p>
      <w:pPr>
        <w:spacing w:line="600" w:lineRule="exact"/>
        <w:ind w:firstLine="643" w:firstLineChars="200"/>
        <w:rPr>
          <w:rFonts w:hint="eastAsia" w:ascii="仿宋_GB2312" w:eastAsia="仿宋_GB2312"/>
          <w:b/>
          <w:sz w:val="32"/>
          <w:lang w:val="en-US" w:eastAsia="zh-CN"/>
        </w:rPr>
      </w:pPr>
      <w:r>
        <w:rPr>
          <w:rFonts w:hint="eastAsia" w:ascii="仿宋_GB2312" w:eastAsia="仿宋_GB2312"/>
          <w:b/>
          <w:sz w:val="32"/>
        </w:rPr>
        <w:t>1.项目实施计划</w:t>
      </w:r>
      <w:bookmarkStart w:id="81" w:name="_GoBack"/>
      <w:r>
        <w:rPr>
          <w:rFonts w:hint="eastAsia" w:ascii="仿宋_GB2312" w:eastAsia="仿宋_GB2312"/>
          <w:b/>
          <w:sz w:val="32"/>
          <w:highlight w:val="yellow"/>
          <w:lang w:val="en-US" w:eastAsia="zh-CN"/>
        </w:rPr>
        <w:t>50</w:t>
      </w:r>
      <w:bookmarkEnd w:id="81"/>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2019年度项目实施计划如下：</w:t>
      </w:r>
    </w:p>
    <w:p>
      <w:pPr>
        <w:spacing w:line="600" w:lineRule="exact"/>
        <w:ind w:firstLine="640"/>
        <w:rPr>
          <w:rFonts w:ascii="仿宋_GB2312" w:eastAsia="仿宋_GB2312"/>
          <w:sz w:val="32"/>
        </w:rPr>
      </w:pPr>
      <w:r>
        <w:rPr>
          <w:rFonts w:hint="eastAsia" w:ascii="仿宋_GB2312" w:eastAsia="仿宋_GB2312"/>
          <w:sz w:val="32"/>
        </w:rPr>
        <w:t>①产出数量方面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培训干部人数超过550人；</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干部专业化能力提升班分为12个班；</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中青年干部能力提升培训班分为3个班；</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公务员队伍素质提升培训分为1个班；</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每期培训均由2-3名市级领导带队；</w:t>
      </w:r>
    </w:p>
    <w:p>
      <w:pPr>
        <w:spacing w:line="600" w:lineRule="exact"/>
        <w:ind w:firstLine="640" w:firstLineChars="200"/>
        <w:rPr>
          <w:rFonts w:ascii="仿宋_GB2312" w:eastAsia="仿宋_GB2312"/>
          <w:sz w:val="32"/>
        </w:rPr>
      </w:pPr>
      <w:r>
        <w:rPr>
          <w:rFonts w:hint="eastAsia" w:ascii="Times New Roman" w:hAnsi="Times New Roman" w:eastAsia="仿宋_GB2312"/>
          <w:sz w:val="32"/>
        </w:rPr>
        <w:t>培训干部实现率为100.00%；</w:t>
      </w:r>
    </w:p>
    <w:p>
      <w:pPr>
        <w:spacing w:line="600" w:lineRule="exact"/>
        <w:ind w:firstLine="640" w:firstLineChars="200"/>
        <w:rPr>
          <w:rFonts w:ascii="Times New Roman" w:hAnsi="Times New Roman" w:eastAsia="仿宋_GB2312"/>
          <w:sz w:val="32"/>
        </w:rPr>
      </w:pPr>
      <w:r>
        <w:rPr>
          <w:rFonts w:hint="eastAsia" w:ascii="宋体" w:hAnsi="宋体" w:cs="宋体"/>
          <w:sz w:val="32"/>
        </w:rPr>
        <w:t>②</w:t>
      </w:r>
      <w:r>
        <w:rPr>
          <w:rFonts w:ascii="Times New Roman" w:hAnsi="Times New Roman" w:eastAsia="仿宋_GB2312"/>
          <w:sz w:val="32"/>
        </w:rPr>
        <w:t>产出时效方面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培训时间安排在2019年1-9月；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异地培训班单期时间控制在7天以内；</w:t>
      </w:r>
    </w:p>
    <w:p>
      <w:pPr>
        <w:spacing w:line="600" w:lineRule="exact"/>
        <w:ind w:firstLine="640" w:firstLineChars="200"/>
        <w:rPr>
          <w:rFonts w:ascii="Times New Roman" w:hAnsi="Times New Roman" w:eastAsia="仿宋_GB2312"/>
          <w:sz w:val="32"/>
        </w:rPr>
      </w:pPr>
      <w:r>
        <w:rPr>
          <w:rFonts w:hint="eastAsia" w:ascii="宋体" w:hAnsi="宋体" w:cs="宋体"/>
          <w:sz w:val="32"/>
        </w:rPr>
        <w:t>③</w:t>
      </w:r>
      <w:r>
        <w:rPr>
          <w:rFonts w:ascii="Times New Roman" w:hAnsi="Times New Roman" w:eastAsia="仿宋_GB2312"/>
          <w:sz w:val="32"/>
        </w:rPr>
        <w:t>培训成本控制方面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每期培训班使用干部教育经费控制在40</w:t>
      </w:r>
      <w:r>
        <w:rPr>
          <w:rFonts w:hint="eastAsia" w:ascii="Times New Roman" w:hAnsi="Times New Roman" w:eastAsia="仿宋_GB2312"/>
          <w:sz w:val="32"/>
        </w:rPr>
        <w:t>.00</w:t>
      </w:r>
      <w:r>
        <w:rPr>
          <w:rFonts w:ascii="Times New Roman" w:hAnsi="Times New Roman" w:eastAsia="仿宋_GB2312"/>
          <w:sz w:val="32"/>
        </w:rPr>
        <w:t>万</w:t>
      </w:r>
      <w:r>
        <w:rPr>
          <w:rFonts w:hint="eastAsia" w:ascii="Times New Roman" w:hAnsi="Times New Roman" w:eastAsia="仿宋_GB2312"/>
          <w:sz w:val="32"/>
        </w:rPr>
        <w:t>元</w:t>
      </w:r>
      <w:r>
        <w:rPr>
          <w:rFonts w:ascii="Times New Roman" w:hAnsi="Times New Roman" w:eastAsia="仿宋_GB2312"/>
          <w:sz w:val="32"/>
        </w:rPr>
        <w:t>以内；</w:t>
      </w:r>
    </w:p>
    <w:p>
      <w:pPr>
        <w:spacing w:line="600" w:lineRule="exact"/>
        <w:ind w:firstLine="640" w:firstLineChars="200"/>
        <w:rPr>
          <w:rFonts w:ascii="仿宋_GB2312" w:eastAsia="仿宋_GB2312"/>
          <w:b/>
          <w:sz w:val="32"/>
        </w:rPr>
      </w:pPr>
      <w:r>
        <w:rPr>
          <w:rFonts w:hint="eastAsia" w:ascii="Times New Roman" w:hAnsi="Times New Roman" w:eastAsia="仿宋_GB2312"/>
          <w:sz w:val="32"/>
        </w:rPr>
        <w:t>专题培训每期培训人数控制在50人以内；</w:t>
      </w:r>
      <w:r>
        <w:rPr>
          <w:rFonts w:hint="eastAsia" w:ascii="仿宋_GB2312" w:eastAsia="仿宋_GB2312"/>
          <w:b/>
          <w:sz w:val="32"/>
        </w:rPr>
        <w:t xml:space="preserve"> </w:t>
      </w:r>
    </w:p>
    <w:p>
      <w:pPr>
        <w:spacing w:line="600" w:lineRule="exact"/>
        <w:ind w:firstLine="643" w:firstLineChars="200"/>
        <w:rPr>
          <w:rFonts w:ascii="仿宋_GB2312" w:eastAsia="仿宋_GB2312"/>
          <w:b/>
          <w:sz w:val="32"/>
        </w:rPr>
      </w:pPr>
      <w:r>
        <w:rPr>
          <w:rFonts w:hint="eastAsia" w:ascii="仿宋_GB2312" w:eastAsia="仿宋_GB2312"/>
          <w:b/>
          <w:sz w:val="32"/>
        </w:rPr>
        <w:t>2.项目完成情况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截止20</w:t>
      </w:r>
      <w:r>
        <w:rPr>
          <w:rFonts w:hint="eastAsia" w:ascii="Times New Roman" w:hAnsi="Times New Roman" w:eastAsia="仿宋_GB2312"/>
          <w:sz w:val="32"/>
        </w:rPr>
        <w:t>19</w:t>
      </w:r>
      <w:r>
        <w:rPr>
          <w:rFonts w:ascii="Times New Roman" w:hAnsi="Times New Roman" w:eastAsia="仿宋_GB2312"/>
          <w:sz w:val="32"/>
        </w:rPr>
        <w:t>年12月31日，</w:t>
      </w:r>
      <w:r>
        <w:rPr>
          <w:rFonts w:hint="eastAsia" w:ascii="Times New Roman" w:hAnsi="Times New Roman" w:eastAsia="仿宋_GB2312"/>
          <w:sz w:val="32"/>
        </w:rPr>
        <w:t>16个培训班，有 14个培训班已完成，有2个培训班未完成。</w:t>
      </w:r>
      <w:r>
        <w:rPr>
          <w:rFonts w:ascii="Times New Roman" w:hAnsi="Times New Roman" w:eastAsia="仿宋_GB2312"/>
          <w:sz w:val="32"/>
        </w:rPr>
        <w:t>该项目完成情况如下：</w:t>
      </w:r>
    </w:p>
    <w:p>
      <w:pPr>
        <w:spacing w:line="600" w:lineRule="exact"/>
        <w:ind w:firstLine="640"/>
        <w:rPr>
          <w:rFonts w:ascii="仿宋_GB2312" w:eastAsia="仿宋_GB2312"/>
          <w:sz w:val="32"/>
        </w:rPr>
      </w:pPr>
      <w:r>
        <w:rPr>
          <w:rFonts w:hint="eastAsia" w:ascii="仿宋_GB2312" w:eastAsia="仿宋_GB2312"/>
          <w:sz w:val="32"/>
        </w:rPr>
        <w:t>①产出数量方面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培训干部人数697人；干部专业化能力提升班分为12个班，已完成12个班；中青年干部能力提升培训班分为3个班，已完成2个班，1个班未完成；公务员队伍素质提升培训分为1个班，未完成；每期培训均由2-3名市级领导带队；培训干部实现率为100.00%；</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②产出时效方面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已完成的14个班中有13个班按规定在2019年1-9月内完成，有1个班未按规定在1-9月内完成；</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已完成的14个班中有13个异地培训班按规定将异地培训单期时间控制在7天以内，有1个异地培训班未按规定将异地培训单期时间控制在7天以内；</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③培训成本控制方面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已完成的14个班中有13个培训班干部教育经费控制在40.00万元以内， 1个培训班干部教育经费超过40.00万元；</w:t>
      </w:r>
    </w:p>
    <w:p>
      <w:pPr>
        <w:spacing w:line="600" w:lineRule="exact"/>
        <w:ind w:firstLine="640" w:firstLineChars="200"/>
        <w:rPr>
          <w:rFonts w:ascii="仿宋_GB2312" w:eastAsia="仿宋_GB2312"/>
          <w:sz w:val="32"/>
        </w:rPr>
      </w:pPr>
      <w:r>
        <w:rPr>
          <w:rFonts w:hint="eastAsia" w:ascii="Times New Roman" w:hAnsi="Times New Roman" w:eastAsia="仿宋_GB2312"/>
          <w:sz w:val="32"/>
        </w:rPr>
        <w:t>已完成的14个班中有11个培训班按规定将异地培训人数控制在50人以内， 3个培训班未按规定将异地培训人数控制在50人以内；</w:t>
      </w:r>
      <w:r>
        <w:rPr>
          <w:rFonts w:hint="eastAsia" w:ascii="仿宋_GB2312" w:eastAsia="仿宋_GB2312"/>
          <w:sz w:val="32"/>
        </w:rPr>
        <w:t>详细情况见下表：</w:t>
      </w:r>
    </w:p>
    <w:tbl>
      <w:tblPr>
        <w:tblStyle w:val="11"/>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95"/>
        <w:gridCol w:w="2409"/>
        <w:gridCol w:w="1701"/>
        <w:gridCol w:w="709"/>
        <w:gridCol w:w="709"/>
        <w:gridCol w:w="48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80"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序号</w:t>
            </w:r>
          </w:p>
        </w:tc>
        <w:tc>
          <w:tcPr>
            <w:tcW w:w="995"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实施单位</w:t>
            </w:r>
          </w:p>
        </w:tc>
        <w:tc>
          <w:tcPr>
            <w:tcW w:w="2409"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培训班</w:t>
            </w:r>
          </w:p>
        </w:tc>
        <w:tc>
          <w:tcPr>
            <w:tcW w:w="1701"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培训时间</w:t>
            </w:r>
          </w:p>
        </w:tc>
        <w:tc>
          <w:tcPr>
            <w:tcW w:w="709" w:type="dxa"/>
            <w:shd w:val="clear" w:color="auto" w:fill="auto"/>
            <w:vAlign w:val="center"/>
          </w:tcPr>
          <w:p>
            <w:pPr>
              <w:widowControl/>
              <w:jc w:val="center"/>
              <w:rPr>
                <w:rFonts w:ascii="Times New Roman" w:hAnsi="Times New Roman" w:eastAsia="仿宋_GB2312"/>
                <w:bCs/>
                <w:color w:val="000000"/>
                <w:kern w:val="0"/>
                <w:sz w:val="18"/>
                <w:szCs w:val="18"/>
              </w:rPr>
            </w:pPr>
            <w:r>
              <w:rPr>
                <w:rFonts w:hint="eastAsia" w:ascii="Times New Roman" w:hAnsi="Times New Roman" w:eastAsia="仿宋_GB2312"/>
                <w:bCs/>
                <w:color w:val="000000"/>
                <w:kern w:val="0"/>
                <w:sz w:val="18"/>
                <w:szCs w:val="18"/>
              </w:rPr>
              <w:t>异地</w:t>
            </w:r>
            <w:r>
              <w:rPr>
                <w:rFonts w:ascii="Times New Roman" w:hAnsi="Times New Roman" w:eastAsia="仿宋_GB2312"/>
                <w:bCs/>
                <w:color w:val="000000"/>
                <w:kern w:val="0"/>
                <w:sz w:val="18"/>
                <w:szCs w:val="18"/>
              </w:rPr>
              <w:t>培训天数</w:t>
            </w:r>
          </w:p>
        </w:tc>
        <w:tc>
          <w:tcPr>
            <w:tcW w:w="709"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培训人数</w:t>
            </w:r>
          </w:p>
        </w:tc>
        <w:tc>
          <w:tcPr>
            <w:tcW w:w="482" w:type="dxa"/>
            <w:shd w:val="clear" w:color="auto" w:fill="auto"/>
            <w:vAlign w:val="center"/>
          </w:tcPr>
          <w:p>
            <w:pPr>
              <w:widowControl/>
              <w:jc w:val="center"/>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领导人数</w:t>
            </w:r>
          </w:p>
        </w:tc>
        <w:tc>
          <w:tcPr>
            <w:tcW w:w="794" w:type="dxa"/>
            <w:shd w:val="clear" w:color="auto" w:fill="auto"/>
            <w:vAlign w:val="center"/>
          </w:tcPr>
          <w:p>
            <w:pPr>
              <w:widowControl/>
              <w:jc w:val="left"/>
              <w:rPr>
                <w:rFonts w:ascii="Times New Roman" w:hAnsi="Times New Roman" w:eastAsia="仿宋_GB2312"/>
                <w:bCs/>
                <w:color w:val="000000"/>
                <w:kern w:val="0"/>
                <w:sz w:val="18"/>
                <w:szCs w:val="18"/>
              </w:rPr>
            </w:pPr>
            <w:r>
              <w:rPr>
                <w:rFonts w:ascii="Times New Roman" w:hAnsi="Times New Roman" w:eastAsia="仿宋_GB2312"/>
                <w:bCs/>
                <w:color w:val="000000"/>
                <w:kern w:val="0"/>
                <w:sz w:val="18"/>
                <w:szCs w:val="18"/>
              </w:rPr>
              <w:t>培训费(单位：万元)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市发改局</w:t>
            </w:r>
          </w:p>
        </w:tc>
        <w:tc>
          <w:tcPr>
            <w:tcW w:w="24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经济转型与产业振兴专题培训班</w:t>
            </w:r>
          </w:p>
        </w:tc>
        <w:tc>
          <w:tcPr>
            <w:tcW w:w="1701"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2019年4月13日-4月19日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47</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市农业局</w:t>
            </w:r>
          </w:p>
        </w:tc>
        <w:tc>
          <w:tcPr>
            <w:tcW w:w="24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乡村振兴专题培训班</w:t>
            </w:r>
          </w:p>
        </w:tc>
        <w:tc>
          <w:tcPr>
            <w:tcW w:w="1701"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2019年5月11日-5月17日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55</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市委组织部</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金方干部教育培训经费/新村社区干部教学点建设经费/草铺、县街、温泉等街道教学点升级改造经费</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2019年5月12日-5月18日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48</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市投促局</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招商引资专题培训班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2019年6月30日-7月8日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52</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市卫计局</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大健康产业专题培训班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2019年7月8日-7月14日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6</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市委宣传部</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文旅产业发展与新闻发言人专题培训班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2019年8月18日-8月24日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53</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市规划局</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城市规划与建设专题培训班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2019年8月4日-8月10日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8</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市环保局</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生态文明建设专题培训班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2019年7月28日-8月3日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9</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市文明办</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城市管理与文明城市创建专题培训班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2019年7月14日-7月20日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22.9</w:t>
            </w:r>
            <w:r>
              <w:rPr>
                <w:rFonts w:hint="eastAsia" w:ascii="Times New Roman" w:hAnsi="Times New Roman" w:eastAsia="仿宋_GB2312"/>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10</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市委编办</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优化营商环境专题培训班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2019年5月6日-5月12日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27.7</w:t>
            </w:r>
            <w:r>
              <w:rPr>
                <w:rFonts w:hint="eastAsia" w:ascii="Times New Roman" w:hAnsi="Times New Roman" w:eastAsia="仿宋_GB2312"/>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市委政法委</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创新社会治理专题培训班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2019年6月23日-6月29日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12</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市国资局</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新任国有企业领导人员专题培训班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2019年10月20日-10月26日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13</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市委党校</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年轻后备干部能力提升班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2019年5月5日-5月11日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46</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14</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市委共青团</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年轻干部能力提升班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2019年6月26日-7月2日</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7</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15</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市人社局</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公务员队伍素质提升培训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未完成</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80"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16</w:t>
            </w:r>
          </w:p>
        </w:tc>
        <w:tc>
          <w:tcPr>
            <w:tcW w:w="995"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市委党校</w:t>
            </w:r>
          </w:p>
        </w:tc>
        <w:tc>
          <w:tcPr>
            <w:tcW w:w="2409"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新提拔干部能力提升班</w:t>
            </w:r>
          </w:p>
        </w:tc>
        <w:tc>
          <w:tcPr>
            <w:tcW w:w="1701" w:type="dxa"/>
            <w:shd w:val="clear" w:color="000000" w:fill="FFFFFF"/>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未完成</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685" w:type="dxa"/>
            <w:gridSpan w:val="4"/>
            <w:shd w:val="clear" w:color="auto" w:fill="auto"/>
            <w:vAlign w:val="bottom"/>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合计　</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100</w:t>
            </w:r>
          </w:p>
        </w:tc>
        <w:tc>
          <w:tcPr>
            <w:tcW w:w="709" w:type="dxa"/>
            <w:shd w:val="clear" w:color="auto" w:fill="auto"/>
            <w:vAlign w:val="center"/>
          </w:tcPr>
          <w:p>
            <w:pPr>
              <w:widowControl/>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697</w:t>
            </w:r>
          </w:p>
        </w:tc>
        <w:tc>
          <w:tcPr>
            <w:tcW w:w="482" w:type="dxa"/>
            <w:shd w:val="clear" w:color="auto" w:fill="auto"/>
            <w:vAlign w:val="center"/>
          </w:tcPr>
          <w:p>
            <w:pPr>
              <w:widowControl/>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38</w:t>
            </w:r>
          </w:p>
        </w:tc>
        <w:tc>
          <w:tcPr>
            <w:tcW w:w="794" w:type="dxa"/>
            <w:shd w:val="clear" w:color="auto" w:fill="auto"/>
            <w:vAlign w:val="center"/>
          </w:tcPr>
          <w:p>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412.46</w:t>
            </w:r>
          </w:p>
        </w:tc>
      </w:tr>
    </w:tbl>
    <w:p>
      <w:pPr>
        <w:spacing w:line="600" w:lineRule="exact"/>
        <w:ind w:firstLine="482" w:firstLineChars="150"/>
        <w:rPr>
          <w:rFonts w:ascii="仿宋_GB2312" w:eastAsia="仿宋_GB2312"/>
          <w:b/>
          <w:sz w:val="32"/>
        </w:rPr>
      </w:pPr>
      <w:r>
        <w:rPr>
          <w:rFonts w:hint="eastAsia" w:ascii="仿宋_GB2312" w:eastAsia="仿宋_GB2312"/>
          <w:b/>
          <w:sz w:val="32"/>
        </w:rPr>
        <w:t>3.资金来源及使用情况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（1）项目资金来源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根据安财发［2019］7号文件，安宁市委组织部螳川干部综合素质提升教育培训经费预算600.00万元。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（2）资金使用情况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2019年项目预算批复资金600.00万元，2019年安宁市中共市委组织部实际支出417.36万元，结余182.64万元，已上缴安宁市财政局。支出明细具体如下：</w:t>
      </w:r>
      <w:r>
        <w:fldChar w:fldCharType="begin"/>
      </w:r>
      <w:r>
        <w:instrText xml:space="preserve"> </w:instrText>
      </w:r>
      <w:r>
        <w:rPr>
          <w:rFonts w:hint="eastAsia"/>
        </w:rPr>
        <w:instrText xml:space="preserve">LINK </w:instrText>
      </w:r>
      <w:r>
        <w:instrText xml:space="preserve">Excel.Sheet.12</w:instrText>
      </w:r>
      <w:r>
        <w:rPr>
          <w:rFonts w:hint="eastAsia"/>
        </w:rPr>
        <w:instrText xml:space="preserve"> "C:\\Users\\Administrator\\Desktop\\安宁绩效评价  88\\2019年螳川干部综合素质提升教育培训经费绩效再评价报送材料(组织部)\\台账资料\\表册 - 副本.xlsx"</w:instrText>
      </w:r>
      <w:r>
        <w:instrText xml:space="preserve"> Sheet4!R1C1:R17C3 </w:instrText>
      </w:r>
      <w:r>
        <w:rPr>
          <w:rFonts w:hint="eastAsia"/>
        </w:rPr>
        <w:instrText xml:space="preserve">\a \f 4 \h</w:instrText>
      </w:r>
      <w:r>
        <w:instrText xml:space="preserve">  \* MERGEFORMAT </w:instrText>
      </w:r>
      <w:r>
        <w:fldChar w:fldCharType="separate"/>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412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实施单位</w:t>
            </w:r>
          </w:p>
        </w:tc>
        <w:tc>
          <w:tcPr>
            <w:tcW w:w="4120" w:type="dxa"/>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支出内容</w:t>
            </w:r>
          </w:p>
        </w:tc>
        <w:tc>
          <w:tcPr>
            <w:tcW w:w="1664" w:type="dxa"/>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支出金额（万元）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市发改局</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经济转型升级与产业振兴专题培训班培训费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市农业局</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乡村振兴战略专题培训班培训费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58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市委组织部</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金方干部教育培训经费</w:t>
            </w:r>
            <w:r>
              <w:rPr>
                <w:rFonts w:ascii="Times New Roman" w:hAnsi="Times New Roman" w:eastAsia="仿宋_GB2312"/>
                <w:color w:val="000000"/>
                <w:kern w:val="0"/>
                <w:szCs w:val="21"/>
              </w:rPr>
              <w:t>/新村社区干部教学点建设经费/草铺、县街、温泉等街道教学点升级改造经费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市投促局</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招商引资专题培训班经费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市卫计局</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大健康专题培训班经费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市委宣传部</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文旅产业发展与新闻发言人专题培训经费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市规划局</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城市规划与建设专题培训班经费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市环保局</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生态文明建设专题培训班经费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市文明办</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城市管理与文明城市创建专题培训班经费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58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市委编办</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优化营商环境专题培训班培训费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市委政法委</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创新社会治理专题培训班培训费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市国资局</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国有企业领导人员专题培训班经费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市委党校</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年轻后备干部能力提升班</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580" w:type="dxa"/>
            <w:shd w:val="clear" w:color="000000" w:fill="FFFFFF"/>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市委</w:t>
            </w:r>
            <w:r>
              <w:rPr>
                <w:rFonts w:ascii="Times New Roman" w:hAnsi="Times New Roman" w:eastAsia="仿宋_GB2312"/>
                <w:color w:val="000000"/>
                <w:kern w:val="0"/>
                <w:szCs w:val="21"/>
              </w:rPr>
              <w:t>共青团</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年轻干部专题培训班经费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580" w:type="dxa"/>
            <w:shd w:val="clear" w:color="auto" w:fill="auto"/>
            <w:vAlign w:val="bottom"/>
          </w:tcPr>
          <w:p>
            <w:pPr>
              <w:widowControl/>
              <w:ind w:firstLine="420" w:firstLineChars="2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市委组织部</w:t>
            </w:r>
          </w:p>
        </w:tc>
        <w:tc>
          <w:tcPr>
            <w:tcW w:w="4120" w:type="dxa"/>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第五批全国干部学习培训教材订购经费</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700" w:type="dxa"/>
            <w:gridSpan w:val="2"/>
            <w:shd w:val="clear" w:color="000000" w:fill="FFFFFF"/>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合计　</w:t>
            </w:r>
          </w:p>
        </w:tc>
        <w:tc>
          <w:tcPr>
            <w:tcW w:w="166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417.36</w:t>
            </w:r>
          </w:p>
        </w:tc>
      </w:tr>
    </w:tbl>
    <w:p>
      <w:pPr>
        <w:keepNext/>
        <w:keepLines/>
        <w:spacing w:before="260" w:after="260" w:line="600" w:lineRule="exact"/>
        <w:ind w:firstLine="480" w:firstLineChars="150"/>
        <w:outlineLvl w:val="1"/>
        <w:rPr>
          <w:rFonts w:ascii="楷体_GB2312" w:eastAsia="楷体_GB2312" w:hAnsiTheme="majorHAnsi" w:cstheme="majorBidi"/>
          <w:bCs/>
          <w:sz w:val="32"/>
          <w:szCs w:val="32"/>
        </w:rPr>
      </w:pPr>
      <w:r>
        <w:rPr>
          <w:rFonts w:ascii="仿宋_GB2312" w:eastAsia="仿宋_GB2312"/>
          <w:sz w:val="32"/>
        </w:rPr>
        <w:fldChar w:fldCharType="end"/>
      </w:r>
      <w:r>
        <w:rPr>
          <w:rFonts w:ascii="楷体_GB2312" w:eastAsia="楷体_GB2312" w:hAnsiTheme="majorHAnsi" w:cstheme="majorBidi"/>
          <w:bCs/>
          <w:sz w:val="32"/>
          <w:szCs w:val="32"/>
        </w:rPr>
        <w:t xml:space="preserve"> </w:t>
      </w:r>
      <w:bookmarkStart w:id="47" w:name="_Toc73015749"/>
      <w:r>
        <w:rPr>
          <w:rFonts w:hint="eastAsia" w:ascii="楷体_GB2312" w:eastAsia="楷体_GB2312" w:hAnsiTheme="majorHAnsi" w:cstheme="majorBidi"/>
          <w:bCs/>
          <w:sz w:val="32"/>
          <w:szCs w:val="32"/>
        </w:rPr>
        <w:t>（五）项目的组织及管理</w:t>
      </w:r>
      <w:bookmarkEnd w:id="47"/>
    </w:p>
    <w:p>
      <w:pPr>
        <w:spacing w:line="600" w:lineRule="exact"/>
        <w:ind w:firstLine="640" w:firstLineChars="200"/>
        <w:rPr>
          <w:rFonts w:ascii="仿宋_GB2312" w:eastAsia="仿宋_GB2312"/>
          <w:sz w:val="32"/>
        </w:rPr>
      </w:pPr>
      <w:r>
        <w:rPr>
          <w:rFonts w:hint="eastAsia" w:ascii="仿宋_GB2312" w:eastAsia="仿宋_GB2312"/>
          <w:sz w:val="32"/>
        </w:rPr>
        <w:t>（1）项目组织管理情况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中共市委组织部负责编制项目预算，负责审核各实施单位培训方案，培训结束后拨付培训费至实施单位</w:t>
      </w:r>
      <w:r>
        <w:rPr>
          <w:rFonts w:hint="eastAsia" w:ascii="Times New Roman" w:hAnsi="Times New Roman" w:eastAsia="仿宋_GB2312"/>
          <w:sz w:val="32"/>
        </w:rPr>
        <w:t>以及培训项目的监督管理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市发改局、市农业局、市委组织部、市投促局、市卫计局、市委宣传部、市规划局、市环保局、市文明办、市委编办、市委政法委、市国资局、市委党校、市委共青团根据</w:t>
      </w:r>
      <w:r>
        <w:rPr>
          <w:rFonts w:ascii="Times New Roman" w:hAnsi="Times New Roman" w:eastAsia="仿宋_GB2312"/>
          <w:sz w:val="32"/>
        </w:rPr>
        <w:t>《中共安宁市委办公室关于印发安宁市2019年“螳川干部综合素质提升行动计划”实施方案的通知》（安办通〔2018〕105号）制定培训方案</w:t>
      </w:r>
      <w:r>
        <w:rPr>
          <w:rFonts w:hint="eastAsia" w:ascii="Times New Roman" w:hAnsi="Times New Roman" w:eastAsia="仿宋_GB2312"/>
          <w:sz w:val="32"/>
        </w:rPr>
        <w:t>，</w:t>
      </w:r>
      <w:r>
        <w:rPr>
          <w:rFonts w:ascii="Times New Roman" w:hAnsi="Times New Roman" w:eastAsia="仿宋_GB2312"/>
          <w:sz w:val="32"/>
        </w:rPr>
        <w:t>开展</w:t>
      </w:r>
      <w:r>
        <w:rPr>
          <w:rFonts w:hint="eastAsia" w:ascii="Times New Roman" w:hAnsi="Times New Roman" w:eastAsia="仿宋_GB2312"/>
          <w:sz w:val="32"/>
        </w:rPr>
        <w:t>具体</w:t>
      </w:r>
      <w:r>
        <w:rPr>
          <w:rFonts w:ascii="Times New Roman" w:hAnsi="Times New Roman" w:eastAsia="仿宋_GB2312"/>
          <w:sz w:val="32"/>
        </w:rPr>
        <w:t>培训</w:t>
      </w:r>
      <w:r>
        <w:rPr>
          <w:rFonts w:hint="eastAsia" w:ascii="Times New Roman" w:hAnsi="Times New Roman" w:eastAsia="仿宋_GB2312"/>
          <w:sz w:val="32"/>
        </w:rPr>
        <w:t>。</w:t>
      </w:r>
    </w:p>
    <w:p>
      <w:pPr>
        <w:spacing w:line="600" w:lineRule="exact"/>
        <w:ind w:firstLine="640" w:firstLineChars="200"/>
        <w:rPr>
          <w:rFonts w:ascii="仿宋_GB2312" w:eastAsia="仿宋_GB2312"/>
          <w:sz w:val="32"/>
        </w:rPr>
      </w:pPr>
      <w:r>
        <w:rPr>
          <w:rFonts w:hint="eastAsia" w:ascii="仿宋_GB2312" w:eastAsia="仿宋_GB2312"/>
          <w:sz w:val="32"/>
        </w:rPr>
        <w:t>（2）项目实施流程</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根据中共安宁市委关于深入《实施“螳川干部综合素质提升行动”》的意见（安发〔2018〕22号），中共市委组织部制定了《安宁市2019年“螳川干部综合素质提升行动计划”实施方案》的通知（安办通〔2018〕105号）文件开展实施本项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各实施单位根据印发的《安宁市2019年“螳川干部综合素质提升行动计划”实施方案》的通知（安办通〔2018〕105号）文件制定本单位培训方案</w:t>
      </w:r>
      <w:r>
        <w:rPr>
          <w:rFonts w:hint="eastAsia" w:ascii="Times New Roman" w:hAnsi="Times New Roman" w:eastAsia="仿宋_GB2312"/>
          <w:sz w:val="32"/>
        </w:rPr>
        <w:t>，并</w:t>
      </w:r>
      <w:r>
        <w:rPr>
          <w:rFonts w:ascii="Times New Roman" w:hAnsi="Times New Roman" w:eastAsia="仿宋_GB2312"/>
          <w:sz w:val="32"/>
        </w:rPr>
        <w:t>于出发前1个月将培训方案报市委组织部审批备案，市委组织部审核后</w:t>
      </w:r>
      <w:r>
        <w:rPr>
          <w:rFonts w:hint="eastAsia" w:ascii="Times New Roman" w:hAnsi="Times New Roman" w:eastAsia="仿宋_GB2312"/>
          <w:sz w:val="32"/>
        </w:rPr>
        <w:t>，</w:t>
      </w:r>
      <w:r>
        <w:rPr>
          <w:rFonts w:ascii="Times New Roman" w:hAnsi="Times New Roman" w:eastAsia="仿宋_GB2312"/>
          <w:sz w:val="32"/>
        </w:rPr>
        <w:t>各单位具体实施培训工作。</w:t>
      </w:r>
    </w:p>
    <w:p>
      <w:pPr>
        <w:spacing w:line="600" w:lineRule="exact"/>
        <w:ind w:firstLine="640" w:firstLineChars="200"/>
        <w:rPr>
          <w:rFonts w:ascii="仿宋_GB2312" w:eastAsia="仿宋_GB2312"/>
          <w:sz w:val="32"/>
        </w:rPr>
      </w:pPr>
      <w:r>
        <w:rPr>
          <w:rFonts w:hint="eastAsia" w:ascii="仿宋_GB2312" w:eastAsia="仿宋_GB2312"/>
          <w:sz w:val="32"/>
        </w:rPr>
        <w:t>（3）资金拨付流程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安宁市财政局根据《安宁市财政局2019年部门预算财政拨款支出批复》(安财发〔2019〕07号)安排项目预算资金至中共安宁市委组织部，中共安宁市委组织部</w:t>
      </w:r>
      <w:r>
        <w:rPr>
          <w:rFonts w:hint="eastAsia" w:ascii="Times New Roman" w:hAnsi="Times New Roman" w:eastAsia="仿宋_GB2312"/>
          <w:sz w:val="32"/>
        </w:rPr>
        <w:t>根据</w:t>
      </w:r>
      <w:r>
        <w:rPr>
          <w:rFonts w:ascii="Times New Roman" w:hAnsi="Times New Roman" w:eastAsia="仿宋_GB2312"/>
          <w:sz w:val="32"/>
        </w:rPr>
        <w:t>实施单位</w:t>
      </w:r>
      <w:r>
        <w:rPr>
          <w:rFonts w:hint="eastAsia" w:ascii="Times New Roman" w:hAnsi="Times New Roman" w:eastAsia="仿宋_GB2312"/>
          <w:sz w:val="32"/>
        </w:rPr>
        <w:t>上报的</w:t>
      </w:r>
      <w:r>
        <w:rPr>
          <w:rFonts w:ascii="Times New Roman" w:hAnsi="Times New Roman" w:eastAsia="仿宋_GB2312"/>
          <w:sz w:val="32"/>
        </w:rPr>
        <w:t>培训结束后相关培训费用申请</w:t>
      </w:r>
      <w:r>
        <w:rPr>
          <w:rFonts w:hint="eastAsia" w:ascii="Times New Roman" w:hAnsi="Times New Roman" w:eastAsia="仿宋_GB2312"/>
          <w:sz w:val="32"/>
        </w:rPr>
        <w:t>报销资料</w:t>
      </w:r>
      <w:r>
        <w:rPr>
          <w:rFonts w:ascii="Times New Roman" w:hAnsi="Times New Roman" w:eastAsia="仿宋_GB2312"/>
          <w:sz w:val="32"/>
        </w:rPr>
        <w:t>，审核后将培训费用拨付至各实施单位。</w:t>
      </w:r>
    </w:p>
    <w:p>
      <w:pPr>
        <w:pStyle w:val="3"/>
        <w:spacing w:line="600" w:lineRule="exact"/>
        <w:ind w:firstLine="480" w:firstLineChars="150"/>
        <w:rPr>
          <w:rFonts w:ascii="楷体_GB2312" w:eastAsia="楷体_GB2312"/>
          <w:b w:val="0"/>
        </w:rPr>
      </w:pPr>
      <w:bookmarkStart w:id="48" w:name="_Toc48082200"/>
      <w:bookmarkStart w:id="49" w:name="_Toc73015750"/>
      <w:r>
        <w:rPr>
          <w:rFonts w:hint="eastAsia" w:ascii="楷体_GB2312" w:eastAsia="楷体_GB2312"/>
          <w:b w:val="0"/>
        </w:rPr>
        <w:t>（六）项目绩效目标</w:t>
      </w:r>
      <w:bookmarkEnd w:id="48"/>
      <w:bookmarkEnd w:id="49"/>
    </w:p>
    <w:p>
      <w:pPr>
        <w:spacing w:line="600" w:lineRule="exact"/>
        <w:ind w:firstLine="643" w:firstLineChars="200"/>
        <w:rPr>
          <w:rFonts w:ascii="Times New Roman" w:eastAsia="仿宋_GB2312"/>
          <w:b/>
          <w:sz w:val="32"/>
        </w:rPr>
      </w:pPr>
      <w:r>
        <w:rPr>
          <w:rFonts w:hint="eastAsia" w:ascii="Times New Roman" w:eastAsia="仿宋_GB2312"/>
          <w:b/>
          <w:sz w:val="32"/>
        </w:rPr>
        <w:t>1.总目标</w:t>
      </w:r>
    </w:p>
    <w:p>
      <w:pPr>
        <w:spacing w:line="600" w:lineRule="exact"/>
        <w:ind w:firstLine="640" w:firstLineChars="200"/>
        <w:rPr>
          <w:rFonts w:ascii="Times New Roman" w:eastAsia="仿宋_GB2312"/>
          <w:sz w:val="32"/>
        </w:rPr>
      </w:pPr>
      <w:r>
        <w:rPr>
          <w:rFonts w:ascii="Times New Roman" w:hAnsi="Times New Roman" w:eastAsia="仿宋_GB2312"/>
          <w:sz w:val="32"/>
        </w:rPr>
        <w:t>为认真贯彻落实《干部培训工作条例》《2018-2022年全国干部教育培训规划》《全国党政领导班子建设规划纲要》及省委、昆明市委关于进一步加强党政领导班子和干部队伍建设的部署要求，本着“学理论、看变化、找差距、谋发展”原则，通过“走出去”和“请进来”学习，着力提升我市领导干部引领发展的能力和水平，培养造就一支高素质干部队伍，推动全市经济社会全面发展，跨越式发展、科学发展</w:t>
      </w:r>
      <w:r>
        <w:rPr>
          <w:rFonts w:hint="eastAsia" w:ascii="Times New Roman" w:eastAsia="仿宋_GB2312"/>
          <w:sz w:val="32"/>
        </w:rPr>
        <w:t>。</w:t>
      </w:r>
    </w:p>
    <w:p>
      <w:pPr>
        <w:spacing w:line="600" w:lineRule="exact"/>
        <w:ind w:firstLine="643" w:firstLineChars="200"/>
        <w:rPr>
          <w:rFonts w:ascii="Times New Roman" w:eastAsia="仿宋_GB2312"/>
          <w:b/>
          <w:sz w:val="32"/>
        </w:rPr>
      </w:pPr>
      <w:r>
        <w:rPr>
          <w:rFonts w:hint="eastAsia" w:ascii="Times New Roman" w:eastAsia="仿宋_GB2312"/>
          <w:b/>
          <w:sz w:val="32"/>
        </w:rPr>
        <w:t>2.年度目标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(1)产出目标</w:t>
      </w:r>
    </w:p>
    <w:p>
      <w:pPr>
        <w:spacing w:line="600" w:lineRule="exact"/>
        <w:ind w:firstLine="640" w:firstLineChars="200"/>
        <w:rPr>
          <w:rFonts w:ascii="Times New Roman" w:hAnsi="Times New Roman" w:eastAsia="仿宋_GB2312"/>
          <w:sz w:val="32"/>
        </w:rPr>
      </w:pPr>
      <w:r>
        <w:rPr>
          <w:rFonts w:hint="eastAsia" w:ascii="宋体" w:hAnsi="宋体" w:cs="宋体"/>
          <w:sz w:val="32"/>
        </w:rPr>
        <w:t>①</w:t>
      </w:r>
      <w:r>
        <w:rPr>
          <w:rFonts w:ascii="Times New Roman" w:hAnsi="Times New Roman" w:eastAsia="仿宋_GB2312"/>
          <w:sz w:val="32"/>
        </w:rPr>
        <w:t>产出</w:t>
      </w:r>
      <w:r>
        <w:rPr>
          <w:rFonts w:hint="eastAsia" w:ascii="Times New Roman" w:hAnsi="Times New Roman" w:eastAsia="仿宋_GB2312"/>
          <w:sz w:val="32"/>
        </w:rPr>
        <w:t>数量</w:t>
      </w:r>
      <w:r>
        <w:rPr>
          <w:rFonts w:ascii="Times New Roman" w:hAnsi="Times New Roman" w:eastAsia="仿宋_GB2312"/>
          <w:sz w:val="32"/>
        </w:rPr>
        <w:t>方面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培训干部人数超过550人；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干部专业化能力提升班分为12个班，已完成12个班；</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中青年干部能力提升培训班分为3个班，已完成2个班，1个班未完成；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公务员队伍素质提升培训分为1个班，未完成；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每期培训均由2-3名市级领导带队；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培训干部实现率为100.00%；</w:t>
      </w:r>
    </w:p>
    <w:p>
      <w:pPr>
        <w:spacing w:line="600" w:lineRule="exact"/>
        <w:ind w:firstLine="640" w:firstLineChars="200"/>
        <w:rPr>
          <w:rFonts w:ascii="Times New Roman" w:hAnsi="Times New Roman" w:eastAsia="仿宋_GB2312"/>
          <w:sz w:val="32"/>
        </w:rPr>
      </w:pPr>
      <w:r>
        <w:rPr>
          <w:rFonts w:hint="eastAsia" w:ascii="宋体" w:hAnsi="宋体" w:cs="宋体"/>
          <w:sz w:val="32"/>
        </w:rPr>
        <w:t>②</w:t>
      </w:r>
      <w:r>
        <w:rPr>
          <w:rFonts w:ascii="Times New Roman" w:hAnsi="Times New Roman" w:eastAsia="仿宋_GB2312"/>
          <w:sz w:val="32"/>
        </w:rPr>
        <w:t>产出时效方面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培训时间安排在2019年1-9月；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异地培训班单期时间控制在7天以内；</w:t>
      </w:r>
    </w:p>
    <w:p>
      <w:pPr>
        <w:spacing w:line="600" w:lineRule="exact"/>
        <w:ind w:firstLine="640" w:firstLineChars="200"/>
        <w:rPr>
          <w:rFonts w:ascii="Times New Roman" w:hAnsi="Times New Roman" w:eastAsia="仿宋_GB2312"/>
          <w:sz w:val="32"/>
        </w:rPr>
      </w:pPr>
      <w:r>
        <w:rPr>
          <w:rFonts w:hint="eastAsia" w:ascii="宋体" w:hAnsi="宋体" w:cs="宋体"/>
          <w:sz w:val="32"/>
        </w:rPr>
        <w:t>③</w:t>
      </w:r>
      <w:r>
        <w:rPr>
          <w:rFonts w:ascii="Times New Roman" w:hAnsi="Times New Roman" w:eastAsia="仿宋_GB2312"/>
          <w:sz w:val="32"/>
        </w:rPr>
        <w:t>培训成本控制方面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每期培训班使用干部教育经费控制在40万以内；</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专题培训每期培训人数控制在50人以内。</w:t>
      </w:r>
      <w:r>
        <w:rPr>
          <w:rFonts w:ascii="Times New Roman" w:hAnsi="Times New Roman" w:eastAsia="仿宋_GB2312"/>
          <w:sz w:val="32"/>
        </w:rPr>
        <w:t xml:space="preserve"> </w:t>
      </w:r>
    </w:p>
    <w:p>
      <w:pPr>
        <w:spacing w:line="600" w:lineRule="exact"/>
        <w:ind w:firstLine="320" w:firstLineChars="100"/>
        <w:rPr>
          <w:rFonts w:ascii="Times New Roman" w:hAnsi="Times New Roman" w:eastAsia="仿宋_GB2312"/>
          <w:sz w:val="32"/>
        </w:rPr>
      </w:pPr>
      <w:r>
        <w:rPr>
          <w:rFonts w:ascii="Times New Roman" w:hAnsi="Times New Roman" w:eastAsia="仿宋_GB2312"/>
          <w:sz w:val="32"/>
        </w:rPr>
        <w:t>（2）项目效益</w:t>
      </w:r>
    </w:p>
    <w:p>
      <w:pPr>
        <w:spacing w:line="600" w:lineRule="exact"/>
        <w:ind w:firstLine="640" w:firstLineChars="200"/>
        <w:rPr>
          <w:rFonts w:ascii="仿宋_GB2312" w:eastAsia="仿宋_GB2312"/>
          <w:sz w:val="32"/>
        </w:rPr>
      </w:pPr>
      <w:bookmarkStart w:id="50" w:name="_Toc48082201"/>
      <w:r>
        <w:rPr>
          <w:rFonts w:hint="eastAsia" w:ascii="仿宋_GB2312" w:eastAsia="仿宋_GB2312"/>
          <w:sz w:val="32"/>
        </w:rPr>
        <w:t>①社会效益</w:t>
      </w:r>
    </w:p>
    <w:p>
      <w:pPr>
        <w:spacing w:line="600" w:lineRule="exact"/>
        <w:ind w:firstLine="640" w:firstLineChars="200"/>
        <w:rPr>
          <w:rFonts w:ascii="仿宋_GB2312" w:eastAsia="仿宋_GB2312"/>
          <w:sz w:val="32"/>
        </w:rPr>
      </w:pPr>
      <w:r>
        <w:rPr>
          <w:rFonts w:hint="eastAsia" w:ascii="仿宋_GB2312" w:eastAsia="仿宋_GB2312"/>
          <w:sz w:val="32"/>
        </w:rPr>
        <w:t>增强参训人员法纪意识：培训结束后，参训人员法纪意识增强。参训人员在心得体会中将思想意识上要“到位”、实际行动上要“到位”、纪律要求上要“到位”进行合理归纳、精选整理。</w:t>
      </w:r>
      <w:r>
        <w:rPr>
          <w:rFonts w:ascii="仿宋_GB2312" w:eastAsia="仿宋_GB2312"/>
          <w:sz w:val="32"/>
        </w:rPr>
        <w:t xml:space="preserve"> </w:t>
      </w:r>
    </w:p>
    <w:p>
      <w:pPr>
        <w:spacing w:line="600" w:lineRule="exact"/>
        <w:ind w:firstLine="640" w:firstLineChars="200"/>
        <w:rPr>
          <w:rFonts w:ascii="仿宋_GB2312" w:eastAsia="仿宋_GB2312"/>
          <w:sz w:val="32"/>
        </w:rPr>
      </w:pPr>
      <w:r>
        <w:rPr>
          <w:rFonts w:hint="eastAsia" w:ascii="仿宋_GB2312" w:eastAsia="仿宋_GB2312"/>
          <w:sz w:val="32"/>
        </w:rPr>
        <w:t>干部在培训基础上进行了制度创新：培训结束后，参训干部将新进管理经验与单位制度相结合，进行讨论交流对其中不足之处进行改革创新。</w:t>
      </w:r>
    </w:p>
    <w:p>
      <w:pPr>
        <w:spacing w:line="600" w:lineRule="exact"/>
        <w:ind w:firstLine="640" w:firstLineChars="200"/>
        <w:rPr>
          <w:rFonts w:ascii="仿宋_GB2312" w:eastAsia="仿宋_GB2312"/>
          <w:sz w:val="32"/>
        </w:rPr>
      </w:pPr>
      <w:r>
        <w:rPr>
          <w:rFonts w:hint="eastAsia" w:ascii="仿宋_GB2312" w:eastAsia="仿宋_GB2312"/>
          <w:sz w:val="32"/>
        </w:rPr>
        <w:t>提升参训人员业务技能：培训结束后，参训人员在医疗技术、管理组织能力等方面的业务技能水平得到进一步提升，为以后工作打下良好基础。</w:t>
      </w:r>
    </w:p>
    <w:p>
      <w:pPr>
        <w:spacing w:line="600" w:lineRule="exact"/>
        <w:ind w:firstLine="640" w:firstLineChars="200"/>
        <w:rPr>
          <w:rFonts w:ascii="仿宋_GB2312" w:eastAsia="仿宋_GB2312"/>
          <w:sz w:val="32"/>
        </w:rPr>
      </w:pPr>
      <w:r>
        <w:rPr>
          <w:rFonts w:hint="eastAsia" w:ascii="仿宋_GB2312" w:eastAsia="仿宋_GB2312"/>
          <w:sz w:val="32"/>
        </w:rPr>
        <w:t>更新干部队伍知识：培训结束后，参训人员在医疗、党建工作建设、新型产业升级、城市管理、市场营销、营商环境等方面获取了新的认识。</w:t>
      </w:r>
    </w:p>
    <w:p>
      <w:pPr>
        <w:spacing w:line="600" w:lineRule="exact"/>
        <w:ind w:firstLine="640" w:firstLineChars="200"/>
        <w:rPr>
          <w:rFonts w:ascii="仿宋_GB2312" w:eastAsia="仿宋_GB2312"/>
          <w:sz w:val="32"/>
        </w:rPr>
      </w:pPr>
      <w:r>
        <w:rPr>
          <w:rFonts w:hint="eastAsia" w:ascii="仿宋_GB2312" w:eastAsia="仿宋_GB2312"/>
          <w:sz w:val="32"/>
        </w:rPr>
        <w:t>②可持续效益</w:t>
      </w:r>
    </w:p>
    <w:p>
      <w:pPr>
        <w:spacing w:line="600" w:lineRule="exact"/>
        <w:ind w:firstLine="640" w:firstLineChars="200"/>
        <w:rPr>
          <w:rFonts w:ascii="仿宋_GB2312" w:eastAsia="仿宋_GB2312"/>
          <w:sz w:val="32"/>
        </w:rPr>
      </w:pPr>
      <w:r>
        <w:rPr>
          <w:rFonts w:hint="eastAsia" w:ascii="仿宋_GB2312" w:eastAsia="仿宋_GB2312"/>
          <w:sz w:val="32"/>
        </w:rPr>
        <w:t>培训结束后，参训人员与各行业专家现场观摩式互动学习，将新进管理模式进行分享交流持续创造了高效管理型领导班子，为后期提高工作效率创造了良好条件。</w:t>
      </w:r>
    </w:p>
    <w:p>
      <w:pPr>
        <w:spacing w:line="600" w:lineRule="exact"/>
        <w:ind w:firstLine="640" w:firstLineChars="200"/>
        <w:rPr>
          <w:rFonts w:ascii="Times New Roman" w:hAnsi="Times New Roman" w:eastAsia="仿宋_GB2312"/>
          <w:sz w:val="32"/>
        </w:rPr>
      </w:pPr>
      <w:r>
        <w:rPr>
          <w:rFonts w:hint="eastAsia" w:ascii="仿宋_GB2312" w:eastAsia="仿宋_GB2312"/>
          <w:sz w:val="32"/>
        </w:rPr>
        <w:t>③受训人员满意度：</w:t>
      </w:r>
      <w:r>
        <w:rPr>
          <w:rFonts w:ascii="Times New Roman" w:hAnsi="Times New Roman" w:eastAsia="仿宋_GB2312"/>
          <w:sz w:val="32"/>
        </w:rPr>
        <w:t>94.86%</w:t>
      </w:r>
      <w:r>
        <w:rPr>
          <w:rFonts w:hint="eastAsia" w:ascii="Times New Roman" w:hAnsi="Times New Roman" w:eastAsia="仿宋_GB2312"/>
          <w:sz w:val="32"/>
        </w:rPr>
        <w:t>。</w:t>
      </w:r>
    </w:p>
    <w:p>
      <w:pPr>
        <w:pStyle w:val="3"/>
        <w:spacing w:line="600" w:lineRule="exact"/>
        <w:ind w:firstLine="640" w:firstLineChars="200"/>
        <w:rPr>
          <w:rFonts w:ascii="黑体" w:hAnsi="黑体" w:eastAsia="黑体"/>
          <w:b w:val="0"/>
        </w:rPr>
      </w:pPr>
      <w:bookmarkStart w:id="51" w:name="_Toc73015751"/>
      <w:r>
        <w:rPr>
          <w:rFonts w:hint="eastAsia" w:ascii="黑体" w:hAnsi="黑体" w:eastAsia="黑体"/>
          <w:b w:val="0"/>
        </w:rPr>
        <w:t>二、绩效评价工作情况</w:t>
      </w:r>
      <w:bookmarkEnd w:id="50"/>
      <w:bookmarkEnd w:id="51"/>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52" w:name="_Toc73015752"/>
      <w:bookmarkStart w:id="53" w:name="_Toc48082202"/>
      <w:r>
        <w:rPr>
          <w:rFonts w:hint="eastAsia" w:ascii="楷体_GB2312" w:eastAsia="楷体_GB2312" w:hAnsiTheme="majorHAnsi" w:cstheme="majorBidi"/>
          <w:bCs/>
          <w:sz w:val="32"/>
          <w:szCs w:val="32"/>
        </w:rPr>
        <w:t>（一）评价的目的</w:t>
      </w:r>
      <w:bookmarkEnd w:id="52"/>
      <w:bookmarkEnd w:id="53"/>
    </w:p>
    <w:p>
      <w:pPr>
        <w:spacing w:line="600" w:lineRule="exact"/>
        <w:ind w:firstLine="640" w:firstLineChars="200"/>
        <w:rPr>
          <w:rFonts w:ascii="仿宋_GB2312" w:eastAsia="仿宋_GB2312"/>
          <w:sz w:val="32"/>
        </w:rPr>
      </w:pPr>
      <w:r>
        <w:rPr>
          <w:rFonts w:hint="eastAsia" w:ascii="仿宋_GB2312" w:eastAsia="仿宋_GB2312"/>
          <w:sz w:val="32"/>
        </w:rPr>
        <w:t>本次绩效评价的目的在于全面了解螳川干部综合素质提升教育培训项目实施过程是否规范、产出目标是否完成以及效果目标是否实现等方面的内容。总结经验，查找不足，为项目在以后年度的开展提供可行性参考建议。在此基础上，重点分析项目实施过程的合规性、项目支出的真实性和控制有效性，评价财政资金的使用效率和效果，为以后年度编制项目预算、选择实施主体提供参考依据。</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54" w:name="_Toc48082203"/>
      <w:bookmarkStart w:id="55" w:name="_Toc73015753"/>
      <w:r>
        <w:rPr>
          <w:rFonts w:hint="eastAsia" w:ascii="楷体_GB2312" w:eastAsia="楷体_GB2312" w:hAnsiTheme="majorHAnsi" w:cstheme="majorBidi"/>
          <w:bCs/>
          <w:sz w:val="32"/>
          <w:szCs w:val="32"/>
        </w:rPr>
        <w:t>（二）绩效评价体系制定过程</w:t>
      </w:r>
      <w:bookmarkEnd w:id="54"/>
      <w:bookmarkEnd w:id="55"/>
    </w:p>
    <w:p>
      <w:pPr>
        <w:spacing w:line="600" w:lineRule="exact"/>
        <w:ind w:firstLine="643" w:firstLineChars="200"/>
        <w:rPr>
          <w:rFonts w:ascii="Times New Roman" w:eastAsia="仿宋_GB2312"/>
          <w:b/>
          <w:sz w:val="32"/>
        </w:rPr>
      </w:pPr>
      <w:r>
        <w:rPr>
          <w:rFonts w:hint="eastAsia" w:ascii="Times New Roman" w:eastAsia="仿宋_GB2312"/>
          <w:b/>
          <w:sz w:val="32"/>
        </w:rPr>
        <w:t>1.前期调研</w:t>
      </w:r>
    </w:p>
    <w:p>
      <w:pPr>
        <w:spacing w:line="600" w:lineRule="exact"/>
        <w:ind w:firstLine="640" w:firstLineChars="200"/>
        <w:rPr>
          <w:rFonts w:ascii="Times New Roman" w:eastAsia="仿宋_GB2312"/>
          <w:sz w:val="32"/>
        </w:rPr>
      </w:pPr>
      <w:r>
        <w:rPr>
          <w:rFonts w:hint="eastAsia" w:ascii="Times New Roman" w:eastAsia="仿宋_GB2312"/>
          <w:sz w:val="32"/>
        </w:rPr>
        <w:t>在受托对项目开展绩效评价后，项目组及时与安宁市中共市委组织部进行沟通，了解项目的基本情况，包括项目实施背景、计划实施内容、预算安排情况、组织实施流程、资金拨付流程等，并收集相关文件资料。</w:t>
      </w:r>
    </w:p>
    <w:p>
      <w:pPr>
        <w:spacing w:line="600" w:lineRule="exact"/>
        <w:ind w:firstLine="643" w:firstLineChars="200"/>
        <w:rPr>
          <w:rFonts w:ascii="Times New Roman" w:eastAsia="仿宋_GB2312"/>
          <w:b/>
          <w:sz w:val="32"/>
        </w:rPr>
      </w:pPr>
      <w:r>
        <w:rPr>
          <w:rFonts w:hint="eastAsia" w:ascii="Times New Roman" w:eastAsia="仿宋_GB2312"/>
          <w:b/>
          <w:sz w:val="32"/>
        </w:rPr>
        <w:t>2.研究文件</w:t>
      </w:r>
    </w:p>
    <w:p>
      <w:pPr>
        <w:spacing w:line="600" w:lineRule="exact"/>
        <w:ind w:firstLine="640" w:firstLineChars="200"/>
        <w:rPr>
          <w:rFonts w:ascii="Times New Roman" w:eastAsia="仿宋_GB2312"/>
          <w:sz w:val="32"/>
        </w:rPr>
      </w:pPr>
      <w:r>
        <w:rPr>
          <w:rFonts w:hint="eastAsia" w:ascii="Times New Roman" w:eastAsia="仿宋_GB2312"/>
          <w:sz w:val="32"/>
        </w:rPr>
        <w:t>在开展绩效评价后，项目组及时取得项目相关文件进行研读，及时组织评价人员开会，培训对文件内容进行传达。</w:t>
      </w:r>
    </w:p>
    <w:p>
      <w:pPr>
        <w:spacing w:line="600" w:lineRule="exact"/>
        <w:ind w:firstLine="643" w:firstLineChars="200"/>
        <w:rPr>
          <w:rFonts w:ascii="Times New Roman" w:eastAsia="仿宋_GB2312"/>
          <w:b/>
          <w:sz w:val="32"/>
        </w:rPr>
      </w:pPr>
      <w:r>
        <w:rPr>
          <w:rFonts w:hint="eastAsia" w:ascii="Times New Roman" w:eastAsia="仿宋_GB2312"/>
          <w:b/>
          <w:sz w:val="32"/>
        </w:rPr>
        <w:t>3.绩效评价指标体系及工作方案的设计</w:t>
      </w:r>
    </w:p>
    <w:p>
      <w:pPr>
        <w:pStyle w:val="3"/>
        <w:spacing w:line="600" w:lineRule="exact"/>
        <w:ind w:firstLine="480" w:firstLineChars="150"/>
        <w:rPr>
          <w:rFonts w:ascii="Times New Roman" w:hAnsi="Calibri" w:eastAsia="仿宋_GB2312" w:cs="Times New Roman"/>
          <w:b w:val="0"/>
          <w:bCs w:val="0"/>
          <w:szCs w:val="22"/>
        </w:rPr>
      </w:pPr>
      <w:bookmarkStart w:id="56" w:name="_Toc72762050"/>
      <w:bookmarkStart w:id="57" w:name="_Toc73015754"/>
      <w:bookmarkStart w:id="58" w:name="_Toc72938848"/>
      <w:bookmarkStart w:id="59" w:name="_Toc72934082"/>
      <w:bookmarkStart w:id="60" w:name="_Toc48082204"/>
      <w:r>
        <w:rPr>
          <w:rFonts w:hint="eastAsia" w:ascii="Times New Roman" w:hAnsi="Calibri" w:eastAsia="仿宋_GB2312" w:cs="Times New Roman"/>
          <w:b w:val="0"/>
          <w:bCs w:val="0"/>
          <w:szCs w:val="22"/>
        </w:rPr>
        <w:t>根据前期调研结果和对相关文件资料的研读，编制项目绩效评价指标体系，并就绩效评价指标体系的可行性，合理性与安宁市中共市委组织部沟通。根据反馈意见修正、补充完善相关意见及建议，最后形成最终绩效跟踪评价指标体系，并取得了安宁市中共市委组织部的同意。</w:t>
      </w:r>
      <w:bookmarkEnd w:id="56"/>
      <w:bookmarkEnd w:id="57"/>
      <w:bookmarkEnd w:id="58"/>
      <w:bookmarkEnd w:id="59"/>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61" w:name="_Toc73015755"/>
      <w:r>
        <w:rPr>
          <w:rFonts w:hint="eastAsia" w:ascii="楷体_GB2312" w:eastAsia="楷体_GB2312" w:hAnsiTheme="majorHAnsi" w:cstheme="majorBidi"/>
          <w:bCs/>
          <w:sz w:val="32"/>
          <w:szCs w:val="32"/>
        </w:rPr>
        <w:t>（三）绩效评价原则、评价方法</w:t>
      </w:r>
      <w:bookmarkEnd w:id="60"/>
      <w:r>
        <w:rPr>
          <w:rFonts w:hint="eastAsia" w:ascii="楷体_GB2312" w:eastAsia="楷体_GB2312" w:hAnsiTheme="majorHAnsi" w:cstheme="majorBidi"/>
          <w:bCs/>
          <w:sz w:val="32"/>
          <w:szCs w:val="32"/>
        </w:rPr>
        <w:t>等</w:t>
      </w:r>
      <w:bookmarkEnd w:id="61"/>
    </w:p>
    <w:p>
      <w:pPr>
        <w:spacing w:line="600" w:lineRule="exact"/>
        <w:ind w:firstLine="643" w:firstLineChars="200"/>
        <w:rPr>
          <w:rFonts w:ascii="Times New Roman" w:eastAsia="仿宋_GB2312"/>
          <w:b/>
          <w:sz w:val="32"/>
        </w:rPr>
      </w:pPr>
      <w:r>
        <w:rPr>
          <w:rFonts w:hint="eastAsia" w:ascii="Times New Roman" w:eastAsia="仿宋_GB2312"/>
          <w:b/>
          <w:sz w:val="32"/>
        </w:rPr>
        <w:t>1.绩效评价原则</w:t>
      </w:r>
    </w:p>
    <w:p>
      <w:pPr>
        <w:spacing w:line="600" w:lineRule="exact"/>
        <w:ind w:firstLine="640" w:firstLineChars="200"/>
        <w:rPr>
          <w:rFonts w:ascii="Times New Roman" w:eastAsia="仿宋_GB2312"/>
          <w:sz w:val="32"/>
        </w:rPr>
      </w:pPr>
      <w:r>
        <w:rPr>
          <w:rFonts w:hint="eastAsia" w:ascii="Times New Roman" w:eastAsia="仿宋_GB2312"/>
          <w:sz w:val="32"/>
        </w:rPr>
        <w:t>科学规范。绩效评价注重财政支出的经济性、效率性和有效性，严格执行规定的程序，采用定量与定性分析相结合的方法。公正公开。绩效评价客观、公正，标准统一、资料可靠，依法公开并接受监督。绩效相关。绩效评价针对具体支出及其产出绩效进行，评价结果清晰反映支出和产出绩效之间的紧密对应关系。</w:t>
      </w:r>
    </w:p>
    <w:p>
      <w:pPr>
        <w:spacing w:line="600" w:lineRule="exact"/>
        <w:ind w:firstLine="643" w:firstLineChars="200"/>
        <w:rPr>
          <w:rFonts w:ascii="Times New Roman" w:eastAsia="仿宋_GB2312"/>
          <w:b/>
          <w:sz w:val="32"/>
        </w:rPr>
      </w:pPr>
      <w:r>
        <w:rPr>
          <w:rFonts w:hint="eastAsia" w:ascii="Times New Roman" w:eastAsia="仿宋_GB2312"/>
          <w:b/>
          <w:sz w:val="32"/>
        </w:rPr>
        <w:t>2.绩效评价方法</w:t>
      </w:r>
    </w:p>
    <w:p>
      <w:pPr>
        <w:spacing w:line="600" w:lineRule="exact"/>
        <w:ind w:firstLine="640" w:firstLineChars="200"/>
        <w:rPr>
          <w:rFonts w:ascii="Times New Roman" w:eastAsia="仿宋_GB2312"/>
          <w:sz w:val="32"/>
        </w:rPr>
      </w:pPr>
      <w:r>
        <w:rPr>
          <w:rFonts w:ascii="Times New Roman" w:eastAsia="仿宋_GB2312"/>
          <w:sz w:val="32"/>
        </w:rPr>
        <w:t>本次绩效评价采用的方法包括指标评价、数据采集和社会调查</w:t>
      </w:r>
      <w:r>
        <w:rPr>
          <w:rFonts w:hint="eastAsia" w:ascii="Times New Roman" w:eastAsia="仿宋_GB2312"/>
          <w:sz w:val="32"/>
        </w:rPr>
        <w:t>。</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62" w:name="_Toc73015756"/>
      <w:bookmarkStart w:id="63" w:name="_Toc48082205"/>
      <w:r>
        <w:rPr>
          <w:rFonts w:hint="eastAsia" w:ascii="楷体_GB2312" w:eastAsia="楷体_GB2312" w:hAnsiTheme="majorHAnsi" w:cstheme="majorBidi"/>
          <w:bCs/>
          <w:sz w:val="32"/>
          <w:szCs w:val="32"/>
        </w:rPr>
        <w:t>（四）绩效评价实施过程</w:t>
      </w:r>
      <w:bookmarkEnd w:id="62"/>
      <w:bookmarkEnd w:id="63"/>
    </w:p>
    <w:p>
      <w:pPr>
        <w:spacing w:line="600" w:lineRule="exact"/>
        <w:ind w:firstLine="643" w:firstLineChars="200"/>
        <w:rPr>
          <w:rFonts w:ascii="Times New Roman" w:eastAsia="仿宋_GB2312"/>
          <w:b/>
          <w:sz w:val="32"/>
        </w:rPr>
      </w:pPr>
      <w:r>
        <w:rPr>
          <w:rFonts w:ascii="Times New Roman" w:eastAsia="仿宋_GB2312"/>
          <w:b/>
          <w:sz w:val="32"/>
        </w:rPr>
        <w:t>1.数据填报和采集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2021年4月，项目组就所需采集的数据与</w:t>
      </w:r>
      <w:r>
        <w:rPr>
          <w:rFonts w:hint="eastAsia" w:ascii="Times New Roman" w:hAnsi="Times New Roman" w:eastAsia="仿宋_GB2312"/>
          <w:sz w:val="32"/>
        </w:rPr>
        <w:t>安宁市中共市委组织部</w:t>
      </w:r>
      <w:r>
        <w:rPr>
          <w:rFonts w:ascii="Times New Roman" w:hAnsi="Times New Roman" w:eastAsia="仿宋_GB2312"/>
          <w:sz w:val="32"/>
        </w:rPr>
        <w:t>项目责任人进行沟通，实际走访</w:t>
      </w:r>
      <w:r>
        <w:rPr>
          <w:rFonts w:hint="eastAsia" w:ascii="Times New Roman" w:hAnsi="Times New Roman" w:eastAsia="仿宋_GB2312"/>
          <w:sz w:val="32"/>
        </w:rPr>
        <w:t>安宁市中共市委组织部</w:t>
      </w:r>
      <w:r>
        <w:rPr>
          <w:rFonts w:ascii="Times New Roman" w:hAnsi="Times New Roman" w:eastAsia="仿宋_GB2312"/>
          <w:sz w:val="32"/>
        </w:rPr>
        <w:t>及项目实施地收集项目预算安排和资金使用情况、项目目标完成情况、项目管理制度与执行情况及项目能力建设情况等相关资料，所有数据经核查后汇总。</w:t>
      </w:r>
    </w:p>
    <w:p>
      <w:pPr>
        <w:spacing w:line="600" w:lineRule="exact"/>
        <w:ind w:firstLine="643" w:firstLineChars="200"/>
        <w:rPr>
          <w:rFonts w:ascii="仿宋_GB2312" w:eastAsia="仿宋_GB2312"/>
          <w:b/>
          <w:sz w:val="32"/>
        </w:rPr>
      </w:pPr>
      <w:r>
        <w:rPr>
          <w:rFonts w:hint="eastAsia" w:ascii="仿宋_GB2312" w:eastAsia="仿宋_GB2312"/>
          <w:b/>
          <w:sz w:val="32"/>
        </w:rPr>
        <w:t>2.社会调查</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本次绩效跟踪评价采用问卷调查的方式进行，2021年5月，项目组采用微信小程序的方式发放了73份问卷对螳川干部综合素质提升教育培训项目社会效益和项目实施满意度进行调查，了解受益群体对项目的满意度情况，并根据问卷调查反馈结果撰写问卷调查分析报告（详见附件</w:t>
      </w:r>
      <w:r>
        <w:rPr>
          <w:rFonts w:hint="eastAsia" w:ascii="Times New Roman" w:hAnsi="Times New Roman" w:eastAsia="仿宋_GB2312"/>
          <w:sz w:val="32"/>
          <w:lang w:val="en-US" w:eastAsia="zh-CN"/>
        </w:rPr>
        <w:t>2</w:t>
      </w:r>
      <w:r>
        <w:rPr>
          <w:rFonts w:ascii="Times New Roman" w:hAnsi="Times New Roman" w:eastAsia="仿宋_GB2312"/>
          <w:sz w:val="32"/>
        </w:rPr>
        <w:t>）</w:t>
      </w:r>
    </w:p>
    <w:p>
      <w:pPr>
        <w:spacing w:line="600" w:lineRule="exact"/>
        <w:ind w:firstLine="643" w:firstLineChars="200"/>
        <w:rPr>
          <w:rFonts w:ascii="仿宋_GB2312" w:eastAsia="仿宋_GB2312"/>
          <w:b/>
          <w:sz w:val="32"/>
        </w:rPr>
      </w:pPr>
      <w:r>
        <w:rPr>
          <w:rFonts w:hint="eastAsia" w:ascii="仿宋_GB2312" w:eastAsia="仿宋_GB2312"/>
          <w:b/>
          <w:sz w:val="32"/>
        </w:rPr>
        <w:t>3.数据分析和撰写报告</w:t>
      </w:r>
      <w:bookmarkStart w:id="64" w:name="_Toc48082206"/>
    </w:p>
    <w:p>
      <w:pPr>
        <w:spacing w:line="600" w:lineRule="exact"/>
        <w:ind w:firstLine="640" w:firstLineChars="200"/>
        <w:rPr>
          <w:rFonts w:ascii="仿宋_GB2312" w:eastAsia="仿宋_GB2312"/>
          <w:sz w:val="32"/>
        </w:rPr>
      </w:pPr>
      <w:r>
        <w:rPr>
          <w:rFonts w:ascii="Times New Roman" w:hAnsi="Times New Roman" w:eastAsia="仿宋_GB2312"/>
          <w:sz w:val="32"/>
        </w:rPr>
        <w:t>2021年5月，项目组根据绩效评价的原理和安宁市财政局的要求，对采集的数据进行甄别、分析；同时，提炼结论、撰写报告，并与项目单位保持充分沟通，确保每个观点有理有据。在规定时间内完成报告初稿后，与被评价单位（中共安宁市委组织部）交换意见，修正、补充完善相关意见及建议，最后形成最终项目跟踪绩效评价报告</w:t>
      </w:r>
      <w:r>
        <w:rPr>
          <w:rFonts w:hint="eastAsia" w:ascii="仿宋_GB2312" w:eastAsia="仿宋_GB2312"/>
          <w:sz w:val="32"/>
        </w:rPr>
        <w:t>。</w:t>
      </w:r>
      <w:bookmarkEnd w:id="64"/>
    </w:p>
    <w:p>
      <w:pPr>
        <w:pStyle w:val="3"/>
        <w:spacing w:line="600" w:lineRule="exact"/>
        <w:ind w:firstLine="640" w:firstLineChars="200"/>
        <w:rPr>
          <w:rFonts w:ascii="黑体" w:hAnsi="黑体" w:eastAsia="黑体"/>
          <w:b w:val="0"/>
        </w:rPr>
      </w:pPr>
      <w:bookmarkStart w:id="65" w:name="_Toc48082207"/>
      <w:bookmarkStart w:id="66" w:name="_Toc73015757"/>
      <w:r>
        <w:rPr>
          <w:rFonts w:hint="eastAsia" w:ascii="黑体" w:hAnsi="黑体" w:eastAsia="黑体"/>
          <w:b w:val="0"/>
        </w:rPr>
        <w:t>三、评价结论和绩效分析</w:t>
      </w:r>
      <w:bookmarkEnd w:id="65"/>
      <w:bookmarkEnd w:id="66"/>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67" w:name="_Toc48082208"/>
      <w:bookmarkStart w:id="68" w:name="_Toc73015758"/>
      <w:r>
        <w:rPr>
          <w:rFonts w:hint="eastAsia" w:ascii="楷体_GB2312" w:eastAsia="楷体_GB2312" w:hAnsiTheme="majorHAnsi" w:cstheme="majorBidi"/>
          <w:bCs/>
          <w:sz w:val="32"/>
          <w:szCs w:val="32"/>
        </w:rPr>
        <w:t>（一）评价结论</w:t>
      </w:r>
      <w:bookmarkEnd w:id="67"/>
      <w:bookmarkEnd w:id="68"/>
    </w:p>
    <w:p>
      <w:pPr>
        <w:spacing w:line="600" w:lineRule="exact"/>
        <w:ind w:firstLine="643" w:firstLineChars="200"/>
        <w:rPr>
          <w:rFonts w:ascii="Times New Roman" w:eastAsia="仿宋_GB2312"/>
          <w:b/>
          <w:sz w:val="32"/>
        </w:rPr>
      </w:pPr>
      <w:r>
        <w:rPr>
          <w:rFonts w:hint="eastAsia" w:ascii="Times New Roman" w:eastAsia="仿宋_GB2312"/>
          <w:b/>
          <w:sz w:val="32"/>
        </w:rPr>
        <w:t>1.评价结果</w:t>
      </w:r>
    </w:p>
    <w:p>
      <w:pPr>
        <w:spacing w:line="600" w:lineRule="exact"/>
        <w:ind w:firstLine="640" w:firstLineChars="200"/>
        <w:rPr>
          <w:rFonts w:ascii="Times New Roman" w:eastAsia="仿宋_GB2312"/>
          <w:sz w:val="32"/>
        </w:rPr>
      </w:pPr>
      <w:r>
        <w:rPr>
          <w:rFonts w:hint="eastAsia" w:ascii="Times New Roman" w:eastAsia="仿宋_GB2312"/>
          <w:sz w:val="32"/>
        </w:rPr>
        <w:t>运用项目组制定的评价指标体系及评分标准，通过数据采集、问卷调查及访谈等，对项目绩效进行客观评价，最终评分结果为85.79分，绩效评级为“良”。各类指标权重和实际得分详见下表。</w:t>
      </w:r>
    </w:p>
    <w:tbl>
      <w:tblPr>
        <w:tblStyle w:val="29"/>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3"/>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3"/>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3"/>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3"/>
              <w:spacing w:before="106"/>
              <w:ind w:left="304" w:right="294"/>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15分</w:t>
            </w:r>
          </w:p>
        </w:tc>
        <w:tc>
          <w:tcPr>
            <w:tcW w:w="1701" w:type="dxa"/>
            <w:vAlign w:val="center"/>
          </w:tcPr>
          <w:p>
            <w:pPr>
              <w:pStyle w:val="23"/>
              <w:spacing w:before="106"/>
              <w:ind w:left="304" w:right="292"/>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25分</w:t>
            </w:r>
          </w:p>
        </w:tc>
        <w:tc>
          <w:tcPr>
            <w:tcW w:w="1559" w:type="dxa"/>
            <w:vAlign w:val="center"/>
          </w:tcPr>
          <w:p>
            <w:pPr>
              <w:pStyle w:val="23"/>
              <w:spacing w:before="106"/>
              <w:ind w:left="304" w:right="291"/>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60分</w:t>
            </w:r>
          </w:p>
        </w:tc>
        <w:tc>
          <w:tcPr>
            <w:tcW w:w="1843" w:type="dxa"/>
            <w:vAlign w:val="center"/>
          </w:tcPr>
          <w:p>
            <w:pPr>
              <w:pStyle w:val="23"/>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100</w:t>
            </w:r>
            <w:r>
              <w:rPr>
                <w:rFonts w:hint="eastAsia" w:ascii="Times New Roman" w:hAnsi="Times New Roman" w:eastAsia="宋体" w:cs="Times New Roman"/>
                <w:sz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3"/>
              <w:spacing w:before="103"/>
              <w:ind w:left="7"/>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100%</w:t>
            </w:r>
          </w:p>
        </w:tc>
        <w:tc>
          <w:tcPr>
            <w:tcW w:w="1701" w:type="dxa"/>
            <w:vAlign w:val="center"/>
          </w:tcPr>
          <w:p>
            <w:pPr>
              <w:pStyle w:val="23"/>
              <w:spacing w:before="103"/>
              <w:ind w:left="303" w:right="294"/>
              <w:rPr>
                <w:rFonts w:ascii="Times New Roman" w:hAnsi="Times New Roman" w:eastAsia="宋体" w:cs="Times New Roman"/>
                <w:sz w:val="21"/>
                <w:lang w:eastAsia="en-US"/>
              </w:rPr>
            </w:pPr>
            <w:r>
              <w:rPr>
                <w:rFonts w:hint="eastAsia" w:ascii="Times New Roman"/>
                <w:sz w:val="24"/>
                <w:szCs w:val="24"/>
                <w:lang w:eastAsia="en-US"/>
              </w:rPr>
              <w:t>83.56%</w:t>
            </w:r>
          </w:p>
        </w:tc>
        <w:tc>
          <w:tcPr>
            <w:tcW w:w="1559" w:type="dxa"/>
            <w:vAlign w:val="center"/>
          </w:tcPr>
          <w:p>
            <w:pPr>
              <w:pStyle w:val="23"/>
              <w:spacing w:before="103"/>
              <w:ind w:left="304" w:right="294"/>
              <w:rPr>
                <w:rFonts w:ascii="Times New Roman" w:hAnsi="Times New Roman" w:eastAsia="宋体" w:cs="Times New Roman"/>
                <w:sz w:val="21"/>
                <w:lang w:eastAsia="en-US"/>
              </w:rPr>
            </w:pPr>
            <w:r>
              <w:rPr>
                <w:rFonts w:hint="eastAsia" w:ascii="Times New Roman"/>
                <w:sz w:val="24"/>
                <w:szCs w:val="24"/>
                <w:lang w:eastAsia="en-US"/>
              </w:rPr>
              <w:t>8</w:t>
            </w:r>
            <w:r>
              <w:rPr>
                <w:rFonts w:hint="eastAsia" w:ascii="Times New Roman"/>
                <w:sz w:val="24"/>
                <w:szCs w:val="24"/>
                <w:lang w:eastAsia="zh-CN"/>
              </w:rPr>
              <w:t>3</w:t>
            </w:r>
            <w:r>
              <w:rPr>
                <w:rFonts w:hint="eastAsia" w:ascii="Times New Roman"/>
                <w:sz w:val="24"/>
                <w:szCs w:val="24"/>
                <w:lang w:eastAsia="en-US"/>
              </w:rPr>
              <w:t>.</w:t>
            </w:r>
            <w:r>
              <w:rPr>
                <w:rFonts w:hint="eastAsia" w:ascii="Times New Roman"/>
                <w:sz w:val="24"/>
                <w:szCs w:val="24"/>
                <w:lang w:eastAsia="zh-CN"/>
              </w:rPr>
              <w:t>17</w:t>
            </w:r>
            <w:r>
              <w:rPr>
                <w:rFonts w:hint="eastAsia" w:ascii="Times New Roman"/>
                <w:sz w:val="24"/>
                <w:szCs w:val="24"/>
                <w:lang w:eastAsia="en-US"/>
              </w:rPr>
              <w:t>%</w:t>
            </w:r>
          </w:p>
        </w:tc>
        <w:tc>
          <w:tcPr>
            <w:tcW w:w="1843" w:type="dxa"/>
            <w:vAlign w:val="center"/>
          </w:tcPr>
          <w:p>
            <w:pPr>
              <w:pStyle w:val="23"/>
              <w:spacing w:before="106"/>
              <w:ind w:left="304" w:right="291"/>
              <w:rPr>
                <w:rFonts w:ascii="Times New Roman" w:hAnsi="Times New Roman" w:eastAsia="宋体" w:cs="Times New Roman"/>
                <w:sz w:val="21"/>
                <w:lang w:eastAsia="en-US"/>
              </w:rPr>
            </w:pPr>
            <w:r>
              <w:rPr>
                <w:rFonts w:ascii="Times New Roman"/>
                <w:sz w:val="24"/>
                <w:szCs w:val="24"/>
                <w:lang w:eastAsia="en-US"/>
              </w:rPr>
              <w:fldChar w:fldCharType="begin"/>
            </w:r>
            <w:r>
              <w:rPr>
                <w:rFonts w:ascii="Times New Roman"/>
                <w:sz w:val="24"/>
                <w:szCs w:val="24"/>
                <w:lang w:eastAsia="en-US"/>
              </w:rPr>
              <w:instrText xml:space="preserve"> </w:instrText>
            </w:r>
            <w:r>
              <w:rPr>
                <w:rFonts w:hint="eastAsia" w:ascii="Times New Roman"/>
                <w:sz w:val="24"/>
                <w:szCs w:val="24"/>
                <w:lang w:eastAsia="en-US"/>
              </w:rPr>
              <w:instrText xml:space="preserve">=SUM(ABOVE)*100 \# "0.00%"</w:instrText>
            </w:r>
            <w:r>
              <w:rPr>
                <w:rFonts w:ascii="Times New Roman"/>
                <w:sz w:val="24"/>
                <w:szCs w:val="24"/>
                <w:lang w:eastAsia="en-US"/>
              </w:rPr>
              <w:instrText xml:space="preserve"> </w:instrText>
            </w:r>
            <w:r>
              <w:rPr>
                <w:rFonts w:ascii="Times New Roman"/>
                <w:sz w:val="24"/>
                <w:szCs w:val="24"/>
                <w:lang w:eastAsia="en-US"/>
              </w:rPr>
              <w:fldChar w:fldCharType="separate"/>
            </w:r>
            <w:r>
              <w:rPr>
                <w:rFonts w:hint="eastAsia" w:ascii="Times New Roman"/>
                <w:sz w:val="24"/>
                <w:szCs w:val="24"/>
                <w:lang w:eastAsia="en-US"/>
              </w:rPr>
              <w:t>8</w:t>
            </w:r>
            <w:r>
              <w:rPr>
                <w:rFonts w:hint="eastAsia" w:ascii="Times New Roman"/>
                <w:sz w:val="24"/>
                <w:szCs w:val="24"/>
                <w:lang w:eastAsia="zh-CN"/>
              </w:rPr>
              <w:t>5</w:t>
            </w:r>
            <w:r>
              <w:rPr>
                <w:rFonts w:hint="eastAsia" w:ascii="Times New Roman"/>
                <w:sz w:val="24"/>
                <w:szCs w:val="24"/>
                <w:lang w:eastAsia="en-US"/>
              </w:rPr>
              <w:t>.79%</w:t>
            </w:r>
            <w:r>
              <w:rPr>
                <w:rFonts w:ascii="Times New Roman"/>
                <w:sz w:val="24"/>
                <w:szCs w:val="24"/>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3"/>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3"/>
              <w:spacing w:before="103"/>
              <w:ind w:left="7"/>
              <w:rPr>
                <w:rFonts w:ascii="Times New Roman" w:hAnsi="Times New Roman" w:eastAsia="宋体" w:cs="Times New Roman"/>
                <w:sz w:val="21"/>
                <w:lang w:eastAsia="en-US"/>
              </w:rPr>
            </w:pPr>
            <w:r>
              <w:rPr>
                <w:rFonts w:hint="eastAsia" w:ascii="Times New Roman" w:hAnsi="Times New Roman" w:eastAsia="宋体" w:cs="Times New Roman"/>
                <w:sz w:val="21"/>
                <w:lang w:eastAsia="en-US"/>
              </w:rPr>
              <w:t>15.00</w:t>
            </w:r>
          </w:p>
        </w:tc>
        <w:tc>
          <w:tcPr>
            <w:tcW w:w="1701" w:type="dxa"/>
            <w:vAlign w:val="center"/>
          </w:tcPr>
          <w:p>
            <w:pPr>
              <w:pStyle w:val="23"/>
              <w:spacing w:before="103"/>
              <w:ind w:left="303" w:right="294"/>
              <w:rPr>
                <w:rFonts w:ascii="Times New Roman" w:hAnsi="Times New Roman" w:eastAsia="宋体" w:cs="Times New Roman"/>
                <w:sz w:val="21"/>
                <w:lang w:eastAsia="en-US"/>
              </w:rPr>
            </w:pPr>
            <w:r>
              <w:rPr>
                <w:rFonts w:hint="eastAsia" w:ascii="Times New Roman"/>
                <w:sz w:val="24"/>
                <w:szCs w:val="24"/>
                <w:lang w:eastAsia="en-US"/>
              </w:rPr>
              <w:t>20.89</w:t>
            </w:r>
          </w:p>
        </w:tc>
        <w:tc>
          <w:tcPr>
            <w:tcW w:w="1559" w:type="dxa"/>
            <w:vAlign w:val="center"/>
          </w:tcPr>
          <w:p>
            <w:pPr>
              <w:pStyle w:val="23"/>
              <w:spacing w:before="106"/>
              <w:ind w:left="304" w:right="291"/>
              <w:rPr>
                <w:rFonts w:ascii="Times New Roman" w:hAnsi="Times New Roman" w:eastAsia="宋体" w:cs="Times New Roman"/>
                <w:sz w:val="21"/>
                <w:lang w:eastAsia="en-US"/>
              </w:rPr>
            </w:pPr>
            <w:r>
              <w:rPr>
                <w:rFonts w:hint="eastAsia" w:ascii="Times New Roman"/>
                <w:sz w:val="24"/>
                <w:szCs w:val="24"/>
                <w:lang w:eastAsia="zh-CN"/>
              </w:rPr>
              <w:t>49.</w:t>
            </w:r>
            <w:r>
              <w:rPr>
                <w:rFonts w:hint="eastAsia" w:ascii="Times New Roman"/>
                <w:sz w:val="24"/>
                <w:szCs w:val="24"/>
                <w:lang w:eastAsia="en-US"/>
              </w:rPr>
              <w:t>90</w:t>
            </w:r>
          </w:p>
        </w:tc>
        <w:tc>
          <w:tcPr>
            <w:tcW w:w="1843" w:type="dxa"/>
            <w:vAlign w:val="center"/>
          </w:tcPr>
          <w:p>
            <w:pPr>
              <w:pStyle w:val="23"/>
              <w:spacing w:before="106"/>
              <w:ind w:left="585" w:right="291"/>
              <w:jc w:val="both"/>
              <w:rPr>
                <w:rFonts w:ascii="Times New Roman" w:hAnsi="Times New Roman" w:eastAsia="宋体" w:cs="Times New Roman"/>
                <w:sz w:val="21"/>
                <w:lang w:eastAsia="en-US"/>
              </w:rPr>
            </w:pPr>
            <w:r>
              <w:rPr>
                <w:rFonts w:hint="eastAsia" w:ascii="Times New Roman"/>
                <w:sz w:val="24"/>
                <w:szCs w:val="24"/>
                <w:lang w:eastAsia="en-US"/>
              </w:rPr>
              <w:t>8</w:t>
            </w:r>
            <w:r>
              <w:rPr>
                <w:rFonts w:hint="eastAsia" w:ascii="Times New Roman"/>
                <w:sz w:val="24"/>
                <w:szCs w:val="24"/>
                <w:lang w:eastAsia="zh-CN"/>
              </w:rPr>
              <w:t>5</w:t>
            </w:r>
            <w:r>
              <w:rPr>
                <w:rFonts w:hint="eastAsia" w:ascii="Times New Roman"/>
                <w:sz w:val="24"/>
                <w:szCs w:val="24"/>
                <w:lang w:eastAsia="en-US"/>
              </w:rPr>
              <w:t>.79</w:t>
            </w:r>
          </w:p>
        </w:tc>
      </w:tr>
    </w:tbl>
    <w:p>
      <w:pPr>
        <w:spacing w:line="600" w:lineRule="exact"/>
        <w:ind w:firstLine="643" w:firstLineChars="200"/>
        <w:rPr>
          <w:rFonts w:ascii="Times New Roman" w:eastAsia="仿宋_GB2312"/>
          <w:b/>
          <w:sz w:val="32"/>
        </w:rPr>
      </w:pPr>
      <w:r>
        <w:rPr>
          <w:rFonts w:hint="eastAsia" w:ascii="Times New Roman" w:eastAsia="仿宋_GB2312"/>
          <w:b/>
          <w:sz w:val="32"/>
        </w:rPr>
        <w:t>2.主要绩效</w:t>
      </w:r>
    </w:p>
    <w:p>
      <w:pPr>
        <w:spacing w:line="600" w:lineRule="exact"/>
        <w:ind w:firstLine="640" w:firstLineChars="200"/>
        <w:rPr>
          <w:rFonts w:ascii="Times New Roman" w:eastAsia="仿宋_GB2312"/>
          <w:sz w:val="32"/>
        </w:rPr>
      </w:pPr>
      <w:r>
        <w:rPr>
          <w:rFonts w:ascii="Times New Roman" w:eastAsia="仿宋_GB2312"/>
          <w:sz w:val="32"/>
        </w:rPr>
        <w:t>基于指标评分、问卷调查以及对若干关键绩效环节的访谈调研和资料整理，得出如下综合评价结论:</w:t>
      </w:r>
    </w:p>
    <w:p>
      <w:pPr>
        <w:spacing w:line="600" w:lineRule="exact"/>
        <w:ind w:firstLine="640" w:firstLineChars="200"/>
        <w:rPr>
          <w:rFonts w:ascii="Times New Roman" w:eastAsia="仿宋_GB2312"/>
          <w:sz w:val="32"/>
        </w:rPr>
      </w:pPr>
      <w:r>
        <w:rPr>
          <w:rFonts w:hint="eastAsia" w:ascii="Times New Roman" w:eastAsia="仿宋_GB2312"/>
          <w:sz w:val="32"/>
        </w:rPr>
        <w:t>螳川干部综合素质提升教育培训</w:t>
      </w:r>
      <w:r>
        <w:rPr>
          <w:rFonts w:ascii="Times New Roman" w:eastAsia="仿宋_GB2312"/>
          <w:sz w:val="32"/>
        </w:rPr>
        <w:t>项目总体组织比较规范，</w:t>
      </w:r>
      <w:r>
        <w:rPr>
          <w:rFonts w:hint="eastAsia" w:ascii="Times New Roman" w:eastAsia="仿宋_GB2312"/>
          <w:sz w:val="32"/>
        </w:rPr>
        <w:t>项目专项</w:t>
      </w:r>
      <w:r>
        <w:rPr>
          <w:rFonts w:ascii="Times New Roman" w:eastAsia="仿宋_GB2312"/>
          <w:sz w:val="32"/>
        </w:rPr>
        <w:t>资金投入使用后，</w:t>
      </w:r>
      <w:r>
        <w:rPr>
          <w:rFonts w:hint="eastAsia" w:ascii="Times New Roman" w:eastAsia="仿宋_GB2312"/>
          <w:sz w:val="32"/>
        </w:rPr>
        <w:t>各实施单位组织开展的培训项目基本已完成，受训人员的满意度较高，基本实现了预期目标。</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69" w:name="_Toc73015759"/>
      <w:bookmarkStart w:id="70" w:name="_Toc48082209"/>
      <w:r>
        <w:rPr>
          <w:rFonts w:hint="eastAsia" w:ascii="楷体_GB2312" w:eastAsia="楷体_GB2312" w:hAnsiTheme="majorHAnsi" w:cstheme="majorBidi"/>
          <w:bCs/>
          <w:sz w:val="32"/>
          <w:szCs w:val="32"/>
        </w:rPr>
        <w:t>（二）绩效分析</w:t>
      </w:r>
      <w:bookmarkEnd w:id="69"/>
      <w:bookmarkEnd w:id="70"/>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A.项目决策</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项目决策包括项目立项和项目目标两方面内容。本次评价用</w:t>
      </w:r>
      <w:r>
        <w:rPr>
          <w:rFonts w:hint="eastAsia" w:ascii="Times New Roman" w:hAnsi="Times New Roman" w:eastAsia="仿宋_GB2312"/>
          <w:sz w:val="32"/>
        </w:rPr>
        <w:t>5</w:t>
      </w:r>
      <w:r>
        <w:rPr>
          <w:rFonts w:ascii="Times New Roman" w:hAnsi="Times New Roman" w:eastAsia="仿宋_GB2312"/>
          <w:sz w:val="32"/>
        </w:rPr>
        <w:t>个三级指标从9个方面进行考察，权重分值15</w:t>
      </w:r>
      <w:r>
        <w:rPr>
          <w:rFonts w:hint="eastAsia" w:ascii="Times New Roman" w:hAnsi="Times New Roman" w:eastAsia="仿宋_GB2312"/>
          <w:sz w:val="32"/>
        </w:rPr>
        <w:t>.00</w:t>
      </w:r>
      <w:r>
        <w:rPr>
          <w:rFonts w:ascii="Times New Roman" w:hAnsi="Times New Roman" w:eastAsia="仿宋_GB2312"/>
          <w:sz w:val="32"/>
        </w:rPr>
        <w:t>分，实际得分15.00分，得分率100.00%。指标业绩值和实际得分详见下表。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3"/>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7"/>
              <w:jc w:val="left"/>
              <w:rPr>
                <w:rFonts w:ascii="Times New Roman" w:hAnsi="Times New Roman" w:cs="Times New Roman"/>
                <w:sz w:val="18"/>
                <w:szCs w:val="18"/>
              </w:rPr>
            </w:pPr>
            <w:bookmarkStart w:id="71" w:name="_Hlk47862449"/>
            <w:r>
              <w:rPr>
                <w:rFonts w:ascii="Times New Roman" w:hAnsi="Times New Roman" w:cs="Times New Roman"/>
                <w:sz w:val="18"/>
                <w:szCs w:val="18"/>
              </w:rPr>
              <w:t>A11.与部门中长期规划目标适应性</w:t>
            </w:r>
            <w:bookmarkEnd w:id="71"/>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77" w:line="200" w:lineRule="exact"/>
              <w:ind w:left="107" w:right="139" w:firstLine="419"/>
              <w:jc w:val="left"/>
              <w:rPr>
                <w:rFonts w:ascii="Times New Roman" w:hAnsi="Times New Roman" w:cs="Times New Roman"/>
                <w:sz w:val="18"/>
                <w:szCs w:val="18"/>
              </w:rPr>
            </w:pPr>
            <w:bookmarkStart w:id="72" w:name="_Hlk47862591"/>
            <w:r>
              <w:rPr>
                <w:rFonts w:ascii="Times New Roman" w:hAnsi="Times New Roman" w:cs="Times New Roman"/>
                <w:sz w:val="18"/>
                <w:szCs w:val="18"/>
              </w:rPr>
              <w:t>A111.与部门中长期规划目标匹配性</w:t>
            </w:r>
            <w:bookmarkEnd w:id="72"/>
          </w:p>
        </w:tc>
        <w:tc>
          <w:tcPr>
            <w:tcW w:w="1275" w:type="dxa"/>
            <w:tcBorders>
              <w:top w:val="single" w:color="000000" w:sz="4" w:space="0"/>
              <w:left w:val="nil"/>
              <w:bottom w:val="single" w:color="000000" w:sz="4" w:space="0"/>
              <w:right w:val="single" w:color="000000" w:sz="4" w:space="0"/>
            </w:tcBorders>
            <w:vAlign w:val="center"/>
          </w:tcPr>
          <w:p>
            <w:pPr>
              <w:pStyle w:val="23"/>
              <w:spacing w:before="1"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5" w:line="200" w:lineRule="exact"/>
              <w:ind w:right="1820"/>
              <w:jc w:val="both"/>
              <w:rPr>
                <w:rFonts w:ascii="Times New Roman" w:hAnsi="Times New Roman" w:cs="Times New Roman"/>
                <w:sz w:val="18"/>
                <w:szCs w:val="18"/>
              </w:rPr>
            </w:pPr>
            <w:r>
              <w:rPr>
                <w:rFonts w:ascii="Times New Roman" w:hAnsi="Times New Roman" w:cs="Times New Roman"/>
                <w:sz w:val="18"/>
                <w:szCs w:val="18"/>
              </w:rPr>
              <w:t>A12.</w:t>
            </w:r>
            <w:r>
              <w:rPr>
                <w:rFonts w:hint="eastAsia" w:ascii="Times New Roman" w:hAnsi="Times New Roman" w:cs="Times New Roman"/>
                <w:sz w:val="18"/>
                <w:szCs w:val="18"/>
              </w:rPr>
              <w:t>立项依据充分性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7"/>
              <w:jc w:val="left"/>
              <w:rPr>
                <w:rFonts w:ascii="Times New Roman" w:hAnsi="Times New Roman" w:cs="Times New Roman"/>
                <w:sz w:val="18"/>
                <w:szCs w:val="18"/>
              </w:rPr>
            </w:pPr>
            <w:bookmarkStart w:id="73" w:name="_Hlk47864042"/>
            <w:r>
              <w:rPr>
                <w:rFonts w:ascii="Times New Roman" w:hAnsi="Times New Roman" w:cs="Times New Roman"/>
                <w:sz w:val="18"/>
                <w:szCs w:val="18"/>
              </w:rPr>
              <w:t xml:space="preserve">    A121.</w:t>
            </w:r>
            <w:r>
              <w:rPr>
                <w:rFonts w:hint="eastAsia" w:ascii="Times New Roman" w:hAnsi="Times New Roman" w:cs="Times New Roman"/>
                <w:sz w:val="18"/>
                <w:szCs w:val="18"/>
              </w:rPr>
              <w:t>与市政府相关规划、决策匹配性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2" w:line="200" w:lineRule="exact"/>
              <w:ind w:right="1190"/>
              <w:jc w:val="both"/>
              <w:rPr>
                <w:rFonts w:ascii="Times New Roman" w:hAnsi="Times New Roman" w:cs="Times New Roman"/>
                <w:sz w:val="18"/>
                <w:szCs w:val="18"/>
              </w:rPr>
            </w:pPr>
            <w:r>
              <w:rPr>
                <w:rFonts w:ascii="Times New Roman" w:hAnsi="Times New Roman" w:cs="Times New Roman"/>
                <w:sz w:val="18"/>
                <w:szCs w:val="18"/>
              </w:rPr>
              <w:t xml:space="preserve">     A122.</w:t>
            </w:r>
            <w:r>
              <w:rPr>
                <w:rFonts w:hint="eastAsia" w:ascii="Times New Roman" w:hAnsi="Times New Roman" w:cs="Times New Roman"/>
                <w:sz w:val="18"/>
                <w:szCs w:val="18"/>
              </w:rPr>
              <w:t>与部门职责适应性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3"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before="92" w:line="200" w:lineRule="exact"/>
              <w:ind w:left="252" w:right="242"/>
              <w:rPr>
                <w:rFonts w:ascii="Times New Roman" w:hAnsi="Times New Roman" w:cs="Times New Roman"/>
                <w:sz w:val="18"/>
                <w:szCs w:val="18"/>
              </w:rPr>
            </w:pPr>
            <w:r>
              <w:rPr>
                <w:rFonts w:hint="eastAsia" w:ascii="Times New Roman" w:hAnsi="Times New Roman" w:cs="Times New Roman"/>
                <w:sz w:val="18"/>
                <w:szCs w:val="18"/>
              </w:rPr>
              <w:t>适应</w:t>
            </w:r>
          </w:p>
        </w:tc>
        <w:tc>
          <w:tcPr>
            <w:tcW w:w="1276" w:type="dxa"/>
            <w:tcBorders>
              <w:top w:val="single" w:color="000000" w:sz="4" w:space="0"/>
              <w:left w:val="nil"/>
              <w:bottom w:val="single" w:color="000000" w:sz="4" w:space="0"/>
              <w:right w:val="single" w:color="000000" w:sz="4" w:space="0"/>
            </w:tcBorders>
            <w:vAlign w:val="center"/>
          </w:tcPr>
          <w:p>
            <w:pPr>
              <w:pStyle w:val="23"/>
              <w:spacing w:before="103"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w:t>
            </w:r>
            <w:r>
              <w:rPr>
                <w:rFonts w:hint="eastAsia" w:ascii="Times New Roman" w:hAnsi="Times New Roman" w:cs="Times New Roman"/>
                <w:sz w:val="18"/>
                <w:szCs w:val="18"/>
              </w:rPr>
              <w:t>项目立项规范性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132.</w:t>
            </w:r>
            <w:r>
              <w:rPr>
                <w:rFonts w:hint="eastAsia" w:ascii="Times New Roman" w:hAnsi="Times New Roman" w:cs="Times New Roman"/>
                <w:sz w:val="18"/>
                <w:szCs w:val="18"/>
              </w:rPr>
              <w:t>立项程序规范性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bookmarkEnd w:id="7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A21.绩效目标设定的合理性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A211.绩效目标相关性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相关</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A212.绩效目标完整性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完整反映</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A213.目标与预算的匹配性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A22.绩效指标设定的明确性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A221.指标细化分解情况</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细化</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A222.指标与目标的匹配性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420" w:right="1409"/>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15</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15</w:t>
            </w:r>
            <w:r>
              <w:rPr>
                <w:rFonts w:ascii="Times New Roman" w:hAnsi="Times New Roman" w:cs="Times New Roman"/>
                <w:sz w:val="18"/>
                <w:szCs w:val="18"/>
              </w:rPr>
              <w:t>.00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A1.项目立项</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反映项目是否符合螳川干部综合素质提升教育培训使用目标，前期准备工作、立项依据是否充分并符合相关要求，考核项目与各级下达目标是否匹配、明确。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A11.与部门中长期规划目标适应性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A111.与部门中长期规划目标匹配性：通过检查</w:t>
      </w:r>
      <w:r>
        <w:rPr>
          <w:rFonts w:hint="eastAsia" w:ascii="Times New Roman" w:hAnsi="Times New Roman" w:eastAsia="仿宋_GB2312"/>
          <w:sz w:val="32"/>
        </w:rPr>
        <w:t>安宁市中共市委组织部年度工作目标、实施方案</w:t>
      </w:r>
      <w:r>
        <w:rPr>
          <w:rFonts w:ascii="Times New Roman" w:hAnsi="Times New Roman" w:eastAsia="仿宋_GB2312"/>
          <w:sz w:val="32"/>
        </w:rPr>
        <w:t>，项目的长期目标：本着“学理论、看变化、找差距、谋发展”原则，通过“走出去”和“请进来”学习，着力提升我市领导干部引领发展的能力和水平，培养造就一支高素质干部队伍，推动全市经济社会全面发展，跨越式发展、科学发展。与《安宁市2019年“螳川干部综合素质提升行动计划”实施方案》（安办通〔2018〕105号）的通知长期规划相匹配。</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A12.立项依据充分性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A121.与市政府相关规划、决策匹配性：通过</w:t>
      </w:r>
      <w:r>
        <w:rPr>
          <w:rFonts w:hint="eastAsia" w:ascii="Times New Roman" w:hAnsi="Times New Roman" w:eastAsia="仿宋_GB2312"/>
          <w:sz w:val="32"/>
        </w:rPr>
        <w:t>检查</w:t>
      </w:r>
      <w:r>
        <w:rPr>
          <w:rFonts w:ascii="Times New Roman" w:hAnsi="Times New Roman" w:eastAsia="仿宋_GB2312"/>
          <w:sz w:val="32"/>
        </w:rPr>
        <w:t>年度工作目标与部门中长期规划文件，</w:t>
      </w:r>
      <w:r>
        <w:rPr>
          <w:rFonts w:hint="eastAsia" w:ascii="Times New Roman" w:hAnsi="Times New Roman" w:eastAsia="仿宋_GB2312"/>
          <w:sz w:val="32"/>
        </w:rPr>
        <w:t>发现</w:t>
      </w:r>
      <w:r>
        <w:rPr>
          <w:rFonts w:ascii="Times New Roman" w:hAnsi="Times New Roman" w:eastAsia="仿宋_GB2312"/>
          <w:sz w:val="32"/>
        </w:rPr>
        <w:t>本项目实施能够从干部综合素质提升教育出发，符合政府长期发展规划。</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A122.与部门职责适应性：通过</w:t>
      </w:r>
      <w:r>
        <w:rPr>
          <w:rFonts w:hint="eastAsia" w:ascii="Times New Roman" w:hAnsi="Times New Roman" w:eastAsia="仿宋_GB2312"/>
          <w:sz w:val="32"/>
        </w:rPr>
        <w:t>检查安宁市中共市委组织部</w:t>
      </w:r>
      <w:r>
        <w:rPr>
          <w:rFonts w:ascii="Times New Roman" w:hAnsi="Times New Roman" w:eastAsia="仿宋_GB2312"/>
          <w:sz w:val="32"/>
        </w:rPr>
        <w:t>年度工作任务，结合</w:t>
      </w:r>
      <w:r>
        <w:rPr>
          <w:rFonts w:hint="eastAsia" w:ascii="Times New Roman" w:hAnsi="Times New Roman" w:eastAsia="仿宋_GB2312"/>
          <w:sz w:val="32"/>
        </w:rPr>
        <w:t>安宁市中共市委组织部</w:t>
      </w:r>
      <w:r>
        <w:rPr>
          <w:rFonts w:ascii="Times New Roman" w:hAnsi="Times New Roman" w:eastAsia="仿宋_GB2312"/>
          <w:sz w:val="32"/>
        </w:rPr>
        <w:t>部门职能职责，项目与</w:t>
      </w:r>
      <w:r>
        <w:rPr>
          <w:rFonts w:hint="eastAsia" w:ascii="Times New Roman" w:hAnsi="Times New Roman" w:eastAsia="仿宋_GB2312"/>
          <w:sz w:val="32"/>
        </w:rPr>
        <w:t>安宁市中共市委组织部</w:t>
      </w:r>
      <w:r>
        <w:rPr>
          <w:rFonts w:ascii="Times New Roman" w:hAnsi="Times New Roman" w:eastAsia="仿宋_GB2312"/>
          <w:sz w:val="32"/>
        </w:rPr>
        <w:t>部门职责密切相关，项目的实施与中共安宁市委组织部的职责相适应。</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A13.项目立项规范性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A131.立项程序规范性：根据项目前期申报资料，项目按照规定的程序申报，立项充分，程序合规。</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A2.项目目标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反映项目目标设立时确定的绩效目标是否合理、相关，填报的绩效指标是否明确、可衡量并与年度预算相匹配。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A21.绩效目标设定的合理性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A211.绩效目标相关性：将取得的年度工作计划、绩效目标申报表等前期项目申报资料与</w:t>
      </w:r>
      <w:r>
        <w:rPr>
          <w:rFonts w:hint="eastAsia" w:ascii="Times New Roman" w:hAnsi="Times New Roman" w:eastAsia="仿宋_GB2312"/>
          <w:sz w:val="32"/>
        </w:rPr>
        <w:t>安宁市中共市委组织部</w:t>
      </w:r>
      <w:r>
        <w:rPr>
          <w:rFonts w:ascii="Times New Roman" w:hAnsi="Times New Roman" w:eastAsia="仿宋_GB2312"/>
          <w:sz w:val="32"/>
        </w:rPr>
        <w:t>的中长期规划进行比对，确定项目实施情况与项目中长期规划一致。</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A212.绩效目标完成整体性：通过检查年度工作计划、绩效目标申报表、培训方案等前期项目申报资料，项目的绩效目标能够完整的反映项目的实施成果。</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highlight w:val="yellow"/>
        </w:rPr>
      </w:pPr>
      <w:r>
        <w:rPr>
          <w:rFonts w:ascii="Times New Roman" w:hAnsi="Times New Roman" w:eastAsia="仿宋_GB2312"/>
          <w:sz w:val="32"/>
        </w:rPr>
        <w:t>A213.目标与预算的匹配性：通过检查年度工作计划、绩效目标申报表、《安宁市财政局2019年部门预算财政拨款支出批复》(安财发〔2019〕07号)，项目设定的绩效目标与年度预算相匹配。</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A22.绩效指标设定的明确性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A221.指标细化分解情况：中共安宁市委组织部总体绩效指标参照《安宁市2019年“螳川干部综合素质提升行动计划”实施方案》（安办通〔2018〕105号）的通知确定绩效目标</w:t>
      </w:r>
      <w:r>
        <w:rPr>
          <w:rFonts w:hint="eastAsia" w:ascii="Times New Roman" w:hAnsi="Times New Roman" w:eastAsia="仿宋_GB2312"/>
          <w:sz w:val="32"/>
        </w:rPr>
        <w:t>，绩效目表分解细化清晰。根据评分标准得满分。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A222.指标与目标的匹配性：通过检查前期项目申报材料，如年度工作计划、绩效目标申报表，该项目设定的绩效指标与</w:t>
      </w:r>
      <w:r>
        <w:rPr>
          <w:rFonts w:hint="eastAsia" w:ascii="Times New Roman" w:hAnsi="Times New Roman" w:eastAsia="仿宋_GB2312"/>
          <w:sz w:val="32"/>
        </w:rPr>
        <w:t>安宁市中共市委组织部</w:t>
      </w:r>
      <w:r>
        <w:rPr>
          <w:rFonts w:ascii="Times New Roman" w:hAnsi="Times New Roman" w:eastAsia="仿宋_GB2312"/>
          <w:sz w:val="32"/>
        </w:rPr>
        <w:t>的项目年度工作任务相对应。</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仿宋_GB2312" w:eastAsia="仿宋_GB2312"/>
          <w:sz w:val="32"/>
        </w:rPr>
      </w:pPr>
      <w:r>
        <w:rPr>
          <w:rFonts w:hint="eastAsia" w:ascii="仿宋_GB2312" w:eastAsia="仿宋_GB2312"/>
          <w:sz w:val="32"/>
        </w:rPr>
        <w:t>B.项目管理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项目管理包括投入管理、财务管理和项目实施三方面内容。本次评价用10个三级指标通过16个方面进行考察，权重分值25.00分，实际得分</w:t>
      </w:r>
      <w:r>
        <w:rPr>
          <w:rFonts w:hint="eastAsia" w:ascii="Times New Roman" w:hAnsi="Times New Roman" w:eastAsia="仿宋_GB2312"/>
          <w:sz w:val="32"/>
        </w:rPr>
        <w:t>20.89</w:t>
      </w:r>
      <w:r>
        <w:rPr>
          <w:rFonts w:ascii="Times New Roman" w:hAnsi="Times New Roman" w:eastAsia="仿宋_GB2312"/>
          <w:sz w:val="32"/>
        </w:rPr>
        <w:t>分，得分率</w:t>
      </w:r>
      <w:r>
        <w:rPr>
          <w:rFonts w:hint="eastAsia" w:ascii="Times New Roman" w:hAnsi="Times New Roman" w:eastAsia="仿宋_GB2312"/>
          <w:sz w:val="32"/>
        </w:rPr>
        <w:t>83.56</w:t>
      </w:r>
      <w:r>
        <w:rPr>
          <w:rFonts w:ascii="Times New Roman" w:hAnsi="Times New Roman" w:eastAsia="仿宋_GB2312"/>
          <w:sz w:val="32"/>
        </w:rPr>
        <w:t>%。各指标业绩值及实际得分详见下表。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3"/>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left"/>
              <w:rPr>
                <w:rFonts w:ascii="Times New Roman" w:hAnsi="Times New Roman" w:cs="Times New Roman"/>
                <w:sz w:val="18"/>
                <w:szCs w:val="18"/>
              </w:rPr>
            </w:pPr>
            <w:r>
              <w:rPr>
                <w:rFonts w:ascii="Times New Roman" w:hAnsi="Times New Roman" w:cs="Times New Roman"/>
                <w:sz w:val="18"/>
                <w:szCs w:val="18"/>
              </w:rPr>
              <w:t>B11.预算编制</w:t>
            </w:r>
            <w:r>
              <w:rPr>
                <w:rFonts w:hint="eastAsia" w:ascii="Times New Roman" w:hAnsi="Times New Roman" w:cs="Times New Roman"/>
                <w:sz w:val="18"/>
                <w:szCs w:val="18"/>
              </w:rPr>
              <w:t>合理性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77" w:line="20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B111.预算</w:t>
            </w:r>
            <w:r>
              <w:rPr>
                <w:rFonts w:hint="eastAsia" w:ascii="Times New Roman" w:hAnsi="Times New Roman" w:cs="Times New Roman"/>
                <w:sz w:val="18"/>
                <w:szCs w:val="18"/>
              </w:rPr>
              <w:t>内容与项目内容匹配</w:t>
            </w:r>
          </w:p>
        </w:tc>
        <w:tc>
          <w:tcPr>
            <w:tcW w:w="1275" w:type="dxa"/>
            <w:tcBorders>
              <w:top w:val="single" w:color="000000" w:sz="4" w:space="0"/>
              <w:left w:val="nil"/>
              <w:bottom w:val="single" w:color="000000" w:sz="4" w:space="0"/>
              <w:right w:val="single" w:color="000000" w:sz="4" w:space="0"/>
            </w:tcBorders>
            <w:vAlign w:val="center"/>
          </w:tcPr>
          <w:p>
            <w:pPr>
              <w:pStyle w:val="23"/>
              <w:spacing w:before="1"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ind w:left="252" w:right="242"/>
              <w:rPr>
                <w:rFonts w:ascii="Times New Roman" w:hAnsi="Times New Roman" w:cs="Times New Roman"/>
                <w:sz w:val="18"/>
                <w:szCs w:val="18"/>
              </w:rPr>
            </w:pPr>
            <w:r>
              <w:rPr>
                <w:rFonts w:hint="eastAsia"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 w:line="200" w:lineRule="exact"/>
              <w:ind w:left="151" w:right="139"/>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5" w:line="200" w:lineRule="exact"/>
              <w:ind w:right="1821" w:rightChars="867"/>
              <w:jc w:val="both"/>
              <w:rPr>
                <w:rFonts w:ascii="Times New Roman" w:hAnsi="Times New Roman" w:cs="Times New Roman"/>
                <w:sz w:val="18"/>
                <w:szCs w:val="18"/>
              </w:rPr>
            </w:pPr>
            <w:bookmarkStart w:id="74" w:name="_Hlk47968489"/>
            <w:r>
              <w:rPr>
                <w:rFonts w:ascii="Times New Roman" w:hAnsi="Times New Roman" w:cs="Times New Roman"/>
                <w:sz w:val="18"/>
                <w:szCs w:val="18"/>
              </w:rPr>
              <w:t>B12.</w:t>
            </w:r>
            <w:r>
              <w:rPr>
                <w:rFonts w:hint="eastAsia" w:ascii="Times New Roman" w:hAnsi="Times New Roman" w:cs="Times New Roman"/>
                <w:sz w:val="18"/>
                <w:szCs w:val="18"/>
              </w:rPr>
              <w:t>预算调整规范性</w:t>
            </w:r>
            <w:bookmarkEnd w:id="74"/>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360" w:firstLineChars="200"/>
              <w:rPr>
                <w:rFonts w:ascii="Times New Roman" w:hAnsi="Times New Roman" w:eastAsia="仿宋_GB2312"/>
                <w:sz w:val="18"/>
                <w:szCs w:val="18"/>
              </w:rPr>
            </w:pPr>
            <w:r>
              <w:rPr>
                <w:rFonts w:ascii="Times New Roman" w:hAnsi="Times New Roman" w:eastAsia="仿宋_GB2312"/>
                <w:sz w:val="18"/>
                <w:szCs w:val="18"/>
              </w:rPr>
              <w:t>B121.</w:t>
            </w:r>
            <w:r>
              <w:rPr>
                <w:rFonts w:hint="eastAsia" w:ascii="Times New Roman" w:hAnsi="Times New Roman" w:eastAsia="仿宋_GB2312"/>
                <w:sz w:val="18"/>
                <w:szCs w:val="18"/>
              </w:rPr>
              <w:t>预算调整均取得相应批复</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无调整</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w:t>
            </w:r>
            <w:r>
              <w:rPr>
                <w:rFonts w:hint="eastAsia" w:ascii="Times New Roman" w:hAnsi="Times New Roman" w:cs="Times New Roman"/>
                <w:sz w:val="18"/>
                <w:szCs w:val="18"/>
              </w:rPr>
              <w:t>预算执行率</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left"/>
              <w:rPr>
                <w:rFonts w:ascii="Times New Roman" w:hAnsi="Times New Roman" w:cs="Times New Roman"/>
                <w:sz w:val="18"/>
                <w:szCs w:val="18"/>
              </w:rPr>
            </w:pPr>
            <w:r>
              <w:rPr>
                <w:rFonts w:hint="eastAsia" w:ascii="Times New Roman" w:hAnsi="Times New Roman" w:cs="Times New Roman"/>
                <w:sz w:val="18"/>
                <w:szCs w:val="18"/>
              </w:rPr>
              <w:t>B</w:t>
            </w:r>
            <w:r>
              <w:rPr>
                <w:rFonts w:ascii="Times New Roman" w:hAnsi="Times New Roman" w:cs="Times New Roman"/>
                <w:sz w:val="18"/>
                <w:szCs w:val="18"/>
              </w:rPr>
              <w:t>131.</w:t>
            </w:r>
            <w:r>
              <w:rPr>
                <w:rFonts w:hint="eastAsia" w:ascii="Times New Roman" w:hAnsi="Times New Roman" w:cs="Times New Roman"/>
                <w:sz w:val="18"/>
                <w:szCs w:val="18"/>
              </w:rPr>
              <w:t>实际资金投入对比预算投入情况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预算执行率69.56 %</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B21.资金使用情况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B211.</w:t>
            </w:r>
            <w:r>
              <w:rPr>
                <w:rFonts w:hint="eastAsia"/>
              </w:rPr>
              <w:t xml:space="preserve"> </w:t>
            </w:r>
            <w:r>
              <w:rPr>
                <w:rFonts w:hint="eastAsia" w:ascii="Times New Roman" w:hAnsi="Times New Roman" w:cs="Times New Roman"/>
                <w:sz w:val="18"/>
                <w:szCs w:val="18"/>
              </w:rPr>
              <w:t>资金使用情况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B22.财务管理制度</w:t>
            </w:r>
            <w:r>
              <w:rPr>
                <w:rFonts w:hint="eastAsia" w:ascii="Times New Roman" w:hAnsi="Times New Roman" w:cs="Times New Roman"/>
                <w:sz w:val="18"/>
                <w:szCs w:val="18"/>
              </w:rPr>
              <w:t>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B221.</w:t>
            </w:r>
            <w:r>
              <w:rPr>
                <w:rFonts w:hint="eastAsia"/>
              </w:rPr>
              <w:t xml:space="preserve"> </w:t>
            </w:r>
            <w:r>
              <w:rPr>
                <w:rFonts w:hint="eastAsia" w:ascii="Times New Roman" w:hAnsi="Times New Roman" w:cs="Times New Roman"/>
                <w:sz w:val="18"/>
                <w:szCs w:val="18"/>
              </w:rPr>
              <w:t>财务管理制度健全性</w:t>
            </w:r>
          </w:p>
          <w:p>
            <w:pPr>
              <w:pStyle w:val="23"/>
              <w:spacing w:before="94" w:line="200" w:lineRule="exact"/>
              <w:jc w:val="left"/>
              <w:rPr>
                <w:rFonts w:ascii="Times New Roman" w:hAnsi="Times New Roman" w:cs="Times New Roman"/>
                <w:sz w:val="18"/>
                <w:szCs w:val="18"/>
              </w:rPr>
            </w:pPr>
            <w:r>
              <w:rPr>
                <w:rFonts w:hint="eastAsia" w:ascii="Times New Roman" w:hAnsi="Times New Roman" w:cs="Times New Roman"/>
                <w:sz w:val="18"/>
                <w:szCs w:val="18"/>
              </w:rPr>
              <w:t>完善、有效</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B23.财务监控有效性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B231.资金拨付程序完整性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完整</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B232.财务制度执行有效性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有效</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B31.项目管理制度健全性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B311.项目实施单位管理制度健全性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B312.管理方监管措施健全性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B32.项目管理制度执行有效性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B321.</w:t>
            </w:r>
            <w:r>
              <w:rPr>
                <w:rFonts w:hint="eastAsia" w:ascii="Times New Roman" w:hAnsi="Times New Roman" w:cs="Times New Roman"/>
                <w:sz w:val="18"/>
                <w:szCs w:val="18"/>
              </w:rPr>
              <w:t>项目实施单位管理制度执行情况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B322.监管措施执行情况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存在5项执行不到位</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12"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B323.</w:t>
            </w:r>
            <w:r>
              <w:rPr>
                <w:rFonts w:hint="eastAsia" w:ascii="Times New Roman" w:hAnsi="Times New Roman" w:cs="Times New Roman"/>
                <w:sz w:val="18"/>
                <w:szCs w:val="18"/>
              </w:rPr>
              <w:t>档案的收集管理合规情况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未将培训资料进行完整装订</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w:t>
            </w:r>
            <w:r>
              <w:rPr>
                <w:rFonts w:hint="eastAsia" w:ascii="Times New Roman" w:hAnsi="Times New Roman" w:cs="Times New Roman"/>
                <w:sz w:val="18"/>
                <w:szCs w:val="18"/>
              </w:rPr>
              <w:t>5</w:t>
            </w:r>
            <w:r>
              <w:rPr>
                <w:rFonts w:ascii="Times New Roman" w:hAnsi="Times New Roman" w:cs="Times New Roman"/>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B33.</w:t>
            </w:r>
            <w:r>
              <w:rPr>
                <w:rFonts w:hint="eastAsia" w:ascii="Times New Roman" w:hAnsi="Times New Roman" w:cs="Times New Roman"/>
                <w:sz w:val="18"/>
                <w:szCs w:val="18"/>
              </w:rPr>
              <w:t>实施流程</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B331.</w:t>
            </w:r>
            <w:r>
              <w:rPr>
                <w:rFonts w:hint="eastAsia" w:ascii="Times New Roman" w:hAnsi="Times New Roman" w:cs="Times New Roman"/>
                <w:sz w:val="18"/>
                <w:szCs w:val="18"/>
              </w:rPr>
              <w:t>选取方式</w:t>
            </w:r>
            <w:r>
              <w:rPr>
                <w:rFonts w:hint="eastAsia"/>
              </w:rPr>
              <w:t xml:space="preserve"> </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合规</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B</w:t>
            </w:r>
            <w:r>
              <w:rPr>
                <w:rFonts w:ascii="Times New Roman" w:hAnsi="Times New Roman" w:cs="Times New Roman"/>
                <w:sz w:val="18"/>
                <w:szCs w:val="18"/>
              </w:rPr>
              <w:t>332.</w:t>
            </w:r>
            <w:r>
              <w:rPr>
                <w:rFonts w:hint="eastAsia" w:ascii="Times New Roman" w:hAnsi="Times New Roman" w:cs="Times New Roman"/>
                <w:sz w:val="18"/>
                <w:szCs w:val="18"/>
              </w:rPr>
              <w:t>实施流程规范性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存在2项不规范</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B34.</w:t>
            </w:r>
            <w:r>
              <w:rPr>
                <w:rFonts w:hint="eastAsia" w:ascii="Times New Roman" w:hAnsi="Times New Roman" w:cs="Times New Roman"/>
                <w:sz w:val="18"/>
                <w:szCs w:val="18"/>
              </w:rPr>
              <w:t>项目后期</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B341.</w:t>
            </w:r>
            <w:r>
              <w:rPr>
                <w:rFonts w:hint="eastAsia" w:ascii="Times New Roman" w:hAnsi="Times New Roman" w:cs="Times New Roman"/>
                <w:sz w:val="18"/>
                <w:szCs w:val="18"/>
              </w:rPr>
              <w:t>项目考核</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履行</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B342.</w:t>
            </w:r>
            <w:r>
              <w:rPr>
                <w:rFonts w:hint="eastAsia" w:ascii="Times New Roman" w:hAnsi="Times New Roman" w:cs="Times New Roman"/>
                <w:sz w:val="18"/>
                <w:szCs w:val="18"/>
              </w:rPr>
              <w:t>项目自评</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5.00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Style w:val="22"/>
              </w:rPr>
            </w:pPr>
            <w:r>
              <w:rPr>
                <w:rFonts w:hint="eastAsia" w:ascii="Times New Roman" w:hAnsi="Times New Roman" w:cs="Times New Roman"/>
                <w:sz w:val="18"/>
                <w:szCs w:val="18"/>
              </w:rPr>
              <w:t>20.89</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B1.投入管理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反映项目预算编制的合理性、规范性，并考察项目预算执行的进度及完整性。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B11.预算编制合理性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B111.预算内容与项目内容匹配：根据资金预算文件、项目实施计划分析</w:t>
      </w:r>
      <w:r>
        <w:rPr>
          <w:rFonts w:hint="eastAsia" w:ascii="Times New Roman" w:hAnsi="Times New Roman" w:eastAsia="仿宋_GB2312"/>
          <w:sz w:val="32"/>
        </w:rPr>
        <w:t>，发现</w:t>
      </w:r>
      <w:r>
        <w:rPr>
          <w:rFonts w:ascii="Times New Roman" w:hAnsi="Times New Roman" w:eastAsia="仿宋_GB2312"/>
          <w:sz w:val="32"/>
        </w:rPr>
        <w:t>项目预算编制充分、合理并且能够与项目内容相匹配。</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B12.预算调整规范性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B121.</w:t>
      </w:r>
      <w:r>
        <w:rPr>
          <w:rFonts w:hint="eastAsia"/>
        </w:rPr>
        <w:t xml:space="preserve"> </w:t>
      </w:r>
      <w:r>
        <w:rPr>
          <w:rFonts w:hint="eastAsia" w:ascii="Times New Roman" w:hAnsi="Times New Roman" w:eastAsia="仿宋_GB2312"/>
          <w:sz w:val="32"/>
        </w:rPr>
        <w:t>预算调整规范性</w:t>
      </w:r>
      <w:r>
        <w:rPr>
          <w:rFonts w:ascii="Times New Roman" w:hAnsi="Times New Roman" w:eastAsia="仿宋_GB2312"/>
          <w:sz w:val="32"/>
        </w:rPr>
        <w:t>：</w:t>
      </w:r>
      <w:r>
        <w:rPr>
          <w:rFonts w:hint="eastAsia" w:ascii="Times New Roman" w:hAnsi="Times New Roman" w:eastAsia="仿宋_GB2312"/>
          <w:sz w:val="32"/>
        </w:rPr>
        <w:t>通过检查相关资料</w:t>
      </w:r>
      <w:r>
        <w:rPr>
          <w:rFonts w:ascii="Times New Roman" w:hAnsi="Times New Roman" w:eastAsia="仿宋_GB2312"/>
          <w:sz w:val="32"/>
        </w:rPr>
        <w:t>，项目未实施预算调整。</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B13.预算执行率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B131.</w:t>
      </w:r>
      <w:r>
        <w:rPr>
          <w:rFonts w:hint="eastAsia"/>
        </w:rPr>
        <w:t xml:space="preserve"> </w:t>
      </w:r>
      <w:r>
        <w:rPr>
          <w:rFonts w:hint="eastAsia" w:ascii="Times New Roman" w:hAnsi="Times New Roman" w:eastAsia="仿宋_GB2312"/>
          <w:sz w:val="32"/>
        </w:rPr>
        <w:t>预算执行率</w:t>
      </w:r>
      <w:r>
        <w:rPr>
          <w:rFonts w:ascii="Times New Roman" w:hAnsi="Times New Roman" w:eastAsia="仿宋_GB2312"/>
          <w:sz w:val="32"/>
        </w:rPr>
        <w:t>：根据资金预算文件、项目实施计划，项目预算批复600.00万元，已使用417.36万元，通过公式:预算执行率=实际支出金额/项目预算金额×100%=417.36/600.00×100%=69.56%。</w:t>
      </w:r>
      <w:r>
        <w:rPr>
          <w:rFonts w:hint="eastAsia" w:ascii="Times New Roman" w:hAnsi="Times New Roman" w:eastAsia="仿宋_GB2312"/>
          <w:sz w:val="32"/>
        </w:rPr>
        <w:t>根据评分标准得1.39分。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该项目指标满分为2.00分，根据评分标准得1.39分。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B2.财务管理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 xml:space="preserve">反映项目资金使用是否符合安宁市相关文件的规定，财务制度是否健全，资金拨付程序是否完整、符合制度规定。    </w:t>
      </w:r>
      <w:r>
        <w:rPr>
          <w:rFonts w:hint="eastAsia" w:ascii="Times New Roman" w:hAnsi="Times New Roman" w:eastAsia="仿宋_GB2312"/>
          <w:sz w:val="32"/>
        </w:rPr>
        <w:t xml:space="preserve">   </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B21.资金使用情况</w:t>
      </w:r>
    </w:p>
    <w:p>
      <w:pPr>
        <w:spacing w:line="600" w:lineRule="exact"/>
        <w:ind w:firstLine="640" w:firstLineChars="200"/>
        <w:rPr>
          <w:rFonts w:ascii="Times New Roman" w:hAnsi="Times New Roman" w:eastAsia="仿宋_GB2312"/>
          <w:sz w:val="32"/>
          <w:highlight w:val="yellow"/>
        </w:rPr>
      </w:pPr>
      <w:r>
        <w:rPr>
          <w:rFonts w:ascii="Times New Roman" w:hAnsi="Times New Roman" w:eastAsia="仿宋_GB2312"/>
          <w:sz w:val="32"/>
        </w:rPr>
        <w:t>B211.</w:t>
      </w:r>
      <w:r>
        <w:rPr>
          <w:rFonts w:hint="eastAsia"/>
        </w:rPr>
        <w:t xml:space="preserve"> </w:t>
      </w:r>
      <w:r>
        <w:rPr>
          <w:rFonts w:hint="eastAsia" w:ascii="Times New Roman" w:hAnsi="Times New Roman" w:eastAsia="仿宋_GB2312"/>
          <w:sz w:val="32"/>
        </w:rPr>
        <w:t>资金使用情况</w:t>
      </w:r>
      <w:r>
        <w:rPr>
          <w:rFonts w:ascii="Times New Roman" w:hAnsi="Times New Roman" w:eastAsia="仿宋_GB2312"/>
          <w:sz w:val="32"/>
        </w:rPr>
        <w:t>：</w:t>
      </w:r>
      <w:r>
        <w:rPr>
          <w:rFonts w:hint="eastAsia" w:ascii="Times New Roman" w:hAnsi="Times New Roman" w:eastAsia="仿宋_GB2312"/>
          <w:sz w:val="32"/>
        </w:rPr>
        <w:t>通过检查资金支出相关凭证、流程规范相关资料，</w:t>
      </w:r>
      <w:r>
        <w:rPr>
          <w:rFonts w:ascii="Times New Roman" w:hAnsi="Times New Roman" w:eastAsia="仿宋_GB2312"/>
          <w:sz w:val="32"/>
        </w:rPr>
        <w:t>资金</w:t>
      </w:r>
      <w:r>
        <w:rPr>
          <w:rFonts w:hint="eastAsia" w:ascii="Times New Roman" w:hAnsi="Times New Roman" w:eastAsia="仿宋_GB2312"/>
          <w:sz w:val="32"/>
        </w:rPr>
        <w:t>符合预算批复的用途</w:t>
      </w:r>
      <w:r>
        <w:rPr>
          <w:rFonts w:ascii="Times New Roman" w:hAnsi="Times New Roman" w:eastAsia="仿宋_GB2312"/>
          <w:sz w:val="32"/>
        </w:rPr>
        <w:t>。</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B22.财务管理制度健全性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B221.</w:t>
      </w:r>
      <w:r>
        <w:rPr>
          <w:rFonts w:hint="eastAsia"/>
        </w:rPr>
        <w:t xml:space="preserve"> </w:t>
      </w:r>
      <w:r>
        <w:rPr>
          <w:rFonts w:hint="eastAsia" w:ascii="Times New Roman" w:hAnsi="Times New Roman" w:eastAsia="仿宋_GB2312"/>
          <w:sz w:val="32"/>
        </w:rPr>
        <w:t>财务管理制度健全性：通过检查</w:t>
      </w:r>
      <w:r>
        <w:rPr>
          <w:rFonts w:ascii="Times New Roman" w:hAnsi="Times New Roman" w:eastAsia="仿宋_GB2312"/>
          <w:sz w:val="32"/>
        </w:rPr>
        <w:t>财务</w:t>
      </w:r>
      <w:r>
        <w:rPr>
          <w:rFonts w:hint="eastAsia" w:ascii="Times New Roman" w:hAnsi="Times New Roman" w:eastAsia="仿宋_GB2312"/>
          <w:sz w:val="32"/>
        </w:rPr>
        <w:t>资料</w:t>
      </w:r>
      <w:r>
        <w:rPr>
          <w:rFonts w:ascii="Times New Roman" w:hAnsi="Times New Roman" w:eastAsia="仿宋_GB2312"/>
          <w:sz w:val="32"/>
        </w:rPr>
        <w:t>及实际执行情况，项目</w:t>
      </w:r>
      <w:r>
        <w:rPr>
          <w:rFonts w:hint="eastAsia" w:ascii="Times New Roman" w:hAnsi="Times New Roman" w:eastAsia="仿宋_GB2312"/>
          <w:sz w:val="32"/>
        </w:rPr>
        <w:t>实施符合相关财务会计制度的规定</w:t>
      </w:r>
      <w:r>
        <w:rPr>
          <w:rFonts w:ascii="Times New Roman" w:hAnsi="Times New Roman" w:eastAsia="仿宋_GB2312"/>
          <w:sz w:val="32"/>
        </w:rPr>
        <w:t>。</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B23.财务监控有效性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B231.资金拨付程序完整性：通过</w:t>
      </w:r>
      <w:r>
        <w:rPr>
          <w:rFonts w:hint="eastAsia" w:ascii="Times New Roman" w:hAnsi="Times New Roman" w:eastAsia="仿宋_GB2312"/>
          <w:sz w:val="32"/>
        </w:rPr>
        <w:t>检查资金拨付、审批手续相关文件，发现</w:t>
      </w:r>
      <w:r>
        <w:rPr>
          <w:rFonts w:ascii="Times New Roman" w:hAnsi="Times New Roman" w:eastAsia="仿宋_GB2312"/>
          <w:sz w:val="32"/>
        </w:rPr>
        <w:t>资金拨付审批程序和手续完整齐全。</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B232.财务制度执行有效性：通过检查安宁市</w:t>
      </w:r>
      <w:r>
        <w:rPr>
          <w:rFonts w:hint="eastAsia" w:ascii="Times New Roman" w:hAnsi="Times New Roman" w:eastAsia="仿宋_GB2312"/>
          <w:sz w:val="32"/>
        </w:rPr>
        <w:t>中共市</w:t>
      </w:r>
      <w:r>
        <w:rPr>
          <w:rFonts w:ascii="Times New Roman" w:hAnsi="Times New Roman" w:eastAsia="仿宋_GB2312"/>
          <w:sz w:val="32"/>
        </w:rPr>
        <w:t>委组织部的财务制度，专项资金管理相关办法及条款、会计记账凭证、资金收付原始凭证，</w:t>
      </w:r>
      <w:r>
        <w:rPr>
          <w:rFonts w:hint="eastAsia" w:ascii="Times New Roman" w:hAnsi="Times New Roman" w:eastAsia="仿宋_GB2312"/>
          <w:sz w:val="32"/>
        </w:rPr>
        <w:t>发现</w:t>
      </w:r>
      <w:r>
        <w:rPr>
          <w:rFonts w:ascii="Times New Roman" w:hAnsi="Times New Roman" w:eastAsia="仿宋_GB2312"/>
          <w:sz w:val="32"/>
        </w:rPr>
        <w:t>资金拨付按照审批拨付程序执行，且手续完整齐全。</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B3.项目实施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 xml:space="preserve">反映项目监督、管理等制度是否健全，是否有效执行，实施过程是否公开透明，是否存在需要完善的风险控制环节。  </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B31.项目管理制度健全性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B311.培训项目实施单位管理制度健全性：通过检查项目实施单位项目管理制度，</w:t>
      </w:r>
      <w:r>
        <w:rPr>
          <w:rFonts w:hint="eastAsia" w:ascii="Times New Roman" w:hAnsi="Times New Roman" w:eastAsia="仿宋_GB2312"/>
          <w:sz w:val="32"/>
        </w:rPr>
        <w:t>发现相关业务管理制度健全完善，且得到有效执行。根据评分标准得满分。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1.00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B312.管理方监管措施健全性：通过检查项目主管单位项目管理制度情况，</w:t>
      </w:r>
      <w:r>
        <w:rPr>
          <w:rFonts w:hint="eastAsia" w:ascii="Times New Roman" w:hAnsi="Times New Roman" w:eastAsia="仿宋_GB2312"/>
          <w:sz w:val="32"/>
        </w:rPr>
        <w:t>安宁市</w:t>
      </w:r>
      <w:r>
        <w:rPr>
          <w:rFonts w:ascii="Times New Roman" w:hAnsi="Times New Roman" w:eastAsia="仿宋_GB2312"/>
          <w:sz w:val="32"/>
        </w:rPr>
        <w:t>中共市委组织部</w:t>
      </w:r>
      <w:r>
        <w:rPr>
          <w:rFonts w:hint="eastAsia" w:ascii="Times New Roman" w:hAnsi="Times New Roman" w:eastAsia="仿宋_GB2312"/>
          <w:sz w:val="32"/>
        </w:rPr>
        <w:t>监管措施得到有效执行。根据评分标准得满分。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B32.项目管理制度执行有效性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B321.项目实施单位管理制度执行情况：通过对项目实施单位管理制度的检查及日常工作落实情况发现，均按要求执行监管措施。</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B322.监管措施执行情况：</w:t>
      </w:r>
      <w:r>
        <w:rPr>
          <w:rFonts w:hint="eastAsia" w:ascii="Times New Roman" w:hAnsi="Times New Roman" w:eastAsia="仿宋_GB2312"/>
          <w:sz w:val="32"/>
        </w:rPr>
        <w:t>通过检查主管部门所制订的监管措施未得到有效执行：实施方案105号文件规定：干部教育经费仅用于支付培训费、餐费、办公费、资料费等，参训学员的交通费、住宿费由派员单位承担； 补充通知规定：异地培训住宿费从干部经费支付，异地培训往返交通费由各派员单位承担（社区干部除外），社区干部异地培训交通费由干部教育经费支付。实际报销时违反了交通费应由各派员单位承担，但市委组织部报销了5个单位5个培训班市内交通费共计25,400.00元 。根据评分标准扣2.00分。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通过对项目主管单位的检查，项目主管单位未对项目单独制定监管措施。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0.00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B323.</w:t>
      </w:r>
      <w:r>
        <w:rPr>
          <w:rFonts w:ascii="Times New Roman" w:hAnsi="Times New Roman" w:eastAsia="仿宋_GB2312"/>
        </w:rPr>
        <w:t xml:space="preserve"> </w:t>
      </w:r>
      <w:r>
        <w:rPr>
          <w:rFonts w:ascii="Times New Roman" w:hAnsi="Times New Roman" w:eastAsia="仿宋_GB2312"/>
          <w:sz w:val="32"/>
        </w:rPr>
        <w:t>档案的收集管理合规情况：通过</w:t>
      </w:r>
      <w:r>
        <w:rPr>
          <w:rFonts w:hint="eastAsia" w:ascii="Times New Roman" w:hAnsi="Times New Roman" w:eastAsia="仿宋_GB2312"/>
          <w:sz w:val="32"/>
        </w:rPr>
        <w:t>检查</w:t>
      </w:r>
      <w:r>
        <w:rPr>
          <w:rFonts w:ascii="Times New Roman" w:hAnsi="Times New Roman" w:eastAsia="仿宋_GB2312"/>
          <w:sz w:val="32"/>
        </w:rPr>
        <w:t>项目主管单位的</w:t>
      </w:r>
      <w:r>
        <w:rPr>
          <w:rFonts w:hint="eastAsia" w:ascii="Times New Roman" w:hAnsi="Times New Roman" w:eastAsia="仿宋_GB2312"/>
          <w:sz w:val="32"/>
        </w:rPr>
        <w:t>培训项目档案</w:t>
      </w:r>
      <w:r>
        <w:rPr>
          <w:rFonts w:ascii="Times New Roman" w:hAnsi="Times New Roman" w:eastAsia="仿宋_GB2312"/>
          <w:sz w:val="32"/>
        </w:rPr>
        <w:t>，</w:t>
      </w:r>
      <w:r>
        <w:rPr>
          <w:rFonts w:hint="eastAsia" w:ascii="Times New Roman" w:hAnsi="Times New Roman" w:eastAsia="仿宋_GB2312"/>
          <w:sz w:val="32"/>
        </w:rPr>
        <w:t>发现</w:t>
      </w:r>
      <w:r>
        <w:rPr>
          <w:rFonts w:ascii="Times New Roman" w:hAnsi="Times New Roman" w:eastAsia="仿宋_GB2312"/>
          <w:sz w:val="32"/>
        </w:rPr>
        <w:t>项目主管单位未将培训资料进行完整装订。</w:t>
      </w:r>
      <w:r>
        <w:rPr>
          <w:rFonts w:hint="eastAsia" w:ascii="Times New Roman" w:hAnsi="Times New Roman" w:eastAsia="仿宋_GB2312"/>
          <w:sz w:val="32"/>
        </w:rPr>
        <w:t>根据评分标准扣0.50分。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该项指标满分1</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0.50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B33.实施流程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B331.选取</w:t>
      </w:r>
      <w:r>
        <w:rPr>
          <w:rFonts w:hint="eastAsia" w:ascii="Times New Roman" w:hAnsi="Times New Roman" w:eastAsia="仿宋_GB2312"/>
          <w:sz w:val="32"/>
        </w:rPr>
        <w:t>方式</w:t>
      </w:r>
      <w:r>
        <w:rPr>
          <w:rFonts w:ascii="Times New Roman" w:hAnsi="Times New Roman" w:eastAsia="仿宋_GB2312"/>
          <w:sz w:val="32"/>
        </w:rPr>
        <w:t>:</w:t>
      </w:r>
      <w:r>
        <w:rPr>
          <w:rFonts w:ascii="Times New Roman" w:hAnsi="Times New Roman" w:eastAsia="仿宋_GB2312"/>
        </w:rPr>
        <w:t xml:space="preserve"> </w:t>
      </w:r>
      <w:r>
        <w:rPr>
          <w:rFonts w:ascii="Times New Roman" w:hAnsi="Times New Roman" w:eastAsia="仿宋_GB2312"/>
          <w:sz w:val="32"/>
        </w:rPr>
        <w:t>通过检查中共安宁市委组织部</w:t>
      </w:r>
      <w:r>
        <w:rPr>
          <w:rFonts w:hint="eastAsia" w:ascii="Times New Roman" w:hAnsi="Times New Roman" w:eastAsia="仿宋_GB2312"/>
          <w:sz w:val="32"/>
        </w:rPr>
        <w:t>选取方式</w:t>
      </w:r>
      <w:r>
        <w:rPr>
          <w:rFonts w:ascii="Times New Roman" w:hAnsi="Times New Roman" w:eastAsia="仿宋_GB2312"/>
          <w:sz w:val="32"/>
        </w:rPr>
        <w:t>相关情况，中共安宁市委组织部按规定履行职责。</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w:t>
      </w:r>
      <w:r>
        <w:rPr>
          <w:rFonts w:hint="eastAsia" w:ascii="Times New Roman" w:hAnsi="Times New Roman" w:eastAsia="仿宋_GB2312"/>
          <w:sz w:val="32"/>
        </w:rPr>
        <w:t>1.00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B332.</w:t>
      </w:r>
      <w:r>
        <w:rPr>
          <w:rFonts w:ascii="Times New Roman" w:hAnsi="Times New Roman"/>
        </w:rPr>
        <w:t xml:space="preserve"> </w:t>
      </w:r>
      <w:r>
        <w:rPr>
          <w:rFonts w:ascii="Times New Roman" w:hAnsi="Times New Roman" w:eastAsia="仿宋_GB2312"/>
          <w:sz w:val="32"/>
        </w:rPr>
        <w:t>实施流程规范性：通过检查发现</w:t>
      </w:r>
      <w:r>
        <w:rPr>
          <w:rFonts w:hint="eastAsia" w:ascii="宋体" w:hAnsi="宋体" w:cs="宋体"/>
          <w:sz w:val="32"/>
        </w:rPr>
        <w:t>①</w:t>
      </w:r>
      <w:r>
        <w:rPr>
          <w:rFonts w:ascii="Times New Roman" w:hAnsi="Times New Roman" w:eastAsia="仿宋_GB2312"/>
          <w:sz w:val="32"/>
        </w:rPr>
        <w:t>市投促局培训方案地点为深圳华中科技大学研究培训中心，市投促局签订的培训合同地点为武汉大学苏州研究院；</w:t>
      </w:r>
      <w:r>
        <w:rPr>
          <w:rFonts w:hint="eastAsia" w:ascii="宋体" w:hAnsi="宋体" w:cs="宋体"/>
          <w:sz w:val="32"/>
        </w:rPr>
        <w:t>②</w:t>
      </w:r>
      <w:r>
        <w:rPr>
          <w:rFonts w:ascii="Times New Roman" w:hAnsi="Times New Roman" w:eastAsia="仿宋_GB2312"/>
          <w:sz w:val="32"/>
        </w:rPr>
        <w:t>市国资局培训方案地点为上海复旦大学宁波研究院教育中心，市国资局签订的培训合同地点为武汉大学苏州研究院；以上2项培训方案选择地点和签订合同培训地点不一致。根据评分标准扣1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1</w:t>
      </w:r>
      <w:r>
        <w:rPr>
          <w:rFonts w:ascii="Times New Roman" w:hAnsi="Times New Roman" w:eastAsia="仿宋_GB2312"/>
          <w:sz w:val="32"/>
        </w:rPr>
        <w:t>.00分。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B34.项目后期</w:t>
      </w:r>
    </w:p>
    <w:p>
      <w:pPr>
        <w:spacing w:line="600" w:lineRule="exact"/>
        <w:ind w:firstLine="640" w:firstLineChars="200"/>
        <w:rPr>
          <w:rFonts w:ascii="Times New Roman" w:hAnsi="Times New Roman" w:eastAsia="仿宋_GB2312"/>
          <w:sz w:val="32"/>
          <w:highlight w:val="yellow"/>
        </w:rPr>
      </w:pPr>
      <w:r>
        <w:rPr>
          <w:rFonts w:ascii="Times New Roman" w:hAnsi="Times New Roman" w:eastAsia="仿宋_GB2312"/>
          <w:sz w:val="32"/>
        </w:rPr>
        <w:t>B341.项目考核:</w:t>
      </w:r>
      <w:r>
        <w:rPr>
          <w:rFonts w:hint="eastAsia" w:ascii="Times New Roman" w:hAnsi="Times New Roman" w:eastAsia="仿宋_GB2312"/>
          <w:sz w:val="32"/>
        </w:rPr>
        <w:t>通过检查项目实施后台账资料，发现安宁市中共市委组织部</w:t>
      </w:r>
      <w:r>
        <w:rPr>
          <w:rFonts w:ascii="Times New Roman" w:hAnsi="Times New Roman" w:eastAsia="仿宋_GB2312"/>
          <w:sz w:val="32"/>
        </w:rPr>
        <w:t>对培训项目结束后相关课题进行考核。</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B342.项目自评：中共安宁市委组织部已</w:t>
      </w:r>
      <w:r>
        <w:rPr>
          <w:rFonts w:hint="eastAsia" w:ascii="Times New Roman" w:hAnsi="Times New Roman" w:eastAsia="仿宋_GB2312"/>
          <w:sz w:val="32"/>
        </w:rPr>
        <w:t>提供</w:t>
      </w:r>
      <w:r>
        <w:rPr>
          <w:rFonts w:ascii="Times New Roman" w:hAnsi="Times New Roman" w:eastAsia="仿宋_GB2312"/>
          <w:sz w:val="32"/>
        </w:rPr>
        <w:t>绩效自评</w:t>
      </w:r>
      <w:r>
        <w:rPr>
          <w:rFonts w:hint="eastAsia" w:ascii="Times New Roman" w:hAnsi="Times New Roman" w:eastAsia="仿宋_GB2312"/>
          <w:sz w:val="32"/>
        </w:rPr>
        <w:t>报告</w:t>
      </w:r>
      <w:r>
        <w:rPr>
          <w:rFonts w:ascii="Times New Roman" w:hAnsi="Times New Roman" w:eastAsia="仿宋_GB2312"/>
          <w:sz w:val="32"/>
        </w:rPr>
        <w:t>。</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C.项目绩效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项目绩效包括项目产出和项目效益两方面内容。本次评价用6个三级指标从16个方面进行考察，权重分值60.00分，实际得分</w:t>
      </w:r>
      <w:r>
        <w:rPr>
          <w:rFonts w:hint="eastAsia" w:ascii="Times New Roman" w:hAnsi="Times New Roman" w:eastAsia="仿宋_GB2312"/>
          <w:sz w:val="32"/>
        </w:rPr>
        <w:t>49.90</w:t>
      </w:r>
      <w:r>
        <w:rPr>
          <w:rFonts w:ascii="Times New Roman" w:hAnsi="Times New Roman" w:eastAsia="仿宋_GB2312"/>
          <w:sz w:val="32"/>
        </w:rPr>
        <w:t>分，得分率</w:t>
      </w:r>
      <w:r>
        <w:rPr>
          <w:rFonts w:hint="eastAsia" w:ascii="Times New Roman" w:hAnsi="Times New Roman" w:eastAsia="仿宋_GB2312"/>
          <w:sz w:val="32"/>
        </w:rPr>
        <w:t>83.17</w:t>
      </w:r>
      <w:r>
        <w:rPr>
          <w:rFonts w:ascii="Times New Roman" w:hAnsi="Times New Roman" w:eastAsia="仿宋_GB2312"/>
          <w:sz w:val="32"/>
        </w:rPr>
        <w:t>%。指标业绩值及实际得分详见下表。</w:t>
      </w:r>
    </w:p>
    <w:tbl>
      <w:tblPr>
        <w:tblStyle w:val="11"/>
        <w:tblW w:w="86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417"/>
        <w:gridCol w:w="1985"/>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417" w:type="dxa"/>
            <w:tcBorders>
              <w:top w:val="single" w:color="000000" w:sz="4" w:space="0"/>
              <w:left w:val="nil"/>
              <w:bottom w:val="single" w:color="000000" w:sz="4" w:space="0"/>
              <w:right w:val="single" w:color="000000" w:sz="4" w:space="0"/>
            </w:tcBorders>
            <w:vAlign w:val="center"/>
          </w:tcPr>
          <w:p>
            <w:pPr>
              <w:pStyle w:val="23"/>
              <w:spacing w:before="94" w:line="18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3"/>
              <w:spacing w:before="94" w:line="18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024" w:type="dxa"/>
            <w:tcBorders>
              <w:top w:val="single" w:color="000000" w:sz="4" w:space="0"/>
              <w:left w:val="nil"/>
              <w:bottom w:val="single" w:color="000000" w:sz="4" w:space="0"/>
              <w:right w:val="single" w:color="000000" w:sz="4" w:space="0"/>
            </w:tcBorders>
            <w:vAlign w:val="center"/>
          </w:tcPr>
          <w:p>
            <w:pPr>
              <w:pStyle w:val="23"/>
              <w:spacing w:before="94" w:line="18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ascii="Times New Roman" w:hAnsi="Times New Roman" w:eastAsia="仿宋_GB2312"/>
                <w:sz w:val="18"/>
                <w:szCs w:val="18"/>
              </w:rPr>
              <w:t>C11.</w:t>
            </w:r>
            <w:r>
              <w:rPr>
                <w:rFonts w:hint="eastAsia" w:ascii="Times New Roman" w:hAnsi="Times New Roman" w:eastAsia="仿宋_GB2312"/>
                <w:sz w:val="18"/>
                <w:szCs w:val="18"/>
              </w:rPr>
              <w:t>产出数量</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jc w:val="left"/>
              <w:rPr>
                <w:rFonts w:ascii="Times New Roman" w:hAnsi="Times New Roman" w:cs="Times New Roman"/>
                <w:sz w:val="18"/>
                <w:szCs w:val="18"/>
              </w:rPr>
            </w:pP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firstLine="360" w:firstLineChars="200"/>
              <w:jc w:val="left"/>
              <w:rPr>
                <w:rFonts w:ascii="Times New Roman" w:hAnsi="Times New Roman" w:cs="Times New Roman"/>
                <w:sz w:val="18"/>
                <w:szCs w:val="18"/>
              </w:rPr>
            </w:pPr>
            <w:r>
              <w:rPr>
                <w:rFonts w:ascii="Times New Roman" w:hAnsi="Times New Roman" w:cs="Times New Roman"/>
                <w:sz w:val="18"/>
                <w:szCs w:val="18"/>
              </w:rPr>
              <w:t>C111.</w:t>
            </w:r>
            <w:r>
              <w:rPr>
                <w:rFonts w:hint="eastAsia" w:ascii="Times New Roman" w:hAnsi="Times New Roman" w:cs="Times New Roman"/>
                <w:sz w:val="18"/>
                <w:szCs w:val="18"/>
              </w:rPr>
              <w:t>培训干部人数</w:t>
            </w:r>
          </w:p>
        </w:tc>
        <w:tc>
          <w:tcPr>
            <w:tcW w:w="1417" w:type="dxa"/>
            <w:tcBorders>
              <w:top w:val="single" w:color="000000" w:sz="4" w:space="0"/>
              <w:left w:val="nil"/>
              <w:bottom w:val="single" w:color="000000" w:sz="4" w:space="0"/>
              <w:right w:val="single" w:color="000000" w:sz="4" w:space="0"/>
            </w:tcBorders>
            <w:vAlign w:val="center"/>
          </w:tcPr>
          <w:p>
            <w:pPr>
              <w:pStyle w:val="23"/>
              <w:spacing w:before="106" w:line="180" w:lineRule="exact"/>
              <w:ind w:left="6"/>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before="95" w:line="180" w:lineRule="exact"/>
              <w:ind w:left="252" w:right="242"/>
              <w:rPr>
                <w:rFonts w:ascii="Times New Roman" w:hAnsi="Times New Roman" w:cs="Times New Roman"/>
                <w:sz w:val="18"/>
                <w:szCs w:val="18"/>
              </w:rPr>
            </w:pPr>
            <w:r>
              <w:rPr>
                <w:rFonts w:hint="eastAsia" w:ascii="Times New Roman" w:hAnsi="Times New Roman" w:cs="Times New Roman"/>
                <w:sz w:val="18"/>
                <w:szCs w:val="18"/>
              </w:rPr>
              <w:t>达到</w:t>
            </w:r>
          </w:p>
        </w:tc>
        <w:tc>
          <w:tcPr>
            <w:tcW w:w="1024" w:type="dxa"/>
            <w:tcBorders>
              <w:top w:val="single" w:color="000000" w:sz="4" w:space="0"/>
              <w:left w:val="nil"/>
              <w:bottom w:val="single" w:color="000000" w:sz="4" w:space="0"/>
              <w:right w:val="single" w:color="000000" w:sz="4" w:space="0"/>
            </w:tcBorders>
            <w:vAlign w:val="center"/>
          </w:tcPr>
          <w:p>
            <w:pPr>
              <w:pStyle w:val="23"/>
              <w:spacing w:before="106" w:line="180" w:lineRule="exact"/>
              <w:ind w:left="151" w:right="139"/>
              <w:rPr>
                <w:rFonts w:ascii="Times New Roman" w:hAnsi="Times New Roman" w:cs="Times New Roman"/>
                <w:sz w:val="18"/>
                <w:szCs w:val="18"/>
              </w:rPr>
            </w:pPr>
            <w:r>
              <w:rPr>
                <w:rFonts w:hint="eastAsia"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ascii="Times New Roman" w:hAnsi="Times New Roman" w:eastAsia="仿宋_GB2312"/>
                <w:sz w:val="18"/>
                <w:szCs w:val="18"/>
              </w:rPr>
              <w:t>C11</w:t>
            </w:r>
            <w:r>
              <w:rPr>
                <w:rFonts w:hint="eastAsia" w:ascii="Times New Roman" w:hAnsi="Times New Roman" w:eastAsia="仿宋_GB2312"/>
                <w:sz w:val="18"/>
                <w:szCs w:val="18"/>
              </w:rPr>
              <w:t>2</w:t>
            </w:r>
            <w:r>
              <w:rPr>
                <w:rFonts w:ascii="Times New Roman" w:hAnsi="Times New Roman" w:eastAsia="仿宋_GB2312"/>
                <w:sz w:val="18"/>
                <w:szCs w:val="18"/>
              </w:rPr>
              <w:t>.</w:t>
            </w:r>
            <w:r>
              <w:rPr>
                <w:rFonts w:hint="eastAsia" w:ascii="Times New Roman" w:hAnsi="Times New Roman" w:eastAsia="仿宋_GB2312"/>
                <w:sz w:val="18"/>
                <w:szCs w:val="18"/>
              </w:rPr>
              <w:t>干部专业化能力提升培训</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达到</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ascii="Times New Roman" w:hAnsi="Times New Roman" w:eastAsia="仿宋_GB2312"/>
                <w:sz w:val="18"/>
                <w:szCs w:val="18"/>
              </w:rPr>
              <w:t xml:space="preserve"> </w:t>
            </w:r>
            <w:r>
              <w:rPr>
                <w:rFonts w:hint="eastAsia" w:ascii="Times New Roman" w:hAnsi="Times New Roman" w:eastAsia="仿宋_GB2312"/>
                <w:sz w:val="18"/>
                <w:szCs w:val="18"/>
              </w:rPr>
              <w:t xml:space="preserve">   </w:t>
            </w:r>
            <w:r>
              <w:rPr>
                <w:rFonts w:ascii="Times New Roman" w:hAnsi="Times New Roman" w:eastAsia="仿宋_GB2312"/>
                <w:sz w:val="18"/>
                <w:szCs w:val="18"/>
              </w:rPr>
              <w:t>C11</w:t>
            </w:r>
            <w:r>
              <w:rPr>
                <w:rFonts w:hint="eastAsia" w:ascii="Times New Roman" w:hAnsi="Times New Roman" w:eastAsia="仿宋_GB2312"/>
                <w:sz w:val="18"/>
                <w:szCs w:val="18"/>
              </w:rPr>
              <w:t>3</w:t>
            </w:r>
            <w:r>
              <w:rPr>
                <w:rFonts w:ascii="Times New Roman" w:hAnsi="Times New Roman" w:eastAsia="仿宋_GB2312"/>
                <w:sz w:val="18"/>
                <w:szCs w:val="18"/>
              </w:rPr>
              <w:t>.</w:t>
            </w:r>
            <w:r>
              <w:rPr>
                <w:rFonts w:hint="eastAsia" w:ascii="Times New Roman" w:hAnsi="Times New Roman" w:eastAsia="仿宋_GB2312"/>
                <w:sz w:val="18"/>
                <w:szCs w:val="18"/>
              </w:rPr>
              <w:t>中青年干部能力提升培训</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有1期未完成</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w:t>
            </w:r>
            <w:r>
              <w:rPr>
                <w:rFonts w:ascii="Times New Roman" w:hAnsi="Times New Roman" w:eastAsia="仿宋_GB2312"/>
                <w:sz w:val="18"/>
                <w:szCs w:val="18"/>
              </w:rPr>
              <w:t>11</w:t>
            </w:r>
            <w:r>
              <w:rPr>
                <w:rFonts w:hint="eastAsia" w:ascii="Times New Roman" w:hAnsi="Times New Roman" w:eastAsia="仿宋_GB2312"/>
                <w:sz w:val="18"/>
                <w:szCs w:val="18"/>
              </w:rPr>
              <w:t>4</w:t>
            </w:r>
            <w:r>
              <w:rPr>
                <w:rFonts w:ascii="Times New Roman" w:hAnsi="Times New Roman" w:eastAsia="仿宋_GB2312"/>
                <w:sz w:val="18"/>
                <w:szCs w:val="18"/>
              </w:rPr>
              <w:t>.</w:t>
            </w:r>
            <w:r>
              <w:rPr>
                <w:rFonts w:hint="eastAsia" w:ascii="Times New Roman" w:hAnsi="Times New Roman" w:eastAsia="仿宋_GB2312"/>
                <w:sz w:val="18"/>
                <w:szCs w:val="18"/>
              </w:rPr>
              <w:t>公务员队伍素质提升培训</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有1期未完成</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w:t>
            </w:r>
            <w:r>
              <w:rPr>
                <w:rFonts w:ascii="Times New Roman" w:hAnsi="Times New Roman" w:eastAsia="仿宋_GB2312"/>
                <w:sz w:val="18"/>
                <w:szCs w:val="18"/>
              </w:rPr>
              <w:t>11</w:t>
            </w:r>
            <w:r>
              <w:rPr>
                <w:rFonts w:hint="eastAsia" w:ascii="Times New Roman" w:hAnsi="Times New Roman" w:eastAsia="仿宋_GB2312"/>
                <w:sz w:val="18"/>
                <w:szCs w:val="18"/>
              </w:rPr>
              <w:t>5</w:t>
            </w:r>
            <w:r>
              <w:rPr>
                <w:rFonts w:ascii="Times New Roman" w:hAnsi="Times New Roman" w:eastAsia="仿宋_GB2312"/>
                <w:sz w:val="18"/>
                <w:szCs w:val="18"/>
              </w:rPr>
              <w:t>.</w:t>
            </w:r>
            <w:r>
              <w:rPr>
                <w:rFonts w:hint="eastAsia" w:ascii="Times New Roman" w:hAnsi="Times New Roman" w:eastAsia="仿宋_GB2312"/>
                <w:sz w:val="18"/>
                <w:szCs w:val="18"/>
              </w:rPr>
              <w:t>每期培训领导带队人数</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达标</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w:t>
            </w:r>
            <w:r>
              <w:rPr>
                <w:rFonts w:ascii="Times New Roman" w:hAnsi="Times New Roman" w:eastAsia="仿宋_GB2312"/>
                <w:sz w:val="18"/>
                <w:szCs w:val="18"/>
              </w:rPr>
              <w:t>11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培训干部实现率</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达标</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left"/>
              <w:rPr>
                <w:rFonts w:ascii="Times New Roman" w:hAnsi="Times New Roman" w:cs="Times New Roman"/>
                <w:sz w:val="18"/>
                <w:szCs w:val="18"/>
              </w:rPr>
            </w:pPr>
            <w:r>
              <w:rPr>
                <w:rFonts w:ascii="Times New Roman" w:hAnsi="Times New Roman" w:cs="Times New Roman"/>
                <w:sz w:val="18"/>
                <w:szCs w:val="18"/>
              </w:rPr>
              <w:t>C12.</w:t>
            </w:r>
            <w:r>
              <w:rPr>
                <w:rFonts w:hint="eastAsia" w:ascii="Times New Roman" w:hAnsi="Times New Roman" w:cs="Times New Roman"/>
                <w:sz w:val="18"/>
                <w:szCs w:val="18"/>
              </w:rPr>
              <w:t>产出时效</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C121.</w:t>
            </w:r>
            <w:r>
              <w:rPr>
                <w:rFonts w:hint="eastAsia" w:ascii="Times New Roman" w:hAnsi="Times New Roman" w:cs="Times New Roman"/>
                <w:sz w:val="18"/>
                <w:szCs w:val="18"/>
              </w:rPr>
              <w:t>专题培训时期</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有1期未达标</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C122.</w:t>
            </w:r>
            <w:r>
              <w:rPr>
                <w:rFonts w:hint="eastAsia" w:ascii="Times New Roman" w:hAnsi="Times New Roman" w:cs="Times New Roman"/>
                <w:sz w:val="18"/>
                <w:szCs w:val="18"/>
              </w:rPr>
              <w:t>异地培训班单期控制天数</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有1期超标</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w:t>
            </w:r>
            <w:r>
              <w:rPr>
                <w:rFonts w:hint="eastAsia" w:ascii="Times New Roman" w:hAnsi="Times New Roman" w:cs="Times New Roman"/>
                <w:sz w:val="18"/>
                <w:szCs w:val="18"/>
              </w:rPr>
              <w:t>13</w:t>
            </w:r>
            <w:r>
              <w:rPr>
                <w:rFonts w:ascii="Times New Roman" w:hAnsi="Times New Roman" w:cs="Times New Roman"/>
                <w:sz w:val="18"/>
                <w:szCs w:val="18"/>
              </w:rPr>
              <w:t>.</w:t>
            </w:r>
            <w:r>
              <w:rPr>
                <w:rFonts w:hint="eastAsia" w:ascii="Times New Roman" w:hAnsi="Times New Roman" w:cs="Times New Roman"/>
                <w:sz w:val="18"/>
                <w:szCs w:val="18"/>
              </w:rPr>
              <w:t>培训成本控制</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w:t>
            </w:r>
            <w:r>
              <w:rPr>
                <w:rFonts w:hint="eastAsia" w:ascii="Times New Roman" w:hAnsi="Times New Roman" w:cs="Times New Roman"/>
                <w:sz w:val="18"/>
                <w:szCs w:val="18"/>
              </w:rPr>
              <w:t>13</w:t>
            </w:r>
            <w:r>
              <w:rPr>
                <w:rFonts w:ascii="Times New Roman" w:hAnsi="Times New Roman" w:cs="Times New Roman"/>
                <w:sz w:val="18"/>
                <w:szCs w:val="18"/>
              </w:rPr>
              <w:t>1.</w:t>
            </w:r>
            <w:r>
              <w:rPr>
                <w:rFonts w:hint="eastAsia" w:ascii="Times New Roman" w:hAnsi="Times New Roman" w:cs="Times New Roman"/>
                <w:sz w:val="18"/>
                <w:szCs w:val="18"/>
              </w:rPr>
              <w:t>干部教育经费成本控制情况</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有1期超标</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C132.专题培训干部每期人数</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有3期人数超标</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1</w:t>
            </w:r>
            <w:r>
              <w:rPr>
                <w:rFonts w:ascii="Times New Roman" w:hAnsi="Times New Roman" w:cs="Times New Roman"/>
                <w:sz w:val="18"/>
                <w:szCs w:val="18"/>
              </w:rPr>
              <w:t>.</w:t>
            </w:r>
            <w:r>
              <w:rPr>
                <w:rFonts w:hint="eastAsia" w:ascii="Times New Roman" w:hAnsi="Times New Roman" w:cs="Times New Roman"/>
                <w:sz w:val="18"/>
                <w:szCs w:val="18"/>
              </w:rPr>
              <w:t>社会效益</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11</w:t>
            </w:r>
            <w:r>
              <w:rPr>
                <w:rFonts w:ascii="Times New Roman" w:hAnsi="Times New Roman" w:cs="Times New Roman"/>
                <w:sz w:val="18"/>
                <w:szCs w:val="18"/>
              </w:rPr>
              <w:t>.</w:t>
            </w:r>
            <w:r>
              <w:rPr>
                <w:rFonts w:hint="eastAsia" w:ascii="Times New Roman" w:hAnsi="Times New Roman" w:cs="Times New Roman"/>
                <w:sz w:val="18"/>
                <w:szCs w:val="18"/>
              </w:rPr>
              <w:t>增强法纪意识</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能增强</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7"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12</w:t>
            </w:r>
            <w:r>
              <w:rPr>
                <w:rFonts w:ascii="Times New Roman" w:hAnsi="Times New Roman" w:cs="Times New Roman"/>
                <w:sz w:val="18"/>
                <w:szCs w:val="18"/>
              </w:rPr>
              <w:t>.</w:t>
            </w:r>
            <w:r>
              <w:rPr>
                <w:rFonts w:hint="eastAsia" w:ascii="Times New Roman" w:hAnsi="Times New Roman" w:cs="Times New Roman"/>
                <w:sz w:val="18"/>
                <w:szCs w:val="18"/>
              </w:rPr>
              <w:t>干部在培训基础上做到了制度创新</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能做到</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C21</w:t>
            </w: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提升业务技能</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能提升</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C21</w:t>
            </w:r>
            <w:r>
              <w:rPr>
                <w:rFonts w:hint="eastAsia" w:ascii="Times New Roman" w:hAnsi="Times New Roman" w:cs="Times New Roman"/>
                <w:sz w:val="18"/>
                <w:szCs w:val="18"/>
              </w:rPr>
              <w:t>4</w:t>
            </w:r>
            <w:r>
              <w:rPr>
                <w:rFonts w:ascii="Times New Roman" w:hAnsi="Times New Roman" w:cs="Times New Roman"/>
                <w:sz w:val="18"/>
                <w:szCs w:val="18"/>
              </w:rPr>
              <w:t>.</w:t>
            </w:r>
            <w:r>
              <w:rPr>
                <w:rFonts w:hint="eastAsia" w:ascii="Times New Roman" w:hAnsi="Times New Roman" w:cs="Times New Roman"/>
                <w:sz w:val="18"/>
                <w:szCs w:val="18"/>
              </w:rPr>
              <w:t>更新干部队伍知识</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能更新</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2</w:t>
            </w:r>
            <w:r>
              <w:rPr>
                <w:rFonts w:ascii="Times New Roman" w:hAnsi="Times New Roman" w:cs="Times New Roman"/>
                <w:sz w:val="18"/>
                <w:szCs w:val="18"/>
              </w:rPr>
              <w:t>.可持续效益</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21"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2</w:t>
            </w:r>
            <w:r>
              <w:rPr>
                <w:rFonts w:ascii="Times New Roman" w:hAnsi="Times New Roman" w:cs="Times New Roman"/>
                <w:sz w:val="18"/>
                <w:szCs w:val="18"/>
              </w:rPr>
              <w:t>1.</w:t>
            </w:r>
            <w:r>
              <w:rPr>
                <w:rFonts w:hint="eastAsia" w:ascii="Times New Roman" w:hAnsi="Times New Roman" w:cs="Times New Roman"/>
                <w:sz w:val="18"/>
                <w:szCs w:val="18"/>
              </w:rPr>
              <w:t>持续创造了高效管理型领导班子</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能创造</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84"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3</w:t>
            </w:r>
            <w:r>
              <w:rPr>
                <w:rFonts w:ascii="Times New Roman" w:hAnsi="Times New Roman" w:cs="Times New Roman"/>
                <w:sz w:val="18"/>
                <w:szCs w:val="18"/>
              </w:rPr>
              <w:t>.服务对象满意度</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2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3</w:t>
            </w:r>
            <w:r>
              <w:rPr>
                <w:rFonts w:ascii="Times New Roman" w:hAnsi="Times New Roman" w:cs="Times New Roman"/>
                <w:sz w:val="18"/>
                <w:szCs w:val="18"/>
              </w:rPr>
              <w:t>1.</w:t>
            </w:r>
            <w:r>
              <w:rPr>
                <w:rFonts w:hint="eastAsia" w:ascii="Times New Roman" w:hAnsi="Times New Roman" w:cs="Times New Roman"/>
                <w:sz w:val="18"/>
                <w:szCs w:val="18"/>
              </w:rPr>
              <w:t>受训人员对项目的满意度</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6.00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总体满意度94.14%</w:t>
            </w: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95"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60.00</w:t>
            </w:r>
          </w:p>
        </w:tc>
        <w:tc>
          <w:tcPr>
            <w:tcW w:w="1985"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024"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49.90</w:t>
            </w:r>
          </w:p>
        </w:tc>
      </w:tr>
    </w:tbl>
    <w:p>
      <w:pPr>
        <w:spacing w:line="600" w:lineRule="exact"/>
        <w:ind w:firstLine="640" w:firstLineChars="200"/>
        <w:rPr>
          <w:rFonts w:ascii="仿宋_GB2312" w:eastAsia="仿宋_GB2312"/>
          <w:sz w:val="32"/>
        </w:rPr>
      </w:pPr>
      <w:r>
        <w:rPr>
          <w:rFonts w:hint="eastAsia" w:ascii="仿宋_GB2312" w:eastAsia="仿宋_GB2312"/>
          <w:sz w:val="32"/>
        </w:rPr>
        <w:t>C11.产出数量</w:t>
      </w:r>
    </w:p>
    <w:p>
      <w:pPr>
        <w:spacing w:line="600" w:lineRule="exact"/>
        <w:ind w:firstLine="640" w:firstLineChars="200"/>
        <w:rPr>
          <w:rFonts w:ascii="仿宋_GB2312" w:eastAsia="仿宋_GB2312"/>
          <w:sz w:val="32"/>
        </w:rPr>
      </w:pPr>
      <w:r>
        <w:rPr>
          <w:rFonts w:hint="eastAsia" w:ascii="仿宋_GB2312" w:eastAsia="仿宋_GB2312"/>
          <w:sz w:val="32"/>
        </w:rPr>
        <w:t>反映螳川干部综合素质提升教育培训的执行情况，对各实施单位培训班经费支出的监管、人员控制，各培训班完成的及时性和合理性。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w:t>
      </w:r>
      <w:r>
        <w:rPr>
          <w:rFonts w:hint="eastAsia" w:ascii="Times New Roman" w:hAnsi="Times New Roman" w:eastAsia="仿宋_GB2312"/>
          <w:sz w:val="32"/>
        </w:rPr>
        <w:t>1</w:t>
      </w:r>
      <w:r>
        <w:rPr>
          <w:rFonts w:ascii="Times New Roman" w:hAnsi="Times New Roman" w:eastAsia="仿宋_GB2312"/>
          <w:sz w:val="32"/>
        </w:rPr>
        <w:t>.</w:t>
      </w:r>
      <w:r>
        <w:rPr>
          <w:rFonts w:ascii="Times New Roman" w:hAnsi="Times New Roman" w:eastAsia="仿宋_GB2312"/>
        </w:rPr>
        <w:t xml:space="preserve"> </w:t>
      </w:r>
      <w:r>
        <w:rPr>
          <w:rFonts w:ascii="Times New Roman" w:hAnsi="Times New Roman" w:eastAsia="仿宋_GB2312"/>
          <w:sz w:val="32"/>
        </w:rPr>
        <w:t>培训干部人数：现完成培训班14个，每期干部约40人，达到培训干部约550人。</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w:t>
      </w:r>
      <w:r>
        <w:rPr>
          <w:rFonts w:hint="eastAsia" w:ascii="Times New Roman" w:hAnsi="Times New Roman" w:eastAsia="仿宋_GB2312"/>
          <w:sz w:val="32"/>
        </w:rPr>
        <w:t>.00</w:t>
      </w:r>
      <w:r>
        <w:rPr>
          <w:rFonts w:ascii="Times New Roman" w:hAnsi="Times New Roman" w:eastAsia="仿宋_GB2312"/>
          <w:sz w:val="32"/>
        </w:rPr>
        <w:t>分，根据评分标准得3.00分。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w:t>
      </w:r>
      <w:r>
        <w:rPr>
          <w:rFonts w:hint="eastAsia" w:ascii="Times New Roman" w:hAnsi="Times New Roman" w:eastAsia="仿宋_GB2312"/>
          <w:sz w:val="32"/>
        </w:rPr>
        <w:t>2</w:t>
      </w:r>
      <w:r>
        <w:rPr>
          <w:rFonts w:ascii="Times New Roman" w:hAnsi="Times New Roman" w:eastAsia="仿宋_GB2312"/>
          <w:sz w:val="32"/>
        </w:rPr>
        <w:t>.</w:t>
      </w:r>
      <w:r>
        <w:rPr>
          <w:rFonts w:ascii="Times New Roman" w:hAnsi="Times New Roman" w:eastAsia="仿宋_GB2312"/>
        </w:rPr>
        <w:t xml:space="preserve"> </w:t>
      </w:r>
      <w:r>
        <w:rPr>
          <w:rFonts w:ascii="Times New Roman" w:hAnsi="Times New Roman" w:eastAsia="仿宋_GB2312"/>
          <w:sz w:val="32"/>
        </w:rPr>
        <w:t>干部专业化能力提升培训：完成干部专业能力提升培训分为12个班。</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该项指标满分为5</w:t>
      </w:r>
      <w:r>
        <w:rPr>
          <w:rFonts w:hint="eastAsia" w:ascii="Times New Roman" w:hAnsi="Times New Roman" w:eastAsia="仿宋_GB2312"/>
          <w:sz w:val="32"/>
        </w:rPr>
        <w:t>.00</w:t>
      </w:r>
      <w:r>
        <w:rPr>
          <w:rFonts w:ascii="Times New Roman" w:hAnsi="Times New Roman" w:eastAsia="仿宋_GB2312"/>
          <w:sz w:val="32"/>
        </w:rPr>
        <w:t>分，根据评分标准得5</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w:t>
      </w:r>
      <w:r>
        <w:rPr>
          <w:rFonts w:hint="eastAsia" w:ascii="Times New Roman" w:hAnsi="Times New Roman" w:eastAsia="仿宋_GB2312"/>
          <w:sz w:val="32"/>
        </w:rPr>
        <w:t>3</w:t>
      </w:r>
      <w:r>
        <w:rPr>
          <w:rFonts w:ascii="Times New Roman" w:hAnsi="Times New Roman" w:eastAsia="仿宋_GB2312"/>
          <w:sz w:val="32"/>
        </w:rPr>
        <w:t>.</w:t>
      </w:r>
      <w:r>
        <w:rPr>
          <w:rFonts w:ascii="Times New Roman" w:hAnsi="Times New Roman" w:eastAsia="仿宋_GB2312"/>
        </w:rPr>
        <w:t xml:space="preserve"> </w:t>
      </w:r>
      <w:r>
        <w:rPr>
          <w:rFonts w:ascii="Times New Roman" w:hAnsi="Times New Roman" w:eastAsia="仿宋_GB2312"/>
          <w:sz w:val="32"/>
        </w:rPr>
        <w:t>中青年干部能力提升培训：中青年干部能力提升培训分为3个班，实际完成2个班，有1个未完成。</w:t>
      </w:r>
      <w:r>
        <w:rPr>
          <w:rFonts w:hint="eastAsia" w:ascii="Times New Roman" w:hAnsi="Times New Roman" w:eastAsia="仿宋_GB2312"/>
          <w:sz w:val="32"/>
        </w:rPr>
        <w:t>根据评分标准扣1.00分。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w:t>
      </w:r>
      <w:r>
        <w:rPr>
          <w:rFonts w:hint="eastAsia" w:ascii="Times New Roman" w:hAnsi="Times New Roman" w:eastAsia="仿宋_GB2312"/>
          <w:sz w:val="32"/>
        </w:rPr>
        <w:t>.00</w:t>
      </w:r>
      <w:r>
        <w:rPr>
          <w:rFonts w:ascii="Times New Roman" w:hAnsi="Times New Roman" w:eastAsia="仿宋_GB2312"/>
          <w:sz w:val="32"/>
        </w:rPr>
        <w:t>分，根据评分标准得2.00分。</w:t>
      </w:r>
    </w:p>
    <w:p>
      <w:pPr>
        <w:spacing w:line="600" w:lineRule="exact"/>
        <w:ind w:firstLine="640" w:firstLineChars="200"/>
        <w:rPr>
          <w:rFonts w:ascii="Times New Roman" w:hAnsi="Times New Roman" w:eastAsia="仿宋_GB2312"/>
          <w:sz w:val="32"/>
          <w:highlight w:val="yellow"/>
        </w:rPr>
      </w:pPr>
      <w:r>
        <w:rPr>
          <w:rFonts w:ascii="Times New Roman" w:hAnsi="Times New Roman" w:eastAsia="仿宋_GB2312"/>
          <w:sz w:val="32"/>
        </w:rPr>
        <w:t>C11</w:t>
      </w:r>
      <w:r>
        <w:rPr>
          <w:rFonts w:hint="eastAsia" w:ascii="Times New Roman" w:hAnsi="Times New Roman" w:eastAsia="仿宋_GB2312"/>
          <w:sz w:val="32"/>
        </w:rPr>
        <w:t>4</w:t>
      </w:r>
      <w:r>
        <w:rPr>
          <w:rFonts w:ascii="Times New Roman" w:hAnsi="Times New Roman" w:eastAsia="仿宋_GB2312"/>
          <w:sz w:val="32"/>
        </w:rPr>
        <w:t>.</w:t>
      </w:r>
      <w:r>
        <w:rPr>
          <w:rFonts w:ascii="Times New Roman" w:hAnsi="Times New Roman" w:eastAsia="仿宋_GB2312"/>
        </w:rPr>
        <w:t xml:space="preserve"> </w:t>
      </w:r>
      <w:r>
        <w:rPr>
          <w:rFonts w:ascii="Times New Roman" w:hAnsi="Times New Roman" w:eastAsia="仿宋_GB2312"/>
          <w:sz w:val="32"/>
        </w:rPr>
        <w:t>公务员队伍素质提升培训：公务员队伍素质提升培训分为1个班，未完成。</w:t>
      </w:r>
      <w:r>
        <w:rPr>
          <w:rFonts w:hint="eastAsia" w:ascii="Times New Roman" w:hAnsi="Times New Roman" w:eastAsia="仿宋_GB2312"/>
          <w:sz w:val="32"/>
        </w:rPr>
        <w:t>根据评分标准扣2.00分.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指标满分为2</w:t>
      </w:r>
      <w:r>
        <w:rPr>
          <w:rFonts w:hint="eastAsia" w:ascii="Times New Roman" w:hAnsi="Times New Roman" w:eastAsia="仿宋_GB2312"/>
          <w:sz w:val="32"/>
        </w:rPr>
        <w:t>.00</w:t>
      </w:r>
      <w:r>
        <w:rPr>
          <w:rFonts w:ascii="Times New Roman" w:hAnsi="Times New Roman" w:eastAsia="仿宋_GB2312"/>
          <w:sz w:val="32"/>
        </w:rPr>
        <w:t>分，根据评分标准得0.00分。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w:t>
      </w:r>
      <w:r>
        <w:rPr>
          <w:rFonts w:hint="eastAsia" w:ascii="Times New Roman" w:hAnsi="Times New Roman" w:eastAsia="仿宋_GB2312"/>
          <w:sz w:val="32"/>
        </w:rPr>
        <w:t>5</w:t>
      </w:r>
      <w:r>
        <w:rPr>
          <w:rFonts w:ascii="Times New Roman" w:hAnsi="Times New Roman" w:eastAsia="仿宋_GB2312"/>
          <w:sz w:val="32"/>
        </w:rPr>
        <w:t>.</w:t>
      </w:r>
      <w:r>
        <w:rPr>
          <w:rFonts w:ascii="Times New Roman" w:hAnsi="Times New Roman" w:eastAsia="仿宋_GB2312"/>
        </w:rPr>
        <w:t xml:space="preserve"> </w:t>
      </w:r>
      <w:r>
        <w:rPr>
          <w:rFonts w:ascii="Times New Roman" w:hAnsi="Times New Roman" w:eastAsia="仿宋_GB2312"/>
          <w:sz w:val="32"/>
        </w:rPr>
        <w:t>每期培训领导带队人数：根据各实施单位培训方案每期培训均有2-3名领导带队。</w:t>
      </w:r>
      <w:r>
        <w:rPr>
          <w:rFonts w:hint="eastAsia" w:ascii="Times New Roman" w:hAnsi="Times New Roman" w:eastAsia="仿宋_GB2312"/>
          <w:sz w:val="32"/>
        </w:rPr>
        <w:t>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项指标满分为3</w:t>
      </w:r>
      <w:r>
        <w:rPr>
          <w:rFonts w:hint="eastAsia" w:ascii="Times New Roman" w:hAnsi="Times New Roman" w:eastAsia="仿宋_GB2312"/>
          <w:sz w:val="32"/>
        </w:rPr>
        <w:t>.00</w:t>
      </w:r>
      <w:r>
        <w:rPr>
          <w:rFonts w:ascii="Times New Roman" w:hAnsi="Times New Roman" w:eastAsia="仿宋_GB2312"/>
          <w:sz w:val="32"/>
        </w:rPr>
        <w:t>分，根据评分标准得3.00分。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w:t>
      </w:r>
      <w:r>
        <w:rPr>
          <w:rFonts w:hint="eastAsia" w:ascii="Times New Roman" w:hAnsi="Times New Roman" w:eastAsia="仿宋_GB2312"/>
          <w:sz w:val="32"/>
        </w:rPr>
        <w:t>6</w:t>
      </w:r>
      <w:r>
        <w:rPr>
          <w:rFonts w:ascii="Times New Roman" w:hAnsi="Times New Roman" w:eastAsia="仿宋_GB2312"/>
          <w:sz w:val="32"/>
        </w:rPr>
        <w:t>.</w:t>
      </w:r>
      <w:r>
        <w:rPr>
          <w:rFonts w:ascii="Times New Roman" w:hAnsi="Times New Roman" w:eastAsia="仿宋_GB2312"/>
        </w:rPr>
        <w:t xml:space="preserve"> </w:t>
      </w:r>
      <w:r>
        <w:rPr>
          <w:rFonts w:ascii="Times New Roman" w:hAnsi="Times New Roman" w:eastAsia="仿宋_GB2312"/>
          <w:sz w:val="32"/>
        </w:rPr>
        <w:t>培训干部实现率：培训实现率=（实际参与干部人数/计划参与干部人数）×100%=560/550*100.00%=101.81%</w:t>
      </w:r>
      <w:r>
        <w:rPr>
          <w:rFonts w:hint="eastAsia" w:ascii="Times New Roman" w:hAnsi="Times New Roman" w:eastAsia="仿宋_GB2312"/>
          <w:sz w:val="32"/>
        </w:rPr>
        <w:t>＞100.00%。根据评分标准得满分。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w:t>
      </w:r>
      <w:r>
        <w:rPr>
          <w:rFonts w:hint="eastAsia" w:ascii="Times New Roman" w:hAnsi="Times New Roman" w:eastAsia="仿宋_GB2312"/>
          <w:sz w:val="32"/>
        </w:rPr>
        <w:t>.00</w:t>
      </w:r>
      <w:r>
        <w:rPr>
          <w:rFonts w:ascii="Times New Roman" w:hAnsi="Times New Roman" w:eastAsia="仿宋_GB2312"/>
          <w:sz w:val="32"/>
        </w:rPr>
        <w:t>分，根据评分标准得4.00分。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C12.产出时效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C121.</w:t>
      </w:r>
      <w:r>
        <w:rPr>
          <w:rFonts w:ascii="Times New Roman" w:hAnsi="Times New Roman" w:eastAsia="仿宋_GB2312"/>
        </w:rPr>
        <w:t xml:space="preserve"> </w:t>
      </w:r>
      <w:r>
        <w:rPr>
          <w:rFonts w:ascii="Times New Roman" w:hAnsi="Times New Roman" w:eastAsia="仿宋_GB2312"/>
          <w:sz w:val="32"/>
        </w:rPr>
        <w:t>专题培训时期：根据</w:t>
      </w:r>
      <w:r>
        <w:rPr>
          <w:rFonts w:hint="eastAsia" w:ascii="Times New Roman" w:hAnsi="Times New Roman" w:eastAsia="仿宋_GB2312"/>
          <w:sz w:val="32"/>
        </w:rPr>
        <w:t>实施方案</w:t>
      </w:r>
      <w:r>
        <w:rPr>
          <w:rFonts w:ascii="Times New Roman" w:hAnsi="Times New Roman" w:eastAsia="仿宋_GB2312"/>
          <w:sz w:val="32"/>
        </w:rPr>
        <w:t>105号文件培训时间原则上安排在2019年1月至9月期间进行，国企领导人员专题培训班时间为2019年10月20日-2019年10月26日，超过9月份。</w:t>
      </w:r>
      <w:r>
        <w:rPr>
          <w:rFonts w:hint="eastAsia" w:ascii="Times New Roman" w:hAnsi="Times New Roman" w:eastAsia="仿宋_GB2312"/>
          <w:sz w:val="32"/>
        </w:rPr>
        <w:t>根据评分标准扣1.00分。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w:t>
      </w:r>
      <w:r>
        <w:rPr>
          <w:rFonts w:hint="eastAsia" w:ascii="Times New Roman" w:hAnsi="Times New Roman" w:eastAsia="仿宋_GB2312"/>
          <w:sz w:val="32"/>
        </w:rPr>
        <w:t>.00</w:t>
      </w:r>
      <w:r>
        <w:rPr>
          <w:rFonts w:ascii="Times New Roman" w:hAnsi="Times New Roman" w:eastAsia="仿宋_GB2312"/>
          <w:sz w:val="32"/>
        </w:rPr>
        <w:t>分，根据评分标准得2.00分。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C122.</w:t>
      </w:r>
      <w:r>
        <w:rPr>
          <w:rFonts w:ascii="Times New Roman" w:hAnsi="Times New Roman" w:eastAsia="仿宋_GB2312"/>
        </w:rPr>
        <w:t xml:space="preserve"> </w:t>
      </w:r>
      <w:r>
        <w:rPr>
          <w:rFonts w:ascii="Times New Roman" w:hAnsi="Times New Roman" w:eastAsia="仿宋_GB2312"/>
          <w:sz w:val="32"/>
        </w:rPr>
        <w:t>异地培训班单期控制天数：</w:t>
      </w:r>
      <w:r>
        <w:rPr>
          <w:rFonts w:hint="eastAsia" w:ascii="Times New Roman" w:hAnsi="Times New Roman" w:eastAsia="仿宋_GB2312"/>
          <w:sz w:val="32"/>
        </w:rPr>
        <w:t>根据105号文件规定异地培训班单期时间控制在7天以内。实际存在1期时间超过7天为：市投促局组织开展的招商引资专题培训班培训时间为2019年6月30日至7月8日天数为9天；根据评分标准扣1分。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3</w:t>
      </w:r>
      <w:r>
        <w:rPr>
          <w:rFonts w:ascii="Times New Roman" w:hAnsi="Times New Roman" w:eastAsia="仿宋_GB2312"/>
          <w:sz w:val="32"/>
        </w:rPr>
        <w:t>.00分。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 培训成本控制</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C131.干部教育经费成本控制情况：市投促局违反中共安宁市委办公室关于印发《安宁市2019年“螳川干部综合素质提升行动计划”实施方案的通知》（安办通〔2018〕105号）中“每期培训班使用干部教育经费原则上控制在40万元以内，超出部分由责任单位工作经费开支” 市投促局组织开展的招商引资专题培训班培训费用支出为41.48万元根据；根据评分标准得3.00分。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3</w:t>
      </w:r>
      <w:r>
        <w:rPr>
          <w:rFonts w:ascii="Times New Roman" w:hAnsi="Times New Roman" w:eastAsia="仿宋_GB2312"/>
          <w:sz w:val="32"/>
        </w:rPr>
        <w:t>.00分。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C21.社会效益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C211.</w:t>
      </w:r>
      <w:r>
        <w:rPr>
          <w:rFonts w:ascii="Times New Roman" w:hAnsi="Times New Roman" w:eastAsia="仿宋_GB2312"/>
        </w:rPr>
        <w:t xml:space="preserve"> </w:t>
      </w:r>
      <w:r>
        <w:rPr>
          <w:rFonts w:ascii="Times New Roman" w:hAnsi="Times New Roman" w:eastAsia="仿宋_GB2312"/>
          <w:sz w:val="32"/>
        </w:rPr>
        <w:t>增强干部法纪意识：</w:t>
      </w:r>
      <w:r>
        <w:rPr>
          <w:rFonts w:hint="eastAsia" w:ascii="Times New Roman" w:hAnsi="Times New Roman" w:eastAsia="仿宋_GB2312"/>
          <w:sz w:val="32"/>
        </w:rPr>
        <w:t>根据心得体会、访谈，培训结束后干部法纪意识增强，参训人员在心得体会中将意识上要“到位”、实际行动上要“到位”、纪律要求上要“到位”进行合理归纳、精选整理，得2.00分。根据取得73份问卷中“培训结束后您认为是否增强了自身法纪意识”取得平均分90.06，根据问卷得0.90分，根据评分标准得2.90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该项指标满分为3.00分，根据评分标准得2.90分。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C212.</w:t>
      </w:r>
      <w:r>
        <w:rPr>
          <w:rFonts w:ascii="Times New Roman" w:hAnsi="Times New Roman" w:eastAsia="仿宋_GB2312"/>
        </w:rPr>
        <w:t xml:space="preserve"> </w:t>
      </w:r>
      <w:r>
        <w:rPr>
          <w:rFonts w:ascii="Times New Roman" w:hAnsi="Times New Roman" w:eastAsia="仿宋_GB2312"/>
          <w:sz w:val="32"/>
        </w:rPr>
        <w:t>干部在培训基础上做到了制度创新：</w:t>
      </w:r>
      <w:r>
        <w:rPr>
          <w:rFonts w:hint="eastAsia" w:ascii="Times New Roman" w:hAnsi="Times New Roman" w:eastAsia="仿宋_GB2312"/>
          <w:sz w:val="32"/>
        </w:rPr>
        <w:t>根据心得体会、访谈，培训结束后参训干部将新进管理经验与本单位制度相结合，并进行讨论交流对其中不足之处进行改革创新。得2.00分。根据取得73份问卷中“培训结束后是否做到了制度创新”取得平均分88.35分，根据问卷得1.76分，根据评分标准得3.76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该项指标满分为4.00分，根据评分标准得3.76分。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C213.</w:t>
      </w:r>
      <w:r>
        <w:rPr>
          <w:rFonts w:ascii="Times New Roman" w:hAnsi="Times New Roman" w:eastAsia="仿宋_GB2312"/>
        </w:rPr>
        <w:t xml:space="preserve"> </w:t>
      </w:r>
      <w:r>
        <w:rPr>
          <w:rFonts w:ascii="Times New Roman" w:hAnsi="Times New Roman" w:eastAsia="仿宋_GB2312"/>
          <w:sz w:val="32"/>
        </w:rPr>
        <w:t>提升业务技能：</w:t>
      </w:r>
      <w:r>
        <w:rPr>
          <w:rFonts w:hint="eastAsia" w:ascii="Times New Roman" w:hAnsi="Times New Roman" w:eastAsia="仿宋_GB2312"/>
          <w:sz w:val="32"/>
        </w:rPr>
        <w:t>根据心得体会、访谈，参训人员在医疗技术、管理组织能力等方面的技能水平得到进一步提升，得2.00分。根据取得73份问卷中“培训结束后你认为对自己的业务技能是否有提升”取得平均分89.04分，根据问卷得1.78分，根据评分标准得3.78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该项指标满分为4.00分，根据评分标准得3.78分。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C214.</w:t>
      </w:r>
      <w:r>
        <w:rPr>
          <w:rFonts w:ascii="Times New Roman" w:hAnsi="Times New Roman" w:eastAsia="仿宋_GB2312"/>
        </w:rPr>
        <w:t xml:space="preserve"> </w:t>
      </w:r>
      <w:r>
        <w:rPr>
          <w:rFonts w:ascii="Times New Roman" w:hAnsi="Times New Roman" w:eastAsia="仿宋_GB2312"/>
          <w:sz w:val="32"/>
        </w:rPr>
        <w:t>更新干部队伍知识:</w:t>
      </w:r>
      <w:r>
        <w:rPr>
          <w:rFonts w:ascii="Times New Roman" w:hAnsi="Times New Roman" w:eastAsia="仿宋_GB2312"/>
        </w:rPr>
        <w:t xml:space="preserve"> </w:t>
      </w:r>
      <w:r>
        <w:rPr>
          <w:rFonts w:hint="eastAsia" w:ascii="Times New Roman" w:hAnsi="Times New Roman" w:eastAsia="仿宋_GB2312"/>
          <w:sz w:val="32"/>
        </w:rPr>
        <w:t>根据心得体会、访谈，培训结束后，参训人员在医疗、党建工作建设、新型产业、城市管理、市场营销、营商环境等方面获取了新的认识，得2.00分。根据取得73份问卷中“培训结束后你认为对自己的知识是否有所更新”取得平均分88.26分，根据问卷得1.76分，根据评分标准得3.76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该项指标满分为4.00分，根据评分标准得3.76分。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C22.可持续效益</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C221.持续创造了高效管理型领导班子：根据心得体会、访谈，参训人员与各行业专家现场观摩式互动学习，将新进管理模式进行分享交流为持续创造高效管理型领导班子提供良好条件，得2.00分。根据取得73份问卷中“培训结束后对创新高效管理型领导班子是否有作用”取得平均分89.04分，根据问卷得1.78分，根据评分标准得3.78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该项指标满分为4.00分，根据评分标准得3.78分。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C23.满意度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C231.受训人员对项目的满意度：</w:t>
      </w:r>
      <w:r>
        <w:rPr>
          <w:rFonts w:ascii="Times New Roman" w:hAnsi="Times New Roman" w:eastAsia="仿宋_GB2312"/>
          <w:sz w:val="32"/>
        </w:rPr>
        <w:t>受训人员对项目的满意度：根据取得73份问卷“ 您对这个项目的满意度如何？”取得平均分94.86分，</w:t>
      </w:r>
      <w:r>
        <w:rPr>
          <w:rFonts w:hint="eastAsia" w:ascii="Times New Roman" w:hAnsi="Times New Roman" w:eastAsia="仿宋_GB2312"/>
          <w:sz w:val="32"/>
        </w:rPr>
        <w:t>根据评分标准得</w:t>
      </w:r>
      <w:r>
        <w:rPr>
          <w:rFonts w:ascii="Times New Roman" w:hAnsi="Times New Roman" w:eastAsia="仿宋_GB2312"/>
          <w:sz w:val="32"/>
        </w:rPr>
        <w:t>5.69分。</w:t>
      </w:r>
      <w:bookmarkStart w:id="75" w:name="_Toc48082214"/>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该项指标满分为6.00分，根据评分标准得5.69分。</w:t>
      </w:r>
    </w:p>
    <w:p>
      <w:pPr>
        <w:pStyle w:val="3"/>
        <w:spacing w:line="600" w:lineRule="exact"/>
        <w:ind w:firstLine="640" w:firstLineChars="200"/>
        <w:rPr>
          <w:rFonts w:ascii="黑体" w:hAnsi="黑体" w:eastAsia="黑体"/>
          <w:b w:val="0"/>
        </w:rPr>
      </w:pPr>
      <w:bookmarkStart w:id="76" w:name="_Toc73015760"/>
      <w:r>
        <w:rPr>
          <w:rFonts w:hint="eastAsia" w:ascii="黑体" w:hAnsi="黑体" w:eastAsia="黑体"/>
          <w:b w:val="0"/>
        </w:rPr>
        <w:t>四、项目主要经验及做法、存在的问题和建议</w:t>
      </w:r>
      <w:bookmarkEnd w:id="75"/>
      <w:bookmarkEnd w:id="76"/>
    </w:p>
    <w:p>
      <w:pPr>
        <w:pStyle w:val="3"/>
        <w:spacing w:line="600" w:lineRule="exact"/>
        <w:ind w:firstLine="480" w:firstLineChars="150"/>
        <w:rPr>
          <w:rFonts w:ascii="楷体_GB2312" w:eastAsia="楷体_GB2312"/>
          <w:b w:val="0"/>
        </w:rPr>
      </w:pPr>
      <w:bookmarkStart w:id="77" w:name="_Toc73015761"/>
      <w:r>
        <w:rPr>
          <w:rFonts w:hint="eastAsia" w:ascii="楷体_GB2312" w:eastAsia="楷体_GB2312"/>
          <w:b w:val="0"/>
        </w:rPr>
        <w:t>（一）主要经验及做法</w:t>
      </w:r>
      <w:bookmarkEnd w:id="77"/>
    </w:p>
    <w:p>
      <w:pPr>
        <w:spacing w:line="600" w:lineRule="exact"/>
        <w:ind w:firstLine="643" w:firstLineChars="200"/>
        <w:rPr>
          <w:rFonts w:hint="eastAsia" w:ascii="Times New Roman" w:eastAsia="仿宋_GB2312"/>
          <w:b/>
          <w:sz w:val="32"/>
        </w:rPr>
      </w:pPr>
      <w:bookmarkStart w:id="78" w:name="_Toc73015762"/>
      <w:r>
        <w:rPr>
          <w:rFonts w:hint="eastAsia" w:ascii="Times New Roman" w:eastAsia="仿宋_GB2312"/>
          <w:b/>
          <w:sz w:val="32"/>
        </w:rPr>
        <w:t xml:space="preserve">统一部署，合理组织规划。 </w:t>
      </w:r>
    </w:p>
    <w:p>
      <w:pPr>
        <w:spacing w:line="600" w:lineRule="exact"/>
        <w:ind w:firstLine="640" w:firstLineChars="200"/>
        <w:rPr>
          <w:rFonts w:ascii="Times New Roman" w:eastAsia="仿宋_GB2312"/>
          <w:sz w:val="32"/>
        </w:rPr>
      </w:pPr>
      <w:r>
        <w:rPr>
          <w:rFonts w:hint="eastAsia" w:ascii="Times New Roman" w:eastAsia="仿宋_GB2312"/>
          <w:sz w:val="32"/>
        </w:rPr>
        <w:t>安宁市“螳川干部综合素质提升行动计划”年度实施方案在市委的统一领导下，</w:t>
      </w:r>
      <w:r>
        <w:rPr>
          <w:rFonts w:hint="eastAsia" w:ascii="Times New Roman" w:eastAsia="仿宋_GB2312"/>
          <w:sz w:val="32"/>
          <w:lang w:eastAsia="zh-CN"/>
        </w:rPr>
        <w:t>安宁</w:t>
      </w:r>
      <w:r>
        <w:rPr>
          <w:rFonts w:hint="eastAsia" w:ascii="Times New Roman" w:eastAsia="仿宋_GB2312"/>
          <w:sz w:val="32"/>
        </w:rPr>
        <w:t>市委组织部牵头抓总，相关责任单位具体负责专题培训方案拟制和培训组织。确保市级党和国家机关机构改革后，教育培训工作秩序不乱、力度不减。课程设置紧密结合</w:t>
      </w:r>
      <w:r>
        <w:rPr>
          <w:rFonts w:hint="eastAsia" w:ascii="Times New Roman" w:eastAsia="仿宋_GB2312"/>
          <w:sz w:val="32"/>
          <w:lang w:eastAsia="zh-CN"/>
        </w:rPr>
        <w:t>安宁</w:t>
      </w:r>
      <w:r>
        <w:rPr>
          <w:rFonts w:hint="eastAsia" w:ascii="Times New Roman" w:eastAsia="仿宋_GB2312"/>
          <w:sz w:val="32"/>
        </w:rPr>
        <w:t>市干部队伍实际，紧扣</w:t>
      </w:r>
      <w:r>
        <w:rPr>
          <w:rFonts w:hint="eastAsia" w:ascii="Times New Roman" w:eastAsia="仿宋_GB2312"/>
          <w:sz w:val="32"/>
          <w:lang w:eastAsia="zh-CN"/>
        </w:rPr>
        <w:t>安宁</w:t>
      </w:r>
      <w:r>
        <w:rPr>
          <w:rFonts w:hint="eastAsia" w:ascii="Times New Roman" w:eastAsia="仿宋_GB2312"/>
          <w:sz w:val="32"/>
        </w:rPr>
        <w:t>市经济社会发展需要；每个专题必须安排习近平新时代中国特色社会主义思想和党性党风纪教育课程，同时也要把传承和弘扬中华优秀传统文化教育列为重要的培训内容。注重课堂教学与现场教学相结合，充分考虑现场教学点的甄选，使参训学员能够在培训中对标先进找差距、开拓眼界增信心。</w:t>
      </w:r>
    </w:p>
    <w:p>
      <w:pPr>
        <w:pStyle w:val="3"/>
        <w:spacing w:line="600" w:lineRule="exact"/>
        <w:ind w:firstLine="480" w:firstLineChars="150"/>
        <w:rPr>
          <w:rFonts w:ascii="Times New Roman" w:hAnsi="Calibri" w:eastAsia="仿宋_GB2312" w:cs="Times New Roman"/>
          <w:bCs w:val="0"/>
          <w:szCs w:val="22"/>
        </w:rPr>
      </w:pPr>
      <w:r>
        <w:rPr>
          <w:rFonts w:hint="eastAsia" w:ascii="楷体_GB2312" w:eastAsia="楷体_GB2312"/>
          <w:b w:val="0"/>
        </w:rPr>
        <w:t>（二）存在的问题</w:t>
      </w:r>
      <w:bookmarkEnd w:id="78"/>
    </w:p>
    <w:p>
      <w:pPr>
        <w:spacing w:line="600" w:lineRule="exact"/>
        <w:ind w:firstLine="643" w:firstLineChars="200"/>
        <w:rPr>
          <w:rFonts w:ascii="仿宋_GB2312" w:eastAsia="仿宋_GB2312"/>
          <w:b/>
          <w:sz w:val="32"/>
        </w:rPr>
      </w:pPr>
      <w:r>
        <w:rPr>
          <w:rFonts w:hint="eastAsia" w:ascii="仿宋_GB2312" w:eastAsia="仿宋_GB2312"/>
          <w:b/>
          <w:sz w:val="32"/>
        </w:rPr>
        <w:t>1.预算执行率低</w:t>
      </w:r>
    </w:p>
    <w:p>
      <w:pPr>
        <w:spacing w:line="600" w:lineRule="exact"/>
        <w:ind w:firstLine="640" w:firstLineChars="200"/>
        <w:rPr>
          <w:rFonts w:ascii="楷体_GB2312" w:eastAsia="楷体_GB2312" w:hAnsiTheme="majorHAnsi" w:cstheme="majorBidi"/>
          <w:bCs/>
          <w:sz w:val="32"/>
          <w:szCs w:val="32"/>
        </w:rPr>
      </w:pPr>
      <w:r>
        <w:rPr>
          <w:rFonts w:hint="eastAsia" w:ascii="Times New Roman" w:hAnsi="Times New Roman" w:eastAsia="仿宋_GB2312"/>
          <w:sz w:val="32"/>
        </w:rPr>
        <w:t>2019年项目批复经费为600.00万元，2019年螳川干部综合素质提升教育培训经费支出417.36万元，结余182.64万元。由于新提拔干部能力提升班、公务员队伍素质提升培训未开展，导致预算执行率低，预算执行率69.56%。</w:t>
      </w:r>
    </w:p>
    <w:p>
      <w:pPr>
        <w:spacing w:line="600" w:lineRule="exact"/>
        <w:ind w:firstLine="643" w:firstLineChars="200"/>
        <w:rPr>
          <w:rFonts w:ascii="Times New Roman" w:hAnsi="Times New Roman" w:eastAsia="仿宋_GB2312"/>
          <w:b/>
          <w:sz w:val="32"/>
        </w:rPr>
      </w:pPr>
      <w:r>
        <w:rPr>
          <w:rFonts w:hint="eastAsia" w:ascii="Times New Roman" w:hAnsi="Times New Roman" w:eastAsia="仿宋_GB2312"/>
          <w:b/>
          <w:sz w:val="32"/>
        </w:rPr>
        <w:t>2.实施方案未得到有效执行</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（1）超范围报销交通费</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安宁市中共市委组织部违反中共安宁市委办公室关于印发《安宁市2019年“螳川干部综合素质提升行动计划”实施方案的通知》（安办通〔2018〕105号）文件中规定异地培训往返交通费由各派员单位承担（社区干部除外），报销市环保局、市委组织部、市卫计局、市国资局、市规划局市内交通费25,400.00元。明细如下：</w:t>
      </w:r>
    </w:p>
    <w:tbl>
      <w:tblPr>
        <w:tblStyle w:val="11"/>
        <w:tblW w:w="80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396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市内交通费（单位：元）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市环保局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生态文明建设专题培训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市委组织部</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基层党建专题培训班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市卫计局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大健康产业专题培训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市国资局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新任国有企业领导人员专题培训班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1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市规划局</w:t>
            </w:r>
          </w:p>
        </w:tc>
        <w:tc>
          <w:tcPr>
            <w:tcW w:w="3969"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城市规划与建设专题培训班</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685" w:type="dxa"/>
            <w:gridSpan w:val="2"/>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合计　</w:t>
            </w:r>
          </w:p>
        </w:tc>
        <w:tc>
          <w:tcPr>
            <w:tcW w:w="241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25,400.00</w:t>
            </w:r>
          </w:p>
        </w:tc>
      </w:tr>
    </w:tbl>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（2）培训班人次超标</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市投促局、市委宣传部、市农业局在</w:t>
      </w:r>
      <w:r>
        <w:rPr>
          <w:rFonts w:ascii="Times New Roman" w:hAnsi="Times New Roman" w:eastAsia="仿宋_GB2312"/>
          <w:sz w:val="32"/>
        </w:rPr>
        <w:t>项目实施过程中违反</w:t>
      </w:r>
      <w:r>
        <w:rPr>
          <w:rFonts w:hint="eastAsia" w:ascii="Times New Roman" w:hAnsi="Times New Roman" w:eastAsia="仿宋_GB2312"/>
          <w:sz w:val="32"/>
        </w:rPr>
        <w:t>中共安宁市委办公室关于印发《安宁市2019年“螳川干部综合素质提升行动计划”实施方案的通知》（安办通〔2018〕105号）中文件</w:t>
      </w:r>
      <w:r>
        <w:rPr>
          <w:rFonts w:ascii="Times New Roman" w:hAnsi="Times New Roman" w:eastAsia="仿宋_GB2312"/>
          <w:sz w:val="32"/>
        </w:rPr>
        <w:t>内容</w:t>
      </w:r>
      <w:r>
        <w:rPr>
          <w:rFonts w:hint="eastAsia" w:ascii="Times New Roman" w:hAnsi="Times New Roman" w:eastAsia="仿宋_GB2312"/>
          <w:sz w:val="32"/>
        </w:rPr>
        <w:t>规定</w:t>
      </w:r>
      <w:r>
        <w:rPr>
          <w:rFonts w:ascii="Times New Roman" w:hAnsi="Times New Roman" w:eastAsia="仿宋_GB2312"/>
          <w:sz w:val="32"/>
        </w:rPr>
        <w:t>参训人员控制在50人以内</w:t>
      </w:r>
      <w:r>
        <w:rPr>
          <w:rFonts w:hint="eastAsia" w:ascii="Times New Roman" w:hAnsi="Times New Roman" w:eastAsia="仿宋_GB2312"/>
          <w:sz w:val="32"/>
        </w:rPr>
        <w:t>。在实施过程中市投促局、市委宣传部、市农业局培训班人数超过50人。具体明细如下：</w:t>
      </w:r>
    </w:p>
    <w:tbl>
      <w:tblPr>
        <w:tblStyle w:val="11"/>
        <w:tblW w:w="8188" w:type="dxa"/>
        <w:tblInd w:w="0" w:type="dxa"/>
        <w:tblLayout w:type="fixed"/>
        <w:tblCellMar>
          <w:top w:w="0" w:type="dxa"/>
          <w:left w:w="108" w:type="dxa"/>
          <w:bottom w:w="0" w:type="dxa"/>
          <w:right w:w="108" w:type="dxa"/>
        </w:tblCellMar>
      </w:tblPr>
      <w:tblGrid>
        <w:gridCol w:w="2376"/>
        <w:gridCol w:w="4253"/>
        <w:gridCol w:w="1559"/>
      </w:tblGrid>
      <w:tr>
        <w:tblPrEx>
          <w:tblLayout w:type="fixed"/>
          <w:tblCellMar>
            <w:top w:w="0" w:type="dxa"/>
            <w:left w:w="108" w:type="dxa"/>
            <w:bottom w:w="0" w:type="dxa"/>
            <w:right w:w="108" w:type="dxa"/>
          </w:tblCellMar>
        </w:tblPrEx>
        <w:trPr>
          <w:trHeight w:val="430"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培训班</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人数</w:t>
            </w:r>
          </w:p>
        </w:tc>
      </w:tr>
      <w:tr>
        <w:tblPrEx>
          <w:tblLayout w:type="fixed"/>
          <w:tblCellMar>
            <w:top w:w="0" w:type="dxa"/>
            <w:left w:w="108" w:type="dxa"/>
            <w:bottom w:w="0" w:type="dxa"/>
            <w:right w:w="108" w:type="dxa"/>
          </w:tblCellMar>
        </w:tblPrEx>
        <w:trPr>
          <w:trHeight w:val="423"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市投促局</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招商引资专题培训班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52</w:t>
            </w:r>
          </w:p>
        </w:tc>
      </w:tr>
      <w:tr>
        <w:tblPrEx>
          <w:tblLayout w:type="fixed"/>
          <w:tblCellMar>
            <w:top w:w="0" w:type="dxa"/>
            <w:left w:w="108" w:type="dxa"/>
            <w:bottom w:w="0" w:type="dxa"/>
            <w:right w:w="108" w:type="dxa"/>
          </w:tblCellMar>
        </w:tblPrEx>
        <w:trPr>
          <w:trHeight w:val="415"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市委宣传部</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文旅产业发展与新闻发言人专题培训班</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53</w:t>
            </w:r>
          </w:p>
        </w:tc>
      </w:tr>
      <w:tr>
        <w:tblPrEx>
          <w:tblLayout w:type="fixed"/>
          <w:tblCellMar>
            <w:top w:w="0" w:type="dxa"/>
            <w:left w:w="108" w:type="dxa"/>
            <w:bottom w:w="0" w:type="dxa"/>
            <w:right w:w="108" w:type="dxa"/>
          </w:tblCellMar>
        </w:tblPrEx>
        <w:trPr>
          <w:trHeight w:val="540"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市农业局</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乡村振兴战略专题培训班</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55</w:t>
            </w:r>
          </w:p>
        </w:tc>
      </w:tr>
    </w:tbl>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（3）异地培训天数超标</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市投促局</w:t>
      </w:r>
      <w:r>
        <w:rPr>
          <w:rFonts w:ascii="Times New Roman" w:hAnsi="Times New Roman" w:eastAsia="仿宋_GB2312"/>
          <w:sz w:val="32"/>
        </w:rPr>
        <w:t>违反</w:t>
      </w:r>
      <w:r>
        <w:rPr>
          <w:rFonts w:hint="eastAsia" w:ascii="Times New Roman" w:hAnsi="Times New Roman" w:eastAsia="仿宋_GB2312"/>
          <w:sz w:val="32"/>
        </w:rPr>
        <w:t>中共安宁市委办公室关于印发《安宁市2019年“螳川干部综合素质提升行动计划”实施方案的通知》（安办通〔2018〕105号）中文件</w:t>
      </w:r>
      <w:r>
        <w:rPr>
          <w:rFonts w:ascii="Times New Roman" w:hAnsi="Times New Roman" w:eastAsia="仿宋_GB2312"/>
          <w:sz w:val="32"/>
        </w:rPr>
        <w:t>内容</w:t>
      </w:r>
      <w:r>
        <w:rPr>
          <w:rFonts w:hint="eastAsia" w:ascii="Times New Roman" w:hAnsi="Times New Roman" w:eastAsia="仿宋_GB2312"/>
          <w:sz w:val="32"/>
        </w:rPr>
        <w:t>规定培训班单期时间控制在7天以内。市投促局组织开展的招商引资专题培训班培训时间为2019年6月30日至7月8日培训天数为9天。</w:t>
      </w:r>
    </w:p>
    <w:p>
      <w:pPr>
        <w:spacing w:line="600" w:lineRule="exact"/>
        <w:ind w:firstLine="643" w:firstLineChars="200"/>
        <w:rPr>
          <w:rFonts w:ascii="仿宋_GB2312" w:eastAsia="仿宋_GB2312"/>
          <w:b/>
          <w:sz w:val="32"/>
        </w:rPr>
      </w:pPr>
      <w:r>
        <w:rPr>
          <w:rFonts w:hint="eastAsia" w:ascii="仿宋_GB2312" w:eastAsia="仿宋_GB2312"/>
          <w:b/>
          <w:sz w:val="32"/>
        </w:rPr>
        <w:t>3.培训方案地点与签订合同</w:t>
      </w:r>
      <w:r>
        <w:rPr>
          <w:rFonts w:hint="eastAsia" w:ascii="仿宋_GB2312" w:eastAsia="仿宋_GB2312"/>
          <w:b/>
          <w:sz w:val="32"/>
          <w:lang w:eastAsia="zh-CN"/>
        </w:rPr>
        <w:t>的培训</w:t>
      </w:r>
      <w:r>
        <w:rPr>
          <w:rFonts w:hint="eastAsia" w:ascii="仿宋_GB2312" w:eastAsia="仿宋_GB2312"/>
          <w:b/>
          <w:sz w:val="32"/>
        </w:rPr>
        <w:t>地点不一致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（1）市投促局组织培训的招商引资专题培训班实施方案105号文件建议地点为中山大学或深圳大学，市投促局培训方案地点为深圳华中科技大学研究培训中心，市投促局签订培训合同</w:t>
      </w:r>
      <w:r>
        <w:rPr>
          <w:rFonts w:hint="eastAsia" w:ascii="Times New Roman" w:hAnsi="Times New Roman" w:eastAsia="仿宋_GB2312"/>
          <w:sz w:val="32"/>
          <w:lang w:eastAsia="zh-CN"/>
        </w:rPr>
        <w:t>的培训</w:t>
      </w:r>
      <w:r>
        <w:rPr>
          <w:rFonts w:ascii="Times New Roman" w:hAnsi="Times New Roman" w:eastAsia="仿宋_GB2312"/>
          <w:sz w:val="32"/>
        </w:rPr>
        <w:t>地点为武汉大学苏州研究院；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w:t>
      </w:r>
      <w:r>
        <w:rPr>
          <w:rFonts w:hint="eastAsia" w:ascii="Times New Roman" w:hAnsi="Times New Roman" w:eastAsia="仿宋_GB2312"/>
          <w:sz w:val="32"/>
        </w:rPr>
        <w:t>2</w:t>
      </w:r>
      <w:r>
        <w:rPr>
          <w:rFonts w:ascii="Times New Roman" w:hAnsi="Times New Roman" w:eastAsia="仿宋_GB2312"/>
          <w:sz w:val="32"/>
        </w:rPr>
        <w:t>）市国资局组织开展的新任国有企业领导人员专题培训班实施方案105号文件建议地点为大连高级经理学院或北京大学，市国资局培训方案</w:t>
      </w:r>
      <w:r>
        <w:rPr>
          <w:rFonts w:hint="eastAsia" w:ascii="Times New Roman" w:hAnsi="Times New Roman" w:eastAsia="仿宋_GB2312"/>
          <w:sz w:val="32"/>
          <w:lang w:eastAsia="zh-CN"/>
        </w:rPr>
        <w:t>培训</w:t>
      </w:r>
      <w:r>
        <w:rPr>
          <w:rFonts w:ascii="Times New Roman" w:hAnsi="Times New Roman" w:eastAsia="仿宋_GB2312"/>
          <w:sz w:val="32"/>
        </w:rPr>
        <w:t>地点为上海复旦大学宁波研究院教育中心，市国资局签订的培训合同</w:t>
      </w:r>
      <w:r>
        <w:rPr>
          <w:rFonts w:hint="eastAsia" w:ascii="Times New Roman" w:hAnsi="Times New Roman" w:eastAsia="仿宋_GB2312"/>
          <w:sz w:val="32"/>
          <w:lang w:eastAsia="zh-CN"/>
        </w:rPr>
        <w:t>培训</w:t>
      </w:r>
      <w:r>
        <w:rPr>
          <w:rFonts w:ascii="Times New Roman" w:hAnsi="Times New Roman" w:eastAsia="仿宋_GB2312"/>
          <w:sz w:val="32"/>
        </w:rPr>
        <w:t>地点为武汉大学苏州研究院；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（4）干部教育经费超标准报销</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市投促局</w:t>
      </w:r>
      <w:r>
        <w:rPr>
          <w:rFonts w:ascii="Times New Roman" w:hAnsi="Times New Roman" w:eastAsia="仿宋_GB2312"/>
          <w:sz w:val="32"/>
        </w:rPr>
        <w:t>违反</w:t>
      </w:r>
      <w:r>
        <w:rPr>
          <w:rFonts w:hint="eastAsia" w:ascii="Times New Roman" w:hAnsi="Times New Roman" w:eastAsia="仿宋_GB2312"/>
          <w:sz w:val="32"/>
        </w:rPr>
        <w:t>中共安宁市委办公室关于印发《安宁市2019年“螳川干部综合素质提升行动计划”实施方案的通知》（安办通〔2018〕105号）中“每期培训班使用干部教育经费原则上控制在40万元以内，超出部分由责任单位工作经费开支”</w:t>
      </w:r>
      <w:r>
        <w:rPr>
          <w:rFonts w:hint="eastAsia"/>
        </w:rPr>
        <w:t xml:space="preserve"> </w:t>
      </w:r>
      <w:r>
        <w:rPr>
          <w:rFonts w:hint="eastAsia" w:ascii="Times New Roman" w:hAnsi="Times New Roman" w:eastAsia="仿宋_GB2312"/>
          <w:sz w:val="32"/>
        </w:rPr>
        <w:t>市投促局组织开展的招商引资专题培训班培训费用支出为41.48万元，安宁市中共市委组织部超标准报销培训费用1.48万元。</w:t>
      </w:r>
    </w:p>
    <w:p>
      <w:pPr>
        <w:keepNext/>
        <w:keepLines/>
        <w:spacing w:before="260" w:after="260" w:line="600" w:lineRule="exact"/>
        <w:ind w:firstLine="480" w:firstLineChars="150"/>
        <w:outlineLvl w:val="1"/>
        <w:rPr>
          <w:rFonts w:ascii="楷体_GB2312" w:eastAsia="楷体_GB2312" w:hAnsiTheme="majorHAnsi" w:cstheme="majorBidi"/>
          <w:bCs/>
          <w:sz w:val="32"/>
          <w:szCs w:val="32"/>
        </w:rPr>
      </w:pPr>
      <w:bookmarkStart w:id="79" w:name="_Toc73015763"/>
      <w:r>
        <w:rPr>
          <w:rFonts w:hint="eastAsia" w:ascii="楷体_GB2312" w:eastAsia="楷体_GB2312" w:hAnsiTheme="majorHAnsi" w:cstheme="majorBidi"/>
          <w:bCs/>
          <w:sz w:val="32"/>
          <w:szCs w:val="32"/>
        </w:rPr>
        <w:t>（三）建议和改进措施</w:t>
      </w:r>
      <w:bookmarkEnd w:id="79"/>
    </w:p>
    <w:p>
      <w:pPr>
        <w:spacing w:line="600" w:lineRule="exact"/>
        <w:ind w:firstLine="643" w:firstLineChars="200"/>
        <w:rPr>
          <w:rFonts w:ascii="仿宋_GB2312" w:eastAsia="仿宋_GB2312"/>
          <w:b/>
          <w:sz w:val="32"/>
        </w:rPr>
      </w:pPr>
      <w:r>
        <w:rPr>
          <w:rFonts w:hint="eastAsia" w:ascii="仿宋_GB2312" w:eastAsia="仿宋_GB2312"/>
          <w:b/>
          <w:sz w:val="32"/>
        </w:rPr>
        <w:t>1.按方案计划完成目标工作</w:t>
      </w:r>
    </w:p>
    <w:p>
      <w:pPr>
        <w:spacing w:line="600" w:lineRule="exact"/>
        <w:ind w:firstLine="640" w:firstLineChars="200"/>
        <w:rPr>
          <w:rFonts w:ascii="Times New Roman" w:hAnsi="Times New Roman" w:eastAsia="仿宋_GB2312"/>
          <w:b/>
          <w:sz w:val="32"/>
        </w:rPr>
      </w:pPr>
      <w:r>
        <w:rPr>
          <w:rFonts w:hint="eastAsia" w:ascii="仿宋_GB2312" w:eastAsia="仿宋_GB2312"/>
          <w:sz w:val="32"/>
        </w:rPr>
        <w:t>建议安宁市中共市委组织部在以后年度的素质提升培训项目中监督落实各实施单位按方案计划完成培训工作，如需调整，需取得相关部门的批复，提高资金使用效益。</w:t>
      </w:r>
    </w:p>
    <w:p>
      <w:pPr>
        <w:spacing w:line="600" w:lineRule="exact"/>
        <w:ind w:firstLine="643" w:firstLineChars="200"/>
        <w:rPr>
          <w:rFonts w:ascii="Times New Roman" w:hAnsi="Times New Roman" w:eastAsia="仿宋_GB2312"/>
          <w:b/>
          <w:sz w:val="32"/>
        </w:rPr>
      </w:pPr>
      <w:r>
        <w:rPr>
          <w:rFonts w:hint="eastAsia" w:ascii="Times New Roman" w:hAnsi="Times New Roman" w:eastAsia="仿宋_GB2312"/>
          <w:b/>
          <w:sz w:val="32"/>
        </w:rPr>
        <w:t>2.加强监管措施执行</w:t>
      </w:r>
    </w:p>
    <w:p>
      <w:pPr>
        <w:spacing w:line="600" w:lineRule="exact"/>
        <w:ind w:firstLine="640" w:firstLineChars="200"/>
        <w:rPr>
          <w:rFonts w:ascii="仿宋_GB2312" w:eastAsia="仿宋_GB2312"/>
          <w:sz w:val="32"/>
        </w:rPr>
      </w:pPr>
      <w:r>
        <w:rPr>
          <w:rFonts w:hint="eastAsia" w:ascii="仿宋_GB2312" w:eastAsia="仿宋_GB2312"/>
          <w:sz w:val="32"/>
        </w:rPr>
        <w:t>建议市委组织部在以后年度按相关规定严格执行监管措施，防止财政资金的浪费，提高财政资金使用效益。</w:t>
      </w:r>
    </w:p>
    <w:p>
      <w:pPr>
        <w:spacing w:line="620" w:lineRule="exact"/>
        <w:ind w:firstLine="643" w:firstLineChars="200"/>
        <w:rPr>
          <w:rFonts w:ascii="仿宋_GB2312" w:eastAsia="仿宋_GB2312"/>
          <w:b/>
          <w:sz w:val="32"/>
        </w:rPr>
      </w:pPr>
      <w:r>
        <w:rPr>
          <w:rFonts w:hint="eastAsia" w:ascii="仿宋_GB2312" w:eastAsia="仿宋_GB2312"/>
          <w:b/>
          <w:sz w:val="32"/>
        </w:rPr>
        <w:t>3.加强培训方案、培训费用的审核</w:t>
      </w:r>
    </w:p>
    <w:p>
      <w:pPr>
        <w:spacing w:line="620" w:lineRule="exact"/>
        <w:ind w:firstLine="640" w:firstLineChars="200"/>
        <w:rPr>
          <w:rFonts w:ascii="仿宋_GB2312" w:hAnsi="方正小标宋简体" w:eastAsia="仿宋_GB2312" w:cs="方正小标宋简体"/>
          <w:spacing w:val="6"/>
          <w:kern w:val="0"/>
          <w:sz w:val="32"/>
          <w:szCs w:val="32"/>
        </w:rPr>
      </w:pPr>
      <w:r>
        <w:rPr>
          <w:rFonts w:hint="eastAsia" w:ascii="仿宋_GB2312" w:eastAsia="仿宋_GB2312"/>
          <w:sz w:val="32"/>
        </w:rPr>
        <w:t>建议市委组织部在以后年度加强培训方案与培训费用的审核，保障培训活动严格按照培训方案执行，对于未按培训方案执行或擅自更改培训方案的培训活动产生的费用不予报销。</w:t>
      </w:r>
    </w:p>
    <w:p>
      <w:pPr>
        <w:pStyle w:val="3"/>
        <w:spacing w:line="600" w:lineRule="exact"/>
        <w:ind w:firstLine="640" w:firstLineChars="200"/>
        <w:rPr>
          <w:rFonts w:ascii="黑体" w:hAnsi="黑体" w:eastAsia="黑体"/>
          <w:b w:val="0"/>
        </w:rPr>
      </w:pPr>
      <w:bookmarkStart w:id="80" w:name="_Toc73015764"/>
      <w:r>
        <w:rPr>
          <w:rFonts w:hint="eastAsia" w:ascii="黑体" w:hAnsi="黑体" w:eastAsia="黑体"/>
          <w:b w:val="0"/>
        </w:rPr>
        <w:t>五、附件</w:t>
      </w:r>
      <w:bookmarkEnd w:id="80"/>
    </w:p>
    <w:p>
      <w:pPr>
        <w:spacing w:line="360" w:lineRule="auto"/>
        <w:ind w:firstLine="640" w:firstLineChars="200"/>
        <w:rPr>
          <w:rFonts w:ascii="黑体" w:hAnsi="黑体" w:eastAsia="黑体"/>
          <w:bCs/>
          <w:kern w:val="44"/>
          <w:sz w:val="32"/>
          <w:szCs w:val="32"/>
        </w:rPr>
      </w:pPr>
      <w:r>
        <w:rPr>
          <w:rFonts w:hint="eastAsia" w:ascii="黑体" w:hAnsi="黑体" w:eastAsia="黑体"/>
          <w:bCs/>
          <w:kern w:val="44"/>
          <w:sz w:val="32"/>
          <w:szCs w:val="32"/>
        </w:rPr>
        <w:t>附件1.项目绩效评价体系</w:t>
      </w:r>
    </w:p>
    <w:p>
      <w:pPr>
        <w:spacing w:line="360" w:lineRule="auto"/>
        <w:ind w:firstLine="640" w:firstLineChars="200"/>
        <w:rPr>
          <w:rFonts w:ascii="Times New Roman" w:hAnsi="Times New Roman" w:eastAsia="仿宋_GB2312"/>
          <w:sz w:val="32"/>
          <w:szCs w:val="32"/>
        </w:rPr>
      </w:pPr>
      <w:r>
        <w:rPr>
          <w:rFonts w:hint="eastAsia" w:ascii="黑体" w:hAnsi="黑体" w:eastAsia="黑体"/>
          <w:bCs/>
          <w:kern w:val="44"/>
          <w:sz w:val="32"/>
          <w:szCs w:val="32"/>
        </w:rPr>
        <w:t>附件</w:t>
      </w:r>
      <w:r>
        <w:rPr>
          <w:rFonts w:hint="eastAsia" w:ascii="黑体" w:hAnsi="黑体" w:eastAsia="黑体"/>
          <w:bCs/>
          <w:kern w:val="44"/>
          <w:sz w:val="32"/>
          <w:szCs w:val="32"/>
          <w:lang w:val="en-US" w:eastAsia="zh-CN"/>
        </w:rPr>
        <w:t>2</w:t>
      </w:r>
      <w:r>
        <w:rPr>
          <w:rFonts w:hint="eastAsia" w:ascii="黑体" w:hAnsi="黑体" w:eastAsia="黑体"/>
          <w:bCs/>
          <w:kern w:val="44"/>
          <w:sz w:val="32"/>
          <w:szCs w:val="32"/>
        </w:rPr>
        <w:t>.问卷调查分析报告</w:t>
      </w:r>
    </w:p>
    <w:p>
      <w:pPr>
        <w:spacing w:line="360" w:lineRule="auto"/>
        <w:ind w:firstLine="2880" w:firstLineChars="900"/>
        <w:rPr>
          <w:rFonts w:ascii="Times New Roman" w:hAnsi="Times New Roman" w:eastAsia="仿宋_GB2312"/>
          <w:sz w:val="32"/>
          <w:szCs w:val="32"/>
        </w:rPr>
      </w:pPr>
      <w:r>
        <w:rPr>
          <w:rFonts w:hint="eastAsia" w:ascii="Times New Roman" w:hAnsi="Times New Roman" w:eastAsia="仿宋_GB2312"/>
          <w:sz w:val="32"/>
          <w:szCs w:val="32"/>
        </w:rPr>
        <w:t>昆明旭坤会计师事务所有限责任公司</w:t>
      </w:r>
    </w:p>
    <w:p>
      <w:pPr>
        <w:spacing w:line="360" w:lineRule="auto"/>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2021年5月20日</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9110"/>
    </w:sdtPr>
    <w:sdtContent>
      <w:p>
        <w:pPr>
          <w:pStyle w:val="6"/>
          <w:jc w:val="center"/>
        </w:pPr>
        <w:r>
          <w:fldChar w:fldCharType="begin"/>
        </w:r>
        <w:r>
          <w:instrText xml:space="preserve">PAGE   \* MERGEFORMAT</w:instrText>
        </w:r>
        <w:r>
          <w:fldChar w:fldCharType="separate"/>
        </w:r>
        <w:r>
          <w:rPr>
            <w:lang w:val="zh-CN"/>
          </w:rPr>
          <w:t>36</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DF"/>
    <w:rsid w:val="000006AA"/>
    <w:rsid w:val="00000A0B"/>
    <w:rsid w:val="00000A3D"/>
    <w:rsid w:val="00000C0A"/>
    <w:rsid w:val="00003894"/>
    <w:rsid w:val="00004F0B"/>
    <w:rsid w:val="0000505F"/>
    <w:rsid w:val="00007429"/>
    <w:rsid w:val="00010819"/>
    <w:rsid w:val="00010A4D"/>
    <w:rsid w:val="00010ECE"/>
    <w:rsid w:val="00011846"/>
    <w:rsid w:val="0001212C"/>
    <w:rsid w:val="00012A50"/>
    <w:rsid w:val="00012F97"/>
    <w:rsid w:val="000158C5"/>
    <w:rsid w:val="0002282E"/>
    <w:rsid w:val="000235BA"/>
    <w:rsid w:val="00023D5B"/>
    <w:rsid w:val="000247EB"/>
    <w:rsid w:val="00025B07"/>
    <w:rsid w:val="00026432"/>
    <w:rsid w:val="00026D6A"/>
    <w:rsid w:val="000275E8"/>
    <w:rsid w:val="000276DF"/>
    <w:rsid w:val="00027CDB"/>
    <w:rsid w:val="00030092"/>
    <w:rsid w:val="000329AA"/>
    <w:rsid w:val="000337E0"/>
    <w:rsid w:val="00033BAF"/>
    <w:rsid w:val="00034387"/>
    <w:rsid w:val="00037089"/>
    <w:rsid w:val="000403F8"/>
    <w:rsid w:val="000413B8"/>
    <w:rsid w:val="000436C4"/>
    <w:rsid w:val="00043D47"/>
    <w:rsid w:val="00046270"/>
    <w:rsid w:val="00046657"/>
    <w:rsid w:val="00046929"/>
    <w:rsid w:val="00050BA2"/>
    <w:rsid w:val="000524FD"/>
    <w:rsid w:val="000530BB"/>
    <w:rsid w:val="00055D4B"/>
    <w:rsid w:val="0005714D"/>
    <w:rsid w:val="00057299"/>
    <w:rsid w:val="00057B3F"/>
    <w:rsid w:val="00057BF7"/>
    <w:rsid w:val="000626D2"/>
    <w:rsid w:val="000635F0"/>
    <w:rsid w:val="00063918"/>
    <w:rsid w:val="00064BC7"/>
    <w:rsid w:val="00065C5F"/>
    <w:rsid w:val="000667C6"/>
    <w:rsid w:val="00067FFA"/>
    <w:rsid w:val="00072700"/>
    <w:rsid w:val="000766FE"/>
    <w:rsid w:val="00076E30"/>
    <w:rsid w:val="00077C0E"/>
    <w:rsid w:val="000801F5"/>
    <w:rsid w:val="00080562"/>
    <w:rsid w:val="00080693"/>
    <w:rsid w:val="00080C79"/>
    <w:rsid w:val="00081743"/>
    <w:rsid w:val="000824A5"/>
    <w:rsid w:val="00084889"/>
    <w:rsid w:val="000872CD"/>
    <w:rsid w:val="00087E84"/>
    <w:rsid w:val="00090463"/>
    <w:rsid w:val="00090FC9"/>
    <w:rsid w:val="000929F2"/>
    <w:rsid w:val="00092DAA"/>
    <w:rsid w:val="00093204"/>
    <w:rsid w:val="00094E96"/>
    <w:rsid w:val="000951E6"/>
    <w:rsid w:val="00095322"/>
    <w:rsid w:val="00096289"/>
    <w:rsid w:val="000A052F"/>
    <w:rsid w:val="000A1FFC"/>
    <w:rsid w:val="000A25A4"/>
    <w:rsid w:val="000A2A90"/>
    <w:rsid w:val="000A4484"/>
    <w:rsid w:val="000A4AE1"/>
    <w:rsid w:val="000A4B96"/>
    <w:rsid w:val="000A6027"/>
    <w:rsid w:val="000A638F"/>
    <w:rsid w:val="000A6DB0"/>
    <w:rsid w:val="000A6EB7"/>
    <w:rsid w:val="000A710C"/>
    <w:rsid w:val="000A7AB3"/>
    <w:rsid w:val="000B0104"/>
    <w:rsid w:val="000B3861"/>
    <w:rsid w:val="000B38B9"/>
    <w:rsid w:val="000B68AC"/>
    <w:rsid w:val="000B773A"/>
    <w:rsid w:val="000B79D5"/>
    <w:rsid w:val="000B7F1F"/>
    <w:rsid w:val="000C032B"/>
    <w:rsid w:val="000C0449"/>
    <w:rsid w:val="000C0B99"/>
    <w:rsid w:val="000C1348"/>
    <w:rsid w:val="000C25EC"/>
    <w:rsid w:val="000C375C"/>
    <w:rsid w:val="000C37D1"/>
    <w:rsid w:val="000C38CD"/>
    <w:rsid w:val="000C3AE6"/>
    <w:rsid w:val="000C5C89"/>
    <w:rsid w:val="000D0235"/>
    <w:rsid w:val="000D29CA"/>
    <w:rsid w:val="000D3221"/>
    <w:rsid w:val="000D467F"/>
    <w:rsid w:val="000D4B47"/>
    <w:rsid w:val="000D4E3A"/>
    <w:rsid w:val="000D5805"/>
    <w:rsid w:val="000D5AF3"/>
    <w:rsid w:val="000D7FAB"/>
    <w:rsid w:val="000E0888"/>
    <w:rsid w:val="000E0897"/>
    <w:rsid w:val="000E0EF6"/>
    <w:rsid w:val="000E12C9"/>
    <w:rsid w:val="000E146F"/>
    <w:rsid w:val="000E2086"/>
    <w:rsid w:val="000E476D"/>
    <w:rsid w:val="000E4FDF"/>
    <w:rsid w:val="000E74CC"/>
    <w:rsid w:val="000E7671"/>
    <w:rsid w:val="000E78F8"/>
    <w:rsid w:val="000E7FA5"/>
    <w:rsid w:val="000F0B65"/>
    <w:rsid w:val="000F0E05"/>
    <w:rsid w:val="000F1F13"/>
    <w:rsid w:val="000F4DAE"/>
    <w:rsid w:val="000F4FD9"/>
    <w:rsid w:val="000F666D"/>
    <w:rsid w:val="000F7C83"/>
    <w:rsid w:val="00100EDE"/>
    <w:rsid w:val="00101477"/>
    <w:rsid w:val="0010195E"/>
    <w:rsid w:val="0010273C"/>
    <w:rsid w:val="00102E75"/>
    <w:rsid w:val="00103900"/>
    <w:rsid w:val="00105D86"/>
    <w:rsid w:val="00107495"/>
    <w:rsid w:val="001078C5"/>
    <w:rsid w:val="001117BE"/>
    <w:rsid w:val="001119AC"/>
    <w:rsid w:val="00113C26"/>
    <w:rsid w:val="00114347"/>
    <w:rsid w:val="0011555F"/>
    <w:rsid w:val="00117BB6"/>
    <w:rsid w:val="00120078"/>
    <w:rsid w:val="0012149D"/>
    <w:rsid w:val="00122C19"/>
    <w:rsid w:val="00123E97"/>
    <w:rsid w:val="001249F5"/>
    <w:rsid w:val="001268A2"/>
    <w:rsid w:val="00133384"/>
    <w:rsid w:val="001337A9"/>
    <w:rsid w:val="00135578"/>
    <w:rsid w:val="001416DD"/>
    <w:rsid w:val="00142E37"/>
    <w:rsid w:val="00144228"/>
    <w:rsid w:val="00144252"/>
    <w:rsid w:val="0014491D"/>
    <w:rsid w:val="00145120"/>
    <w:rsid w:val="00145460"/>
    <w:rsid w:val="00146EF9"/>
    <w:rsid w:val="00147247"/>
    <w:rsid w:val="00147883"/>
    <w:rsid w:val="00151B36"/>
    <w:rsid w:val="00153093"/>
    <w:rsid w:val="00153772"/>
    <w:rsid w:val="00154682"/>
    <w:rsid w:val="00154811"/>
    <w:rsid w:val="00154A92"/>
    <w:rsid w:val="00154B49"/>
    <w:rsid w:val="00154FAD"/>
    <w:rsid w:val="001571B8"/>
    <w:rsid w:val="00157258"/>
    <w:rsid w:val="00157370"/>
    <w:rsid w:val="00157426"/>
    <w:rsid w:val="0015773B"/>
    <w:rsid w:val="00157924"/>
    <w:rsid w:val="00161D38"/>
    <w:rsid w:val="0016542C"/>
    <w:rsid w:val="001665DE"/>
    <w:rsid w:val="00166D15"/>
    <w:rsid w:val="00167239"/>
    <w:rsid w:val="001678E0"/>
    <w:rsid w:val="00167E31"/>
    <w:rsid w:val="00171617"/>
    <w:rsid w:val="001719D5"/>
    <w:rsid w:val="00172AB6"/>
    <w:rsid w:val="00172EC8"/>
    <w:rsid w:val="00173020"/>
    <w:rsid w:val="00174062"/>
    <w:rsid w:val="0017413E"/>
    <w:rsid w:val="00174769"/>
    <w:rsid w:val="00174965"/>
    <w:rsid w:val="001759A6"/>
    <w:rsid w:val="001760B1"/>
    <w:rsid w:val="0017779A"/>
    <w:rsid w:val="00177F9A"/>
    <w:rsid w:val="001804D0"/>
    <w:rsid w:val="00180584"/>
    <w:rsid w:val="001805B6"/>
    <w:rsid w:val="0018169C"/>
    <w:rsid w:val="00181BCA"/>
    <w:rsid w:val="00183BE6"/>
    <w:rsid w:val="00183D74"/>
    <w:rsid w:val="0018531E"/>
    <w:rsid w:val="001857AB"/>
    <w:rsid w:val="00190DDF"/>
    <w:rsid w:val="001918A5"/>
    <w:rsid w:val="0019190A"/>
    <w:rsid w:val="00191D00"/>
    <w:rsid w:val="001946AA"/>
    <w:rsid w:val="001950EB"/>
    <w:rsid w:val="00195920"/>
    <w:rsid w:val="00195B28"/>
    <w:rsid w:val="00197A16"/>
    <w:rsid w:val="00197F98"/>
    <w:rsid w:val="001A11E1"/>
    <w:rsid w:val="001A128E"/>
    <w:rsid w:val="001A1711"/>
    <w:rsid w:val="001A423A"/>
    <w:rsid w:val="001A6400"/>
    <w:rsid w:val="001A74BA"/>
    <w:rsid w:val="001B2941"/>
    <w:rsid w:val="001B43F1"/>
    <w:rsid w:val="001B54B6"/>
    <w:rsid w:val="001B5CF8"/>
    <w:rsid w:val="001B72E7"/>
    <w:rsid w:val="001B7653"/>
    <w:rsid w:val="001B76D8"/>
    <w:rsid w:val="001C0914"/>
    <w:rsid w:val="001C0988"/>
    <w:rsid w:val="001C18E5"/>
    <w:rsid w:val="001C2865"/>
    <w:rsid w:val="001C408D"/>
    <w:rsid w:val="001C4181"/>
    <w:rsid w:val="001C5735"/>
    <w:rsid w:val="001C574D"/>
    <w:rsid w:val="001C7A16"/>
    <w:rsid w:val="001D073B"/>
    <w:rsid w:val="001D1595"/>
    <w:rsid w:val="001D2EC4"/>
    <w:rsid w:val="001D4226"/>
    <w:rsid w:val="001D4924"/>
    <w:rsid w:val="001D573C"/>
    <w:rsid w:val="001D580B"/>
    <w:rsid w:val="001D749A"/>
    <w:rsid w:val="001E026B"/>
    <w:rsid w:val="001E1006"/>
    <w:rsid w:val="001E1220"/>
    <w:rsid w:val="001E1B7B"/>
    <w:rsid w:val="001E1C1C"/>
    <w:rsid w:val="001E1ECE"/>
    <w:rsid w:val="001E3780"/>
    <w:rsid w:val="001E3952"/>
    <w:rsid w:val="001E48AB"/>
    <w:rsid w:val="001E4950"/>
    <w:rsid w:val="001E590C"/>
    <w:rsid w:val="001E6723"/>
    <w:rsid w:val="001E7AAE"/>
    <w:rsid w:val="001F1727"/>
    <w:rsid w:val="001F2B1B"/>
    <w:rsid w:val="001F2F40"/>
    <w:rsid w:val="001F36AA"/>
    <w:rsid w:val="001F3B3D"/>
    <w:rsid w:val="001F68E1"/>
    <w:rsid w:val="001F6C95"/>
    <w:rsid w:val="001F728A"/>
    <w:rsid w:val="001F75B4"/>
    <w:rsid w:val="001F7EE9"/>
    <w:rsid w:val="002008F8"/>
    <w:rsid w:val="002011F5"/>
    <w:rsid w:val="002016CE"/>
    <w:rsid w:val="00201B6D"/>
    <w:rsid w:val="00204278"/>
    <w:rsid w:val="00204B4D"/>
    <w:rsid w:val="0020581F"/>
    <w:rsid w:val="002065CF"/>
    <w:rsid w:val="00206CC0"/>
    <w:rsid w:val="00206D2F"/>
    <w:rsid w:val="00207949"/>
    <w:rsid w:val="00210A69"/>
    <w:rsid w:val="00210E86"/>
    <w:rsid w:val="0021241E"/>
    <w:rsid w:val="00214BEF"/>
    <w:rsid w:val="002178FB"/>
    <w:rsid w:val="00221189"/>
    <w:rsid w:val="002212D1"/>
    <w:rsid w:val="002214A0"/>
    <w:rsid w:val="00221C5E"/>
    <w:rsid w:val="00223393"/>
    <w:rsid w:val="00225CF9"/>
    <w:rsid w:val="0023018D"/>
    <w:rsid w:val="002314AA"/>
    <w:rsid w:val="002318CE"/>
    <w:rsid w:val="00233AD2"/>
    <w:rsid w:val="00234E26"/>
    <w:rsid w:val="002356D8"/>
    <w:rsid w:val="00235B61"/>
    <w:rsid w:val="0023748B"/>
    <w:rsid w:val="00241268"/>
    <w:rsid w:val="00241807"/>
    <w:rsid w:val="00242342"/>
    <w:rsid w:val="0024273A"/>
    <w:rsid w:val="002437B8"/>
    <w:rsid w:val="00244015"/>
    <w:rsid w:val="0024475E"/>
    <w:rsid w:val="00246464"/>
    <w:rsid w:val="00246508"/>
    <w:rsid w:val="002466FE"/>
    <w:rsid w:val="00246D2E"/>
    <w:rsid w:val="00247CC4"/>
    <w:rsid w:val="00251153"/>
    <w:rsid w:val="00251A2E"/>
    <w:rsid w:val="00251B2D"/>
    <w:rsid w:val="00252C47"/>
    <w:rsid w:val="00252E39"/>
    <w:rsid w:val="00253F11"/>
    <w:rsid w:val="00254499"/>
    <w:rsid w:val="00254791"/>
    <w:rsid w:val="002579B1"/>
    <w:rsid w:val="00257D21"/>
    <w:rsid w:val="00257E76"/>
    <w:rsid w:val="00261674"/>
    <w:rsid w:val="00262219"/>
    <w:rsid w:val="002628C9"/>
    <w:rsid w:val="0026348D"/>
    <w:rsid w:val="00263701"/>
    <w:rsid w:val="00263924"/>
    <w:rsid w:val="002659C1"/>
    <w:rsid w:val="00266685"/>
    <w:rsid w:val="00266908"/>
    <w:rsid w:val="00266C07"/>
    <w:rsid w:val="0027104B"/>
    <w:rsid w:val="00273EC6"/>
    <w:rsid w:val="0027600D"/>
    <w:rsid w:val="00277BC5"/>
    <w:rsid w:val="0028231D"/>
    <w:rsid w:val="00290FC0"/>
    <w:rsid w:val="002921C7"/>
    <w:rsid w:val="002927A1"/>
    <w:rsid w:val="00293423"/>
    <w:rsid w:val="0029350A"/>
    <w:rsid w:val="00294CAC"/>
    <w:rsid w:val="002A19D9"/>
    <w:rsid w:val="002A3751"/>
    <w:rsid w:val="002A3CE0"/>
    <w:rsid w:val="002A40F3"/>
    <w:rsid w:val="002A5E9C"/>
    <w:rsid w:val="002A6B44"/>
    <w:rsid w:val="002A6EEA"/>
    <w:rsid w:val="002A6EFD"/>
    <w:rsid w:val="002A7263"/>
    <w:rsid w:val="002B12EE"/>
    <w:rsid w:val="002B1EDA"/>
    <w:rsid w:val="002B3CFF"/>
    <w:rsid w:val="002B428C"/>
    <w:rsid w:val="002B5EB9"/>
    <w:rsid w:val="002C0756"/>
    <w:rsid w:val="002C0922"/>
    <w:rsid w:val="002C0A83"/>
    <w:rsid w:val="002C1931"/>
    <w:rsid w:val="002C3570"/>
    <w:rsid w:val="002C3FD1"/>
    <w:rsid w:val="002C47D7"/>
    <w:rsid w:val="002C48F6"/>
    <w:rsid w:val="002C675A"/>
    <w:rsid w:val="002C6FBA"/>
    <w:rsid w:val="002C7B46"/>
    <w:rsid w:val="002C7FDA"/>
    <w:rsid w:val="002D0538"/>
    <w:rsid w:val="002D14E8"/>
    <w:rsid w:val="002D17B4"/>
    <w:rsid w:val="002D299C"/>
    <w:rsid w:val="002D34C8"/>
    <w:rsid w:val="002D3642"/>
    <w:rsid w:val="002D44A2"/>
    <w:rsid w:val="002D475A"/>
    <w:rsid w:val="002D4981"/>
    <w:rsid w:val="002D6897"/>
    <w:rsid w:val="002D785F"/>
    <w:rsid w:val="002E08BD"/>
    <w:rsid w:val="002E2019"/>
    <w:rsid w:val="002E3983"/>
    <w:rsid w:val="002E4107"/>
    <w:rsid w:val="002E46A0"/>
    <w:rsid w:val="002E4AD5"/>
    <w:rsid w:val="002E579D"/>
    <w:rsid w:val="002E5B3C"/>
    <w:rsid w:val="002F0053"/>
    <w:rsid w:val="002F1186"/>
    <w:rsid w:val="002F26B4"/>
    <w:rsid w:val="002F2D80"/>
    <w:rsid w:val="002F305B"/>
    <w:rsid w:val="002F33A2"/>
    <w:rsid w:val="002F3A3B"/>
    <w:rsid w:val="002F5354"/>
    <w:rsid w:val="002F5FE8"/>
    <w:rsid w:val="002F73A5"/>
    <w:rsid w:val="003001B9"/>
    <w:rsid w:val="00302528"/>
    <w:rsid w:val="00302910"/>
    <w:rsid w:val="00302E8B"/>
    <w:rsid w:val="0030459F"/>
    <w:rsid w:val="00304B87"/>
    <w:rsid w:val="00304B9B"/>
    <w:rsid w:val="00305DC7"/>
    <w:rsid w:val="003068C2"/>
    <w:rsid w:val="00310183"/>
    <w:rsid w:val="003106AE"/>
    <w:rsid w:val="00310807"/>
    <w:rsid w:val="00310E41"/>
    <w:rsid w:val="003113FE"/>
    <w:rsid w:val="00312022"/>
    <w:rsid w:val="00312EF5"/>
    <w:rsid w:val="003139BC"/>
    <w:rsid w:val="00314507"/>
    <w:rsid w:val="00314874"/>
    <w:rsid w:val="00315EAE"/>
    <w:rsid w:val="003164AE"/>
    <w:rsid w:val="0031658D"/>
    <w:rsid w:val="003206B0"/>
    <w:rsid w:val="003208E0"/>
    <w:rsid w:val="0032111F"/>
    <w:rsid w:val="00321A8A"/>
    <w:rsid w:val="00321C36"/>
    <w:rsid w:val="00324D0E"/>
    <w:rsid w:val="003263C5"/>
    <w:rsid w:val="00327188"/>
    <w:rsid w:val="00330307"/>
    <w:rsid w:val="00330854"/>
    <w:rsid w:val="00330BF8"/>
    <w:rsid w:val="003315D3"/>
    <w:rsid w:val="003318E2"/>
    <w:rsid w:val="00331EFC"/>
    <w:rsid w:val="00333350"/>
    <w:rsid w:val="00334AB5"/>
    <w:rsid w:val="003353B6"/>
    <w:rsid w:val="003357CB"/>
    <w:rsid w:val="0033733C"/>
    <w:rsid w:val="00337A7D"/>
    <w:rsid w:val="003400A1"/>
    <w:rsid w:val="003400F7"/>
    <w:rsid w:val="003403D9"/>
    <w:rsid w:val="00341089"/>
    <w:rsid w:val="00342565"/>
    <w:rsid w:val="00342ADD"/>
    <w:rsid w:val="00342F8D"/>
    <w:rsid w:val="00343C6D"/>
    <w:rsid w:val="00343E9D"/>
    <w:rsid w:val="00344CE7"/>
    <w:rsid w:val="00345529"/>
    <w:rsid w:val="00345584"/>
    <w:rsid w:val="003455E0"/>
    <w:rsid w:val="00346238"/>
    <w:rsid w:val="003466B3"/>
    <w:rsid w:val="0034681D"/>
    <w:rsid w:val="00346D57"/>
    <w:rsid w:val="00352B77"/>
    <w:rsid w:val="0035396C"/>
    <w:rsid w:val="00353CCA"/>
    <w:rsid w:val="003566FE"/>
    <w:rsid w:val="00356B78"/>
    <w:rsid w:val="003616B3"/>
    <w:rsid w:val="00363595"/>
    <w:rsid w:val="00365DA0"/>
    <w:rsid w:val="00366611"/>
    <w:rsid w:val="00370406"/>
    <w:rsid w:val="00370BDB"/>
    <w:rsid w:val="00371FFE"/>
    <w:rsid w:val="0037291A"/>
    <w:rsid w:val="0037509B"/>
    <w:rsid w:val="003757F0"/>
    <w:rsid w:val="00376B62"/>
    <w:rsid w:val="003770FF"/>
    <w:rsid w:val="00381ECC"/>
    <w:rsid w:val="00382DA1"/>
    <w:rsid w:val="00383ECF"/>
    <w:rsid w:val="00387EAC"/>
    <w:rsid w:val="00390893"/>
    <w:rsid w:val="00391825"/>
    <w:rsid w:val="00391A34"/>
    <w:rsid w:val="0039297B"/>
    <w:rsid w:val="00393C32"/>
    <w:rsid w:val="00394964"/>
    <w:rsid w:val="00394C5F"/>
    <w:rsid w:val="00394DCE"/>
    <w:rsid w:val="00395A79"/>
    <w:rsid w:val="003962B4"/>
    <w:rsid w:val="00397275"/>
    <w:rsid w:val="003A04C1"/>
    <w:rsid w:val="003A0754"/>
    <w:rsid w:val="003A0B14"/>
    <w:rsid w:val="003A1B67"/>
    <w:rsid w:val="003A345F"/>
    <w:rsid w:val="003A3C73"/>
    <w:rsid w:val="003A43FA"/>
    <w:rsid w:val="003A4B52"/>
    <w:rsid w:val="003A60EB"/>
    <w:rsid w:val="003A6CE2"/>
    <w:rsid w:val="003A72F3"/>
    <w:rsid w:val="003A7C06"/>
    <w:rsid w:val="003B33E2"/>
    <w:rsid w:val="003B7DFD"/>
    <w:rsid w:val="003C03FF"/>
    <w:rsid w:val="003C1505"/>
    <w:rsid w:val="003C4936"/>
    <w:rsid w:val="003C5B92"/>
    <w:rsid w:val="003C5EC7"/>
    <w:rsid w:val="003C60A2"/>
    <w:rsid w:val="003C79A8"/>
    <w:rsid w:val="003D1596"/>
    <w:rsid w:val="003D1A10"/>
    <w:rsid w:val="003D26A5"/>
    <w:rsid w:val="003D31FC"/>
    <w:rsid w:val="003D369C"/>
    <w:rsid w:val="003D41C2"/>
    <w:rsid w:val="003D67FD"/>
    <w:rsid w:val="003D6E7C"/>
    <w:rsid w:val="003D6F89"/>
    <w:rsid w:val="003D7C75"/>
    <w:rsid w:val="003D7CDD"/>
    <w:rsid w:val="003E06E3"/>
    <w:rsid w:val="003E4ED0"/>
    <w:rsid w:val="003E5237"/>
    <w:rsid w:val="003E5275"/>
    <w:rsid w:val="003E543A"/>
    <w:rsid w:val="003E577C"/>
    <w:rsid w:val="003E64EE"/>
    <w:rsid w:val="003E6D96"/>
    <w:rsid w:val="003F0B91"/>
    <w:rsid w:val="003F24A0"/>
    <w:rsid w:val="003F68CF"/>
    <w:rsid w:val="003F6A14"/>
    <w:rsid w:val="004006C4"/>
    <w:rsid w:val="00400965"/>
    <w:rsid w:val="00400DBA"/>
    <w:rsid w:val="00401DD8"/>
    <w:rsid w:val="004021BA"/>
    <w:rsid w:val="00402E40"/>
    <w:rsid w:val="00403156"/>
    <w:rsid w:val="004040B9"/>
    <w:rsid w:val="00404768"/>
    <w:rsid w:val="00405521"/>
    <w:rsid w:val="004056A9"/>
    <w:rsid w:val="004060B4"/>
    <w:rsid w:val="0040670D"/>
    <w:rsid w:val="00407F4D"/>
    <w:rsid w:val="004101E1"/>
    <w:rsid w:val="0041022C"/>
    <w:rsid w:val="00411002"/>
    <w:rsid w:val="00411A9A"/>
    <w:rsid w:val="0041305A"/>
    <w:rsid w:val="0041745E"/>
    <w:rsid w:val="00417924"/>
    <w:rsid w:val="00420EDE"/>
    <w:rsid w:val="0042118F"/>
    <w:rsid w:val="00421580"/>
    <w:rsid w:val="00422AD5"/>
    <w:rsid w:val="00423BE2"/>
    <w:rsid w:val="004244F2"/>
    <w:rsid w:val="00424C6A"/>
    <w:rsid w:val="0042579D"/>
    <w:rsid w:val="00427352"/>
    <w:rsid w:val="00427C73"/>
    <w:rsid w:val="0043014B"/>
    <w:rsid w:val="0043082D"/>
    <w:rsid w:val="00430DB2"/>
    <w:rsid w:val="00431F9D"/>
    <w:rsid w:val="00433EA0"/>
    <w:rsid w:val="00434DA2"/>
    <w:rsid w:val="0043564F"/>
    <w:rsid w:val="004361C0"/>
    <w:rsid w:val="004377F2"/>
    <w:rsid w:val="00440295"/>
    <w:rsid w:val="00440BFC"/>
    <w:rsid w:val="004444B1"/>
    <w:rsid w:val="00446F52"/>
    <w:rsid w:val="00447B08"/>
    <w:rsid w:val="00450FCB"/>
    <w:rsid w:val="0045148B"/>
    <w:rsid w:val="004529AA"/>
    <w:rsid w:val="00453683"/>
    <w:rsid w:val="004539C3"/>
    <w:rsid w:val="00454472"/>
    <w:rsid w:val="00456A55"/>
    <w:rsid w:val="00456C2E"/>
    <w:rsid w:val="004572A3"/>
    <w:rsid w:val="004577CF"/>
    <w:rsid w:val="004608AF"/>
    <w:rsid w:val="004617CD"/>
    <w:rsid w:val="00461986"/>
    <w:rsid w:val="00462E7E"/>
    <w:rsid w:val="00463D01"/>
    <w:rsid w:val="00464432"/>
    <w:rsid w:val="004655E1"/>
    <w:rsid w:val="00465623"/>
    <w:rsid w:val="00466007"/>
    <w:rsid w:val="00466945"/>
    <w:rsid w:val="00466BBB"/>
    <w:rsid w:val="00466D2A"/>
    <w:rsid w:val="00466F13"/>
    <w:rsid w:val="0046710B"/>
    <w:rsid w:val="00467327"/>
    <w:rsid w:val="00467BA9"/>
    <w:rsid w:val="00471496"/>
    <w:rsid w:val="00475AD6"/>
    <w:rsid w:val="004809C6"/>
    <w:rsid w:val="004820BD"/>
    <w:rsid w:val="00484847"/>
    <w:rsid w:val="00484EEE"/>
    <w:rsid w:val="004854DC"/>
    <w:rsid w:val="004862E9"/>
    <w:rsid w:val="004863CC"/>
    <w:rsid w:val="00486461"/>
    <w:rsid w:val="00486CD6"/>
    <w:rsid w:val="00487662"/>
    <w:rsid w:val="004877DD"/>
    <w:rsid w:val="00487C9E"/>
    <w:rsid w:val="00490110"/>
    <w:rsid w:val="004904F5"/>
    <w:rsid w:val="00491BB2"/>
    <w:rsid w:val="0049220C"/>
    <w:rsid w:val="0049395C"/>
    <w:rsid w:val="00493C1C"/>
    <w:rsid w:val="00496387"/>
    <w:rsid w:val="004977C0"/>
    <w:rsid w:val="004A006A"/>
    <w:rsid w:val="004A0371"/>
    <w:rsid w:val="004A1E5D"/>
    <w:rsid w:val="004A264E"/>
    <w:rsid w:val="004A2693"/>
    <w:rsid w:val="004A3CCD"/>
    <w:rsid w:val="004A4130"/>
    <w:rsid w:val="004A55AA"/>
    <w:rsid w:val="004A6057"/>
    <w:rsid w:val="004A7448"/>
    <w:rsid w:val="004B140C"/>
    <w:rsid w:val="004B2CF9"/>
    <w:rsid w:val="004B38AF"/>
    <w:rsid w:val="004B6FB4"/>
    <w:rsid w:val="004B77BA"/>
    <w:rsid w:val="004C3DA2"/>
    <w:rsid w:val="004C460F"/>
    <w:rsid w:val="004C4B2C"/>
    <w:rsid w:val="004C4F3F"/>
    <w:rsid w:val="004C5940"/>
    <w:rsid w:val="004D1AE0"/>
    <w:rsid w:val="004D2158"/>
    <w:rsid w:val="004D301B"/>
    <w:rsid w:val="004D32C6"/>
    <w:rsid w:val="004D59C7"/>
    <w:rsid w:val="004D5C8E"/>
    <w:rsid w:val="004D5D45"/>
    <w:rsid w:val="004D741F"/>
    <w:rsid w:val="004E317D"/>
    <w:rsid w:val="004E370E"/>
    <w:rsid w:val="004E3CDC"/>
    <w:rsid w:val="004E3F61"/>
    <w:rsid w:val="004E4930"/>
    <w:rsid w:val="004E575C"/>
    <w:rsid w:val="004E6DD6"/>
    <w:rsid w:val="004E7C83"/>
    <w:rsid w:val="004F084B"/>
    <w:rsid w:val="004F1DCF"/>
    <w:rsid w:val="004F26D6"/>
    <w:rsid w:val="004F3015"/>
    <w:rsid w:val="004F3573"/>
    <w:rsid w:val="004F530B"/>
    <w:rsid w:val="004F5792"/>
    <w:rsid w:val="004F5AB9"/>
    <w:rsid w:val="005003A9"/>
    <w:rsid w:val="00500DB5"/>
    <w:rsid w:val="00501A5F"/>
    <w:rsid w:val="00502440"/>
    <w:rsid w:val="00502740"/>
    <w:rsid w:val="0050387D"/>
    <w:rsid w:val="00504524"/>
    <w:rsid w:val="00504FD9"/>
    <w:rsid w:val="005065D9"/>
    <w:rsid w:val="005102A5"/>
    <w:rsid w:val="00510D64"/>
    <w:rsid w:val="0051159D"/>
    <w:rsid w:val="00511DC3"/>
    <w:rsid w:val="00512100"/>
    <w:rsid w:val="00512525"/>
    <w:rsid w:val="00512CA0"/>
    <w:rsid w:val="00513ACA"/>
    <w:rsid w:val="00514E02"/>
    <w:rsid w:val="0051539D"/>
    <w:rsid w:val="005154F2"/>
    <w:rsid w:val="00516277"/>
    <w:rsid w:val="00517395"/>
    <w:rsid w:val="00517C13"/>
    <w:rsid w:val="00523691"/>
    <w:rsid w:val="0052375C"/>
    <w:rsid w:val="0052385D"/>
    <w:rsid w:val="00524970"/>
    <w:rsid w:val="00525033"/>
    <w:rsid w:val="005268B0"/>
    <w:rsid w:val="0053048A"/>
    <w:rsid w:val="00531D24"/>
    <w:rsid w:val="00531FDD"/>
    <w:rsid w:val="00532D9B"/>
    <w:rsid w:val="0053377E"/>
    <w:rsid w:val="005365AF"/>
    <w:rsid w:val="00537898"/>
    <w:rsid w:val="00540C56"/>
    <w:rsid w:val="00540ECC"/>
    <w:rsid w:val="0054264C"/>
    <w:rsid w:val="005429DB"/>
    <w:rsid w:val="00547F73"/>
    <w:rsid w:val="00551D47"/>
    <w:rsid w:val="005524AC"/>
    <w:rsid w:val="005526AC"/>
    <w:rsid w:val="005537C0"/>
    <w:rsid w:val="0055396F"/>
    <w:rsid w:val="005547F5"/>
    <w:rsid w:val="00554B97"/>
    <w:rsid w:val="00555592"/>
    <w:rsid w:val="00556849"/>
    <w:rsid w:val="005572AD"/>
    <w:rsid w:val="00557E76"/>
    <w:rsid w:val="00561852"/>
    <w:rsid w:val="00561E76"/>
    <w:rsid w:val="00561EDB"/>
    <w:rsid w:val="00562CF1"/>
    <w:rsid w:val="005644D7"/>
    <w:rsid w:val="00564B88"/>
    <w:rsid w:val="0056596E"/>
    <w:rsid w:val="00565A0D"/>
    <w:rsid w:val="00566755"/>
    <w:rsid w:val="00567898"/>
    <w:rsid w:val="005708F7"/>
    <w:rsid w:val="00570E96"/>
    <w:rsid w:val="00572122"/>
    <w:rsid w:val="00572429"/>
    <w:rsid w:val="00573697"/>
    <w:rsid w:val="00575127"/>
    <w:rsid w:val="005769CF"/>
    <w:rsid w:val="00581353"/>
    <w:rsid w:val="005813DE"/>
    <w:rsid w:val="0058174D"/>
    <w:rsid w:val="005820E4"/>
    <w:rsid w:val="0058214C"/>
    <w:rsid w:val="005840A5"/>
    <w:rsid w:val="0058445E"/>
    <w:rsid w:val="005852E7"/>
    <w:rsid w:val="005859B7"/>
    <w:rsid w:val="0059557E"/>
    <w:rsid w:val="005A2D88"/>
    <w:rsid w:val="005A5516"/>
    <w:rsid w:val="005A5E00"/>
    <w:rsid w:val="005A67CC"/>
    <w:rsid w:val="005A6C0C"/>
    <w:rsid w:val="005A6CEF"/>
    <w:rsid w:val="005A7182"/>
    <w:rsid w:val="005B0444"/>
    <w:rsid w:val="005B07B2"/>
    <w:rsid w:val="005B08C4"/>
    <w:rsid w:val="005B1B96"/>
    <w:rsid w:val="005B3DE8"/>
    <w:rsid w:val="005B4231"/>
    <w:rsid w:val="005B4740"/>
    <w:rsid w:val="005B4D07"/>
    <w:rsid w:val="005B64A1"/>
    <w:rsid w:val="005B6718"/>
    <w:rsid w:val="005B6EDF"/>
    <w:rsid w:val="005B7E45"/>
    <w:rsid w:val="005C0506"/>
    <w:rsid w:val="005C07ED"/>
    <w:rsid w:val="005C1E6A"/>
    <w:rsid w:val="005C2503"/>
    <w:rsid w:val="005C3A84"/>
    <w:rsid w:val="005C3F0B"/>
    <w:rsid w:val="005C4C60"/>
    <w:rsid w:val="005C630A"/>
    <w:rsid w:val="005C63D7"/>
    <w:rsid w:val="005C663E"/>
    <w:rsid w:val="005C708E"/>
    <w:rsid w:val="005C779B"/>
    <w:rsid w:val="005D08D6"/>
    <w:rsid w:val="005D10D8"/>
    <w:rsid w:val="005D13E0"/>
    <w:rsid w:val="005D2AD0"/>
    <w:rsid w:val="005D3BE3"/>
    <w:rsid w:val="005D4335"/>
    <w:rsid w:val="005D508B"/>
    <w:rsid w:val="005D730F"/>
    <w:rsid w:val="005D7798"/>
    <w:rsid w:val="005E0362"/>
    <w:rsid w:val="005E0E4C"/>
    <w:rsid w:val="005E1D71"/>
    <w:rsid w:val="005E40E4"/>
    <w:rsid w:val="005E6638"/>
    <w:rsid w:val="005E7450"/>
    <w:rsid w:val="005E7DB1"/>
    <w:rsid w:val="005E7FA1"/>
    <w:rsid w:val="005F0011"/>
    <w:rsid w:val="005F0AF4"/>
    <w:rsid w:val="005F0B8A"/>
    <w:rsid w:val="005F1A28"/>
    <w:rsid w:val="005F25CD"/>
    <w:rsid w:val="005F5025"/>
    <w:rsid w:val="005F5D03"/>
    <w:rsid w:val="005F654D"/>
    <w:rsid w:val="005F74D9"/>
    <w:rsid w:val="005F768F"/>
    <w:rsid w:val="005F7FFC"/>
    <w:rsid w:val="0060030F"/>
    <w:rsid w:val="00600E1F"/>
    <w:rsid w:val="00601A93"/>
    <w:rsid w:val="0060225A"/>
    <w:rsid w:val="0060250B"/>
    <w:rsid w:val="00604431"/>
    <w:rsid w:val="00605779"/>
    <w:rsid w:val="00606789"/>
    <w:rsid w:val="006068CC"/>
    <w:rsid w:val="00606BDD"/>
    <w:rsid w:val="00607DE2"/>
    <w:rsid w:val="00611AFF"/>
    <w:rsid w:val="006120A6"/>
    <w:rsid w:val="006121FA"/>
    <w:rsid w:val="006150BA"/>
    <w:rsid w:val="00616044"/>
    <w:rsid w:val="00616154"/>
    <w:rsid w:val="00616237"/>
    <w:rsid w:val="00617F3D"/>
    <w:rsid w:val="006208EC"/>
    <w:rsid w:val="00621221"/>
    <w:rsid w:val="00623B75"/>
    <w:rsid w:val="00625520"/>
    <w:rsid w:val="0062619F"/>
    <w:rsid w:val="0062654D"/>
    <w:rsid w:val="00626FE4"/>
    <w:rsid w:val="006272F1"/>
    <w:rsid w:val="00631997"/>
    <w:rsid w:val="00632115"/>
    <w:rsid w:val="00635908"/>
    <w:rsid w:val="00636C4A"/>
    <w:rsid w:val="0064084D"/>
    <w:rsid w:val="0064137F"/>
    <w:rsid w:val="00642EF7"/>
    <w:rsid w:val="00643088"/>
    <w:rsid w:val="006438A4"/>
    <w:rsid w:val="006439E2"/>
    <w:rsid w:val="00643C1C"/>
    <w:rsid w:val="0064520B"/>
    <w:rsid w:val="00647266"/>
    <w:rsid w:val="00647438"/>
    <w:rsid w:val="00647A89"/>
    <w:rsid w:val="00653903"/>
    <w:rsid w:val="00653BC5"/>
    <w:rsid w:val="00654F4E"/>
    <w:rsid w:val="0065566A"/>
    <w:rsid w:val="00655877"/>
    <w:rsid w:val="0065637C"/>
    <w:rsid w:val="0066071C"/>
    <w:rsid w:val="006616F2"/>
    <w:rsid w:val="00663D60"/>
    <w:rsid w:val="00665D97"/>
    <w:rsid w:val="0066718F"/>
    <w:rsid w:val="00667D8A"/>
    <w:rsid w:val="00670020"/>
    <w:rsid w:val="0067012E"/>
    <w:rsid w:val="006702B6"/>
    <w:rsid w:val="00670722"/>
    <w:rsid w:val="006711F2"/>
    <w:rsid w:val="00671BF7"/>
    <w:rsid w:val="00673CD9"/>
    <w:rsid w:val="00674807"/>
    <w:rsid w:val="00674FA5"/>
    <w:rsid w:val="00677925"/>
    <w:rsid w:val="00677E29"/>
    <w:rsid w:val="006800ED"/>
    <w:rsid w:val="00683245"/>
    <w:rsid w:val="006834CF"/>
    <w:rsid w:val="0068452E"/>
    <w:rsid w:val="0068519B"/>
    <w:rsid w:val="00685A37"/>
    <w:rsid w:val="006871C0"/>
    <w:rsid w:val="006908BB"/>
    <w:rsid w:val="0069187B"/>
    <w:rsid w:val="00691E2C"/>
    <w:rsid w:val="00691F61"/>
    <w:rsid w:val="00693554"/>
    <w:rsid w:val="00694698"/>
    <w:rsid w:val="00695146"/>
    <w:rsid w:val="00695460"/>
    <w:rsid w:val="00695889"/>
    <w:rsid w:val="006A0C3A"/>
    <w:rsid w:val="006A0D5A"/>
    <w:rsid w:val="006A10E1"/>
    <w:rsid w:val="006A33CC"/>
    <w:rsid w:val="006B0178"/>
    <w:rsid w:val="006B0A32"/>
    <w:rsid w:val="006B2A8E"/>
    <w:rsid w:val="006B2C99"/>
    <w:rsid w:val="006B4B47"/>
    <w:rsid w:val="006B58C2"/>
    <w:rsid w:val="006B61AB"/>
    <w:rsid w:val="006B63BE"/>
    <w:rsid w:val="006B652E"/>
    <w:rsid w:val="006B6B90"/>
    <w:rsid w:val="006B7EA2"/>
    <w:rsid w:val="006C022D"/>
    <w:rsid w:val="006C0EDC"/>
    <w:rsid w:val="006C1C39"/>
    <w:rsid w:val="006C2197"/>
    <w:rsid w:val="006C32C7"/>
    <w:rsid w:val="006C3703"/>
    <w:rsid w:val="006C3A78"/>
    <w:rsid w:val="006C4E0C"/>
    <w:rsid w:val="006C5CAD"/>
    <w:rsid w:val="006C6185"/>
    <w:rsid w:val="006C6DB8"/>
    <w:rsid w:val="006C730F"/>
    <w:rsid w:val="006C7F9A"/>
    <w:rsid w:val="006D15E3"/>
    <w:rsid w:val="006D2DC5"/>
    <w:rsid w:val="006D33A0"/>
    <w:rsid w:val="006D4B9C"/>
    <w:rsid w:val="006D4BE2"/>
    <w:rsid w:val="006D4DC0"/>
    <w:rsid w:val="006D6213"/>
    <w:rsid w:val="006D681A"/>
    <w:rsid w:val="006D7B3B"/>
    <w:rsid w:val="006D7D56"/>
    <w:rsid w:val="006E0E0A"/>
    <w:rsid w:val="006E2C6E"/>
    <w:rsid w:val="006E2CB9"/>
    <w:rsid w:val="006E410F"/>
    <w:rsid w:val="006E49E1"/>
    <w:rsid w:val="006E6824"/>
    <w:rsid w:val="006E78FE"/>
    <w:rsid w:val="006F03FD"/>
    <w:rsid w:val="006F08B6"/>
    <w:rsid w:val="006F265B"/>
    <w:rsid w:val="006F2E0B"/>
    <w:rsid w:val="006F4077"/>
    <w:rsid w:val="006F4D1A"/>
    <w:rsid w:val="006F5233"/>
    <w:rsid w:val="006F5906"/>
    <w:rsid w:val="006F70E4"/>
    <w:rsid w:val="006F7F4B"/>
    <w:rsid w:val="006F7FBF"/>
    <w:rsid w:val="00700581"/>
    <w:rsid w:val="0070245A"/>
    <w:rsid w:val="007028B0"/>
    <w:rsid w:val="0070299F"/>
    <w:rsid w:val="00703A89"/>
    <w:rsid w:val="007042FF"/>
    <w:rsid w:val="00706EE0"/>
    <w:rsid w:val="00710234"/>
    <w:rsid w:val="00710A9A"/>
    <w:rsid w:val="00710BFF"/>
    <w:rsid w:val="00710FD2"/>
    <w:rsid w:val="007113FA"/>
    <w:rsid w:val="007116F4"/>
    <w:rsid w:val="00712520"/>
    <w:rsid w:val="00712EAE"/>
    <w:rsid w:val="0071422A"/>
    <w:rsid w:val="00716D37"/>
    <w:rsid w:val="00722743"/>
    <w:rsid w:val="007242D5"/>
    <w:rsid w:val="00724701"/>
    <w:rsid w:val="00725400"/>
    <w:rsid w:val="00725D2D"/>
    <w:rsid w:val="00725DAE"/>
    <w:rsid w:val="00725F15"/>
    <w:rsid w:val="00726C51"/>
    <w:rsid w:val="0072781D"/>
    <w:rsid w:val="007300CE"/>
    <w:rsid w:val="00730806"/>
    <w:rsid w:val="007319BB"/>
    <w:rsid w:val="00732717"/>
    <w:rsid w:val="0073388F"/>
    <w:rsid w:val="00733F2D"/>
    <w:rsid w:val="00737061"/>
    <w:rsid w:val="00737B5C"/>
    <w:rsid w:val="00740224"/>
    <w:rsid w:val="007406FD"/>
    <w:rsid w:val="007428CF"/>
    <w:rsid w:val="00744B41"/>
    <w:rsid w:val="0074598C"/>
    <w:rsid w:val="007466B2"/>
    <w:rsid w:val="00750BB6"/>
    <w:rsid w:val="00750BFD"/>
    <w:rsid w:val="007534BF"/>
    <w:rsid w:val="00753E71"/>
    <w:rsid w:val="00754A2B"/>
    <w:rsid w:val="0075555B"/>
    <w:rsid w:val="0075761A"/>
    <w:rsid w:val="00757916"/>
    <w:rsid w:val="00760F28"/>
    <w:rsid w:val="0076172D"/>
    <w:rsid w:val="007622B7"/>
    <w:rsid w:val="00763A0A"/>
    <w:rsid w:val="00764093"/>
    <w:rsid w:val="00766283"/>
    <w:rsid w:val="00767D9B"/>
    <w:rsid w:val="0077004B"/>
    <w:rsid w:val="00770129"/>
    <w:rsid w:val="007711A0"/>
    <w:rsid w:val="00772080"/>
    <w:rsid w:val="00776FB0"/>
    <w:rsid w:val="007779EF"/>
    <w:rsid w:val="00777E5D"/>
    <w:rsid w:val="00780141"/>
    <w:rsid w:val="007829FD"/>
    <w:rsid w:val="00782CA9"/>
    <w:rsid w:val="00783A65"/>
    <w:rsid w:val="00784BFA"/>
    <w:rsid w:val="00784FBA"/>
    <w:rsid w:val="00785D34"/>
    <w:rsid w:val="00785FD9"/>
    <w:rsid w:val="0079039C"/>
    <w:rsid w:val="0079052A"/>
    <w:rsid w:val="00790D5A"/>
    <w:rsid w:val="007930FC"/>
    <w:rsid w:val="007937AC"/>
    <w:rsid w:val="00793C2E"/>
    <w:rsid w:val="00793FBD"/>
    <w:rsid w:val="00794E5F"/>
    <w:rsid w:val="00795235"/>
    <w:rsid w:val="00795A02"/>
    <w:rsid w:val="007A0C70"/>
    <w:rsid w:val="007A201D"/>
    <w:rsid w:val="007A23C3"/>
    <w:rsid w:val="007A38D0"/>
    <w:rsid w:val="007A3DE6"/>
    <w:rsid w:val="007A4416"/>
    <w:rsid w:val="007A620B"/>
    <w:rsid w:val="007A681A"/>
    <w:rsid w:val="007A6CDD"/>
    <w:rsid w:val="007A71DC"/>
    <w:rsid w:val="007B5390"/>
    <w:rsid w:val="007C23B8"/>
    <w:rsid w:val="007C37DE"/>
    <w:rsid w:val="007C382D"/>
    <w:rsid w:val="007C4FBC"/>
    <w:rsid w:val="007C55A0"/>
    <w:rsid w:val="007C5963"/>
    <w:rsid w:val="007C7099"/>
    <w:rsid w:val="007C75CE"/>
    <w:rsid w:val="007C7D7A"/>
    <w:rsid w:val="007D112E"/>
    <w:rsid w:val="007D21EB"/>
    <w:rsid w:val="007D2A61"/>
    <w:rsid w:val="007D4958"/>
    <w:rsid w:val="007D4B9F"/>
    <w:rsid w:val="007D626B"/>
    <w:rsid w:val="007D65FC"/>
    <w:rsid w:val="007D6E4F"/>
    <w:rsid w:val="007E086F"/>
    <w:rsid w:val="007E1A7A"/>
    <w:rsid w:val="007E2B3E"/>
    <w:rsid w:val="007E38D8"/>
    <w:rsid w:val="007E3CD9"/>
    <w:rsid w:val="007E41D7"/>
    <w:rsid w:val="007E45B6"/>
    <w:rsid w:val="007E5224"/>
    <w:rsid w:val="007E5C57"/>
    <w:rsid w:val="007E5DEE"/>
    <w:rsid w:val="007F418E"/>
    <w:rsid w:val="007F74ED"/>
    <w:rsid w:val="00801111"/>
    <w:rsid w:val="00801955"/>
    <w:rsid w:val="00802795"/>
    <w:rsid w:val="008034CF"/>
    <w:rsid w:val="00803F4D"/>
    <w:rsid w:val="008056A5"/>
    <w:rsid w:val="00805A6C"/>
    <w:rsid w:val="00806A1E"/>
    <w:rsid w:val="008075F1"/>
    <w:rsid w:val="00807735"/>
    <w:rsid w:val="00807CAC"/>
    <w:rsid w:val="008106A4"/>
    <w:rsid w:val="008108DC"/>
    <w:rsid w:val="00810F86"/>
    <w:rsid w:val="00812099"/>
    <w:rsid w:val="0081498E"/>
    <w:rsid w:val="00815AAE"/>
    <w:rsid w:val="00816952"/>
    <w:rsid w:val="00816EB9"/>
    <w:rsid w:val="008178C4"/>
    <w:rsid w:val="008200E7"/>
    <w:rsid w:val="008226C4"/>
    <w:rsid w:val="00822C00"/>
    <w:rsid w:val="0082321B"/>
    <w:rsid w:val="008242A4"/>
    <w:rsid w:val="008250C8"/>
    <w:rsid w:val="008253F0"/>
    <w:rsid w:val="008255D5"/>
    <w:rsid w:val="00826538"/>
    <w:rsid w:val="00826FDA"/>
    <w:rsid w:val="00830212"/>
    <w:rsid w:val="008330F0"/>
    <w:rsid w:val="00833686"/>
    <w:rsid w:val="00834BC5"/>
    <w:rsid w:val="00836F88"/>
    <w:rsid w:val="00837877"/>
    <w:rsid w:val="00837CF6"/>
    <w:rsid w:val="00840131"/>
    <w:rsid w:val="00840255"/>
    <w:rsid w:val="00840FE9"/>
    <w:rsid w:val="008420CE"/>
    <w:rsid w:val="00842813"/>
    <w:rsid w:val="008437A5"/>
    <w:rsid w:val="00844C2A"/>
    <w:rsid w:val="00844CCB"/>
    <w:rsid w:val="00845058"/>
    <w:rsid w:val="00846FB5"/>
    <w:rsid w:val="0084737E"/>
    <w:rsid w:val="00850C0F"/>
    <w:rsid w:val="00850C97"/>
    <w:rsid w:val="00851505"/>
    <w:rsid w:val="0085299C"/>
    <w:rsid w:val="00852D76"/>
    <w:rsid w:val="008532D0"/>
    <w:rsid w:val="008541A6"/>
    <w:rsid w:val="008546AC"/>
    <w:rsid w:val="00855DC4"/>
    <w:rsid w:val="00860B34"/>
    <w:rsid w:val="00861011"/>
    <w:rsid w:val="00862F4F"/>
    <w:rsid w:val="00863112"/>
    <w:rsid w:val="00864E08"/>
    <w:rsid w:val="0086513B"/>
    <w:rsid w:val="0086673F"/>
    <w:rsid w:val="00871188"/>
    <w:rsid w:val="0087444D"/>
    <w:rsid w:val="00875049"/>
    <w:rsid w:val="008766B1"/>
    <w:rsid w:val="00877475"/>
    <w:rsid w:val="00877BAB"/>
    <w:rsid w:val="00880B02"/>
    <w:rsid w:val="00880F2B"/>
    <w:rsid w:val="00882B57"/>
    <w:rsid w:val="008841C4"/>
    <w:rsid w:val="008843C7"/>
    <w:rsid w:val="00884415"/>
    <w:rsid w:val="00884DD5"/>
    <w:rsid w:val="008865E0"/>
    <w:rsid w:val="00890504"/>
    <w:rsid w:val="008905CA"/>
    <w:rsid w:val="0089085B"/>
    <w:rsid w:val="00890CDA"/>
    <w:rsid w:val="00892073"/>
    <w:rsid w:val="00892106"/>
    <w:rsid w:val="008932CD"/>
    <w:rsid w:val="0089747B"/>
    <w:rsid w:val="00897CCB"/>
    <w:rsid w:val="008A00B6"/>
    <w:rsid w:val="008A1F31"/>
    <w:rsid w:val="008A1F96"/>
    <w:rsid w:val="008A21A9"/>
    <w:rsid w:val="008A3B9B"/>
    <w:rsid w:val="008A53A9"/>
    <w:rsid w:val="008A54C6"/>
    <w:rsid w:val="008A670A"/>
    <w:rsid w:val="008A6A35"/>
    <w:rsid w:val="008A71C0"/>
    <w:rsid w:val="008B0790"/>
    <w:rsid w:val="008B1F9B"/>
    <w:rsid w:val="008B25C8"/>
    <w:rsid w:val="008B3576"/>
    <w:rsid w:val="008B3D45"/>
    <w:rsid w:val="008B3E77"/>
    <w:rsid w:val="008B4482"/>
    <w:rsid w:val="008B539D"/>
    <w:rsid w:val="008C029D"/>
    <w:rsid w:val="008C2605"/>
    <w:rsid w:val="008C35A8"/>
    <w:rsid w:val="008C4076"/>
    <w:rsid w:val="008C5682"/>
    <w:rsid w:val="008C7024"/>
    <w:rsid w:val="008C75BE"/>
    <w:rsid w:val="008C79E2"/>
    <w:rsid w:val="008C7DCB"/>
    <w:rsid w:val="008D0E18"/>
    <w:rsid w:val="008D21C5"/>
    <w:rsid w:val="008D25B9"/>
    <w:rsid w:val="008D2827"/>
    <w:rsid w:val="008D32E4"/>
    <w:rsid w:val="008D3471"/>
    <w:rsid w:val="008D3F42"/>
    <w:rsid w:val="008D780A"/>
    <w:rsid w:val="008E0F06"/>
    <w:rsid w:val="008E183E"/>
    <w:rsid w:val="008E3A99"/>
    <w:rsid w:val="008E4797"/>
    <w:rsid w:val="008E4900"/>
    <w:rsid w:val="008E506E"/>
    <w:rsid w:val="008E53AB"/>
    <w:rsid w:val="008F1F67"/>
    <w:rsid w:val="008F567C"/>
    <w:rsid w:val="008F5BBB"/>
    <w:rsid w:val="00900993"/>
    <w:rsid w:val="00900B61"/>
    <w:rsid w:val="00903043"/>
    <w:rsid w:val="00903826"/>
    <w:rsid w:val="00903A52"/>
    <w:rsid w:val="00903CB5"/>
    <w:rsid w:val="00903D73"/>
    <w:rsid w:val="009045AD"/>
    <w:rsid w:val="009045DE"/>
    <w:rsid w:val="009047E6"/>
    <w:rsid w:val="00904D2F"/>
    <w:rsid w:val="009052A0"/>
    <w:rsid w:val="00905C69"/>
    <w:rsid w:val="00905C6C"/>
    <w:rsid w:val="0090605A"/>
    <w:rsid w:val="009065EB"/>
    <w:rsid w:val="009066D7"/>
    <w:rsid w:val="00907938"/>
    <w:rsid w:val="00907CD5"/>
    <w:rsid w:val="0091120D"/>
    <w:rsid w:val="00911264"/>
    <w:rsid w:val="009147D4"/>
    <w:rsid w:val="0091713D"/>
    <w:rsid w:val="00917C29"/>
    <w:rsid w:val="00920112"/>
    <w:rsid w:val="0092277B"/>
    <w:rsid w:val="009237D6"/>
    <w:rsid w:val="009242F9"/>
    <w:rsid w:val="00930A22"/>
    <w:rsid w:val="00930CCC"/>
    <w:rsid w:val="009314FF"/>
    <w:rsid w:val="00931B4A"/>
    <w:rsid w:val="009331EE"/>
    <w:rsid w:val="0093590E"/>
    <w:rsid w:val="00935D08"/>
    <w:rsid w:val="00936DA0"/>
    <w:rsid w:val="0094088C"/>
    <w:rsid w:val="00940CE6"/>
    <w:rsid w:val="00942EC0"/>
    <w:rsid w:val="00944778"/>
    <w:rsid w:val="00944C72"/>
    <w:rsid w:val="00944FBF"/>
    <w:rsid w:val="00947726"/>
    <w:rsid w:val="00947803"/>
    <w:rsid w:val="00950671"/>
    <w:rsid w:val="009506CF"/>
    <w:rsid w:val="00950BD1"/>
    <w:rsid w:val="00951953"/>
    <w:rsid w:val="00952209"/>
    <w:rsid w:val="009524A9"/>
    <w:rsid w:val="0095269B"/>
    <w:rsid w:val="00953460"/>
    <w:rsid w:val="00955361"/>
    <w:rsid w:val="00955D29"/>
    <w:rsid w:val="009566C1"/>
    <w:rsid w:val="009568C3"/>
    <w:rsid w:val="0095793B"/>
    <w:rsid w:val="00960A41"/>
    <w:rsid w:val="0096116A"/>
    <w:rsid w:val="0096144C"/>
    <w:rsid w:val="00961C8E"/>
    <w:rsid w:val="00962CF5"/>
    <w:rsid w:val="00963BB2"/>
    <w:rsid w:val="00963C82"/>
    <w:rsid w:val="00964612"/>
    <w:rsid w:val="009647F5"/>
    <w:rsid w:val="009657B7"/>
    <w:rsid w:val="00966D61"/>
    <w:rsid w:val="009673D9"/>
    <w:rsid w:val="00972F6D"/>
    <w:rsid w:val="00974BD6"/>
    <w:rsid w:val="00975265"/>
    <w:rsid w:val="009758C6"/>
    <w:rsid w:val="00980CF7"/>
    <w:rsid w:val="0098147D"/>
    <w:rsid w:val="00983D1C"/>
    <w:rsid w:val="00984720"/>
    <w:rsid w:val="009849D8"/>
    <w:rsid w:val="00984B6D"/>
    <w:rsid w:val="009850E5"/>
    <w:rsid w:val="00985EA1"/>
    <w:rsid w:val="009862B8"/>
    <w:rsid w:val="00986432"/>
    <w:rsid w:val="00986CF5"/>
    <w:rsid w:val="0098777E"/>
    <w:rsid w:val="009907EF"/>
    <w:rsid w:val="00991A8F"/>
    <w:rsid w:val="00992121"/>
    <w:rsid w:val="00992C18"/>
    <w:rsid w:val="00993D60"/>
    <w:rsid w:val="009940C6"/>
    <w:rsid w:val="00994CC8"/>
    <w:rsid w:val="0099636F"/>
    <w:rsid w:val="00996C46"/>
    <w:rsid w:val="00997AE3"/>
    <w:rsid w:val="009A011C"/>
    <w:rsid w:val="009A0B51"/>
    <w:rsid w:val="009A2399"/>
    <w:rsid w:val="009A2CAF"/>
    <w:rsid w:val="009A4FE0"/>
    <w:rsid w:val="009A621D"/>
    <w:rsid w:val="009A6632"/>
    <w:rsid w:val="009A77F5"/>
    <w:rsid w:val="009A790D"/>
    <w:rsid w:val="009A7D9D"/>
    <w:rsid w:val="009B09D5"/>
    <w:rsid w:val="009B2E20"/>
    <w:rsid w:val="009B324C"/>
    <w:rsid w:val="009B51EF"/>
    <w:rsid w:val="009B5BA6"/>
    <w:rsid w:val="009B74B2"/>
    <w:rsid w:val="009C083C"/>
    <w:rsid w:val="009C11EC"/>
    <w:rsid w:val="009C283E"/>
    <w:rsid w:val="009C4969"/>
    <w:rsid w:val="009C5081"/>
    <w:rsid w:val="009C5573"/>
    <w:rsid w:val="009C55E6"/>
    <w:rsid w:val="009C5A6C"/>
    <w:rsid w:val="009C7D1F"/>
    <w:rsid w:val="009D3FD3"/>
    <w:rsid w:val="009D42DD"/>
    <w:rsid w:val="009D4796"/>
    <w:rsid w:val="009D7F17"/>
    <w:rsid w:val="009E1A3A"/>
    <w:rsid w:val="009E2486"/>
    <w:rsid w:val="009E2732"/>
    <w:rsid w:val="009E2D8F"/>
    <w:rsid w:val="009E3042"/>
    <w:rsid w:val="009E4200"/>
    <w:rsid w:val="009E5859"/>
    <w:rsid w:val="009F052C"/>
    <w:rsid w:val="009F06F5"/>
    <w:rsid w:val="009F0D2A"/>
    <w:rsid w:val="009F3D73"/>
    <w:rsid w:val="00A0122D"/>
    <w:rsid w:val="00A01C78"/>
    <w:rsid w:val="00A027D4"/>
    <w:rsid w:val="00A03985"/>
    <w:rsid w:val="00A0428B"/>
    <w:rsid w:val="00A05296"/>
    <w:rsid w:val="00A106B8"/>
    <w:rsid w:val="00A12F23"/>
    <w:rsid w:val="00A13BBB"/>
    <w:rsid w:val="00A1447E"/>
    <w:rsid w:val="00A16027"/>
    <w:rsid w:val="00A16C5B"/>
    <w:rsid w:val="00A17BEF"/>
    <w:rsid w:val="00A24486"/>
    <w:rsid w:val="00A25A01"/>
    <w:rsid w:val="00A261B8"/>
    <w:rsid w:val="00A30569"/>
    <w:rsid w:val="00A33142"/>
    <w:rsid w:val="00A34BD9"/>
    <w:rsid w:val="00A352FC"/>
    <w:rsid w:val="00A3564B"/>
    <w:rsid w:val="00A373EF"/>
    <w:rsid w:val="00A40291"/>
    <w:rsid w:val="00A40822"/>
    <w:rsid w:val="00A43046"/>
    <w:rsid w:val="00A43C4A"/>
    <w:rsid w:val="00A43CC2"/>
    <w:rsid w:val="00A44869"/>
    <w:rsid w:val="00A45565"/>
    <w:rsid w:val="00A51D75"/>
    <w:rsid w:val="00A528AA"/>
    <w:rsid w:val="00A5310D"/>
    <w:rsid w:val="00A533E3"/>
    <w:rsid w:val="00A537F6"/>
    <w:rsid w:val="00A554DC"/>
    <w:rsid w:val="00A560AE"/>
    <w:rsid w:val="00A61C27"/>
    <w:rsid w:val="00A62002"/>
    <w:rsid w:val="00A62BFF"/>
    <w:rsid w:val="00A62F8F"/>
    <w:rsid w:val="00A63B90"/>
    <w:rsid w:val="00A65545"/>
    <w:rsid w:val="00A656EA"/>
    <w:rsid w:val="00A65F70"/>
    <w:rsid w:val="00A667BE"/>
    <w:rsid w:val="00A66C86"/>
    <w:rsid w:val="00A6712E"/>
    <w:rsid w:val="00A71053"/>
    <w:rsid w:val="00A713CB"/>
    <w:rsid w:val="00A72EF9"/>
    <w:rsid w:val="00A72F36"/>
    <w:rsid w:val="00A738D4"/>
    <w:rsid w:val="00A756E8"/>
    <w:rsid w:val="00A75F8D"/>
    <w:rsid w:val="00A769F0"/>
    <w:rsid w:val="00A80D38"/>
    <w:rsid w:val="00A80FE0"/>
    <w:rsid w:val="00A82008"/>
    <w:rsid w:val="00A8346D"/>
    <w:rsid w:val="00A8516D"/>
    <w:rsid w:val="00A868F7"/>
    <w:rsid w:val="00A86D1E"/>
    <w:rsid w:val="00A87153"/>
    <w:rsid w:val="00A90912"/>
    <w:rsid w:val="00A90A45"/>
    <w:rsid w:val="00A91A8E"/>
    <w:rsid w:val="00A946DF"/>
    <w:rsid w:val="00A954B4"/>
    <w:rsid w:val="00A959F6"/>
    <w:rsid w:val="00A9602D"/>
    <w:rsid w:val="00A961ED"/>
    <w:rsid w:val="00A96B62"/>
    <w:rsid w:val="00A978E2"/>
    <w:rsid w:val="00AA2B2C"/>
    <w:rsid w:val="00AA45F8"/>
    <w:rsid w:val="00AA5C98"/>
    <w:rsid w:val="00AA62D9"/>
    <w:rsid w:val="00AB0B73"/>
    <w:rsid w:val="00AB3248"/>
    <w:rsid w:val="00AB3C7D"/>
    <w:rsid w:val="00AB5B4F"/>
    <w:rsid w:val="00AB6A93"/>
    <w:rsid w:val="00AB72E1"/>
    <w:rsid w:val="00AB77AB"/>
    <w:rsid w:val="00AC0540"/>
    <w:rsid w:val="00AC21D0"/>
    <w:rsid w:val="00AC28BB"/>
    <w:rsid w:val="00AC3752"/>
    <w:rsid w:val="00AC4C4A"/>
    <w:rsid w:val="00AC4D23"/>
    <w:rsid w:val="00AC74DA"/>
    <w:rsid w:val="00AD177A"/>
    <w:rsid w:val="00AD256D"/>
    <w:rsid w:val="00AD26CE"/>
    <w:rsid w:val="00AD3212"/>
    <w:rsid w:val="00AD4935"/>
    <w:rsid w:val="00AE0162"/>
    <w:rsid w:val="00AE0DF4"/>
    <w:rsid w:val="00AE10C2"/>
    <w:rsid w:val="00AE2B05"/>
    <w:rsid w:val="00AE448E"/>
    <w:rsid w:val="00AE646E"/>
    <w:rsid w:val="00AE68E8"/>
    <w:rsid w:val="00AE6A02"/>
    <w:rsid w:val="00AE76CB"/>
    <w:rsid w:val="00AF051E"/>
    <w:rsid w:val="00AF0753"/>
    <w:rsid w:val="00AF2272"/>
    <w:rsid w:val="00AF40DF"/>
    <w:rsid w:val="00AF41FD"/>
    <w:rsid w:val="00AF6A19"/>
    <w:rsid w:val="00AF6D55"/>
    <w:rsid w:val="00B00F09"/>
    <w:rsid w:val="00B01528"/>
    <w:rsid w:val="00B0174A"/>
    <w:rsid w:val="00B02BE1"/>
    <w:rsid w:val="00B0537B"/>
    <w:rsid w:val="00B07CF0"/>
    <w:rsid w:val="00B10289"/>
    <w:rsid w:val="00B106BD"/>
    <w:rsid w:val="00B17D54"/>
    <w:rsid w:val="00B24461"/>
    <w:rsid w:val="00B24519"/>
    <w:rsid w:val="00B251D3"/>
    <w:rsid w:val="00B251FF"/>
    <w:rsid w:val="00B25207"/>
    <w:rsid w:val="00B267FF"/>
    <w:rsid w:val="00B26FDB"/>
    <w:rsid w:val="00B27958"/>
    <w:rsid w:val="00B27A89"/>
    <w:rsid w:val="00B30B0D"/>
    <w:rsid w:val="00B30D03"/>
    <w:rsid w:val="00B3148B"/>
    <w:rsid w:val="00B324F1"/>
    <w:rsid w:val="00B36C44"/>
    <w:rsid w:val="00B40701"/>
    <w:rsid w:val="00B40F41"/>
    <w:rsid w:val="00B41D0C"/>
    <w:rsid w:val="00B4469C"/>
    <w:rsid w:val="00B44805"/>
    <w:rsid w:val="00B457DD"/>
    <w:rsid w:val="00B45992"/>
    <w:rsid w:val="00B45B1D"/>
    <w:rsid w:val="00B467F1"/>
    <w:rsid w:val="00B47E1B"/>
    <w:rsid w:val="00B5049C"/>
    <w:rsid w:val="00B510ED"/>
    <w:rsid w:val="00B522DA"/>
    <w:rsid w:val="00B56EB2"/>
    <w:rsid w:val="00B56FE2"/>
    <w:rsid w:val="00B5749D"/>
    <w:rsid w:val="00B60C9B"/>
    <w:rsid w:val="00B62006"/>
    <w:rsid w:val="00B62B1D"/>
    <w:rsid w:val="00B62F47"/>
    <w:rsid w:val="00B6312C"/>
    <w:rsid w:val="00B66148"/>
    <w:rsid w:val="00B664F0"/>
    <w:rsid w:val="00B666EF"/>
    <w:rsid w:val="00B7005A"/>
    <w:rsid w:val="00B71AE9"/>
    <w:rsid w:val="00B71D3C"/>
    <w:rsid w:val="00B72C18"/>
    <w:rsid w:val="00B73AF6"/>
    <w:rsid w:val="00B74737"/>
    <w:rsid w:val="00B77641"/>
    <w:rsid w:val="00B77BBD"/>
    <w:rsid w:val="00B80880"/>
    <w:rsid w:val="00B80DC3"/>
    <w:rsid w:val="00B82D6F"/>
    <w:rsid w:val="00B8357D"/>
    <w:rsid w:val="00B835DF"/>
    <w:rsid w:val="00B851AA"/>
    <w:rsid w:val="00B85A1D"/>
    <w:rsid w:val="00B86CB4"/>
    <w:rsid w:val="00B873E6"/>
    <w:rsid w:val="00B90058"/>
    <w:rsid w:val="00B90717"/>
    <w:rsid w:val="00B9096A"/>
    <w:rsid w:val="00B93097"/>
    <w:rsid w:val="00B941CE"/>
    <w:rsid w:val="00B95CD0"/>
    <w:rsid w:val="00B964B0"/>
    <w:rsid w:val="00B969F5"/>
    <w:rsid w:val="00B979BA"/>
    <w:rsid w:val="00B97D01"/>
    <w:rsid w:val="00BA1001"/>
    <w:rsid w:val="00BA258D"/>
    <w:rsid w:val="00BA499F"/>
    <w:rsid w:val="00BA550D"/>
    <w:rsid w:val="00BA56E1"/>
    <w:rsid w:val="00BA5DC3"/>
    <w:rsid w:val="00BA646D"/>
    <w:rsid w:val="00BA671A"/>
    <w:rsid w:val="00BA76FC"/>
    <w:rsid w:val="00BA7D33"/>
    <w:rsid w:val="00BB0973"/>
    <w:rsid w:val="00BB0EBD"/>
    <w:rsid w:val="00BB3843"/>
    <w:rsid w:val="00BB3D1B"/>
    <w:rsid w:val="00BB6B30"/>
    <w:rsid w:val="00BB79B5"/>
    <w:rsid w:val="00BB7B51"/>
    <w:rsid w:val="00BB7CAA"/>
    <w:rsid w:val="00BB7F79"/>
    <w:rsid w:val="00BC0D39"/>
    <w:rsid w:val="00BC0DF1"/>
    <w:rsid w:val="00BC298B"/>
    <w:rsid w:val="00BC449A"/>
    <w:rsid w:val="00BC6DD7"/>
    <w:rsid w:val="00BC6F3D"/>
    <w:rsid w:val="00BD0178"/>
    <w:rsid w:val="00BD0D8F"/>
    <w:rsid w:val="00BD2C4C"/>
    <w:rsid w:val="00BD533C"/>
    <w:rsid w:val="00BD5B90"/>
    <w:rsid w:val="00BE026C"/>
    <w:rsid w:val="00BE142F"/>
    <w:rsid w:val="00BE1794"/>
    <w:rsid w:val="00BE23C3"/>
    <w:rsid w:val="00BE56B2"/>
    <w:rsid w:val="00BF0B9A"/>
    <w:rsid w:val="00BF12CA"/>
    <w:rsid w:val="00BF322F"/>
    <w:rsid w:val="00BF34BF"/>
    <w:rsid w:val="00BF34F0"/>
    <w:rsid w:val="00BF350A"/>
    <w:rsid w:val="00BF5B20"/>
    <w:rsid w:val="00BF5CE0"/>
    <w:rsid w:val="00BF6239"/>
    <w:rsid w:val="00BF7A30"/>
    <w:rsid w:val="00BF7F92"/>
    <w:rsid w:val="00C003DD"/>
    <w:rsid w:val="00C01372"/>
    <w:rsid w:val="00C01449"/>
    <w:rsid w:val="00C015C9"/>
    <w:rsid w:val="00C02B5F"/>
    <w:rsid w:val="00C03489"/>
    <w:rsid w:val="00C035CF"/>
    <w:rsid w:val="00C0422B"/>
    <w:rsid w:val="00C04F3E"/>
    <w:rsid w:val="00C0609C"/>
    <w:rsid w:val="00C06DE6"/>
    <w:rsid w:val="00C11151"/>
    <w:rsid w:val="00C11613"/>
    <w:rsid w:val="00C11E37"/>
    <w:rsid w:val="00C148DA"/>
    <w:rsid w:val="00C15475"/>
    <w:rsid w:val="00C15DF7"/>
    <w:rsid w:val="00C16616"/>
    <w:rsid w:val="00C17AB4"/>
    <w:rsid w:val="00C17ACB"/>
    <w:rsid w:val="00C17CF7"/>
    <w:rsid w:val="00C20CC1"/>
    <w:rsid w:val="00C210FF"/>
    <w:rsid w:val="00C24F45"/>
    <w:rsid w:val="00C274A0"/>
    <w:rsid w:val="00C3061D"/>
    <w:rsid w:val="00C314F1"/>
    <w:rsid w:val="00C31D3F"/>
    <w:rsid w:val="00C31F5B"/>
    <w:rsid w:val="00C3305E"/>
    <w:rsid w:val="00C3335F"/>
    <w:rsid w:val="00C354F5"/>
    <w:rsid w:val="00C35F50"/>
    <w:rsid w:val="00C3632C"/>
    <w:rsid w:val="00C407D4"/>
    <w:rsid w:val="00C409B2"/>
    <w:rsid w:val="00C418D8"/>
    <w:rsid w:val="00C42F1A"/>
    <w:rsid w:val="00C45CF0"/>
    <w:rsid w:val="00C461D7"/>
    <w:rsid w:val="00C46F85"/>
    <w:rsid w:val="00C479FD"/>
    <w:rsid w:val="00C5110B"/>
    <w:rsid w:val="00C525E7"/>
    <w:rsid w:val="00C52AE9"/>
    <w:rsid w:val="00C537DF"/>
    <w:rsid w:val="00C53AB1"/>
    <w:rsid w:val="00C545B3"/>
    <w:rsid w:val="00C54B45"/>
    <w:rsid w:val="00C557DF"/>
    <w:rsid w:val="00C558C6"/>
    <w:rsid w:val="00C565B3"/>
    <w:rsid w:val="00C56632"/>
    <w:rsid w:val="00C56E48"/>
    <w:rsid w:val="00C602B1"/>
    <w:rsid w:val="00C602DE"/>
    <w:rsid w:val="00C60B9B"/>
    <w:rsid w:val="00C61448"/>
    <w:rsid w:val="00C6484B"/>
    <w:rsid w:val="00C64F10"/>
    <w:rsid w:val="00C654C6"/>
    <w:rsid w:val="00C65B20"/>
    <w:rsid w:val="00C65B48"/>
    <w:rsid w:val="00C668E1"/>
    <w:rsid w:val="00C70196"/>
    <w:rsid w:val="00C7188C"/>
    <w:rsid w:val="00C72845"/>
    <w:rsid w:val="00C7317B"/>
    <w:rsid w:val="00C74722"/>
    <w:rsid w:val="00C7527B"/>
    <w:rsid w:val="00C75739"/>
    <w:rsid w:val="00C759D2"/>
    <w:rsid w:val="00C77363"/>
    <w:rsid w:val="00C77E2C"/>
    <w:rsid w:val="00C8059F"/>
    <w:rsid w:val="00C80DAB"/>
    <w:rsid w:val="00C81368"/>
    <w:rsid w:val="00C85651"/>
    <w:rsid w:val="00C856A5"/>
    <w:rsid w:val="00C85C00"/>
    <w:rsid w:val="00C85DA5"/>
    <w:rsid w:val="00C85F73"/>
    <w:rsid w:val="00C86A1A"/>
    <w:rsid w:val="00C90754"/>
    <w:rsid w:val="00C90A91"/>
    <w:rsid w:val="00C90BFE"/>
    <w:rsid w:val="00C90D92"/>
    <w:rsid w:val="00C915FE"/>
    <w:rsid w:val="00C928CC"/>
    <w:rsid w:val="00C93355"/>
    <w:rsid w:val="00C93DCB"/>
    <w:rsid w:val="00C9562A"/>
    <w:rsid w:val="00C95A82"/>
    <w:rsid w:val="00C96316"/>
    <w:rsid w:val="00C97E6F"/>
    <w:rsid w:val="00CA5714"/>
    <w:rsid w:val="00CA6D35"/>
    <w:rsid w:val="00CA7C8A"/>
    <w:rsid w:val="00CB1924"/>
    <w:rsid w:val="00CB5273"/>
    <w:rsid w:val="00CB53ED"/>
    <w:rsid w:val="00CB53FD"/>
    <w:rsid w:val="00CB618F"/>
    <w:rsid w:val="00CC095C"/>
    <w:rsid w:val="00CC0FF2"/>
    <w:rsid w:val="00CC11EE"/>
    <w:rsid w:val="00CC1587"/>
    <w:rsid w:val="00CC1FE8"/>
    <w:rsid w:val="00CC3BED"/>
    <w:rsid w:val="00CC5540"/>
    <w:rsid w:val="00CC69E7"/>
    <w:rsid w:val="00CC78AE"/>
    <w:rsid w:val="00CC7F5D"/>
    <w:rsid w:val="00CD15E7"/>
    <w:rsid w:val="00CD2D6C"/>
    <w:rsid w:val="00CD3F83"/>
    <w:rsid w:val="00CD5007"/>
    <w:rsid w:val="00CD77D8"/>
    <w:rsid w:val="00CE037F"/>
    <w:rsid w:val="00CE09A2"/>
    <w:rsid w:val="00CE0F64"/>
    <w:rsid w:val="00CE0F69"/>
    <w:rsid w:val="00CE15A4"/>
    <w:rsid w:val="00CE17A8"/>
    <w:rsid w:val="00CE1AD8"/>
    <w:rsid w:val="00CE2CE4"/>
    <w:rsid w:val="00CE436F"/>
    <w:rsid w:val="00CE6A81"/>
    <w:rsid w:val="00CE7114"/>
    <w:rsid w:val="00CE74CB"/>
    <w:rsid w:val="00CE7524"/>
    <w:rsid w:val="00CF0702"/>
    <w:rsid w:val="00CF5327"/>
    <w:rsid w:val="00CF5CED"/>
    <w:rsid w:val="00CF5D3A"/>
    <w:rsid w:val="00CF6403"/>
    <w:rsid w:val="00CF74E5"/>
    <w:rsid w:val="00CF79FB"/>
    <w:rsid w:val="00CF7F65"/>
    <w:rsid w:val="00D02C84"/>
    <w:rsid w:val="00D03809"/>
    <w:rsid w:val="00D06553"/>
    <w:rsid w:val="00D14D7C"/>
    <w:rsid w:val="00D17A8D"/>
    <w:rsid w:val="00D17E27"/>
    <w:rsid w:val="00D17FF1"/>
    <w:rsid w:val="00D20EF7"/>
    <w:rsid w:val="00D21611"/>
    <w:rsid w:val="00D22A05"/>
    <w:rsid w:val="00D234F5"/>
    <w:rsid w:val="00D2512F"/>
    <w:rsid w:val="00D2730A"/>
    <w:rsid w:val="00D276C3"/>
    <w:rsid w:val="00D27B2A"/>
    <w:rsid w:val="00D30A0F"/>
    <w:rsid w:val="00D30D04"/>
    <w:rsid w:val="00D30F74"/>
    <w:rsid w:val="00D32597"/>
    <w:rsid w:val="00D32BD0"/>
    <w:rsid w:val="00D344D1"/>
    <w:rsid w:val="00D355B2"/>
    <w:rsid w:val="00D36D2C"/>
    <w:rsid w:val="00D402A6"/>
    <w:rsid w:val="00D42AFF"/>
    <w:rsid w:val="00D46002"/>
    <w:rsid w:val="00D466C1"/>
    <w:rsid w:val="00D4709F"/>
    <w:rsid w:val="00D51912"/>
    <w:rsid w:val="00D52D95"/>
    <w:rsid w:val="00D53623"/>
    <w:rsid w:val="00D54009"/>
    <w:rsid w:val="00D5433E"/>
    <w:rsid w:val="00D56ADE"/>
    <w:rsid w:val="00D56DEB"/>
    <w:rsid w:val="00D57D68"/>
    <w:rsid w:val="00D60654"/>
    <w:rsid w:val="00D61864"/>
    <w:rsid w:val="00D61B22"/>
    <w:rsid w:val="00D636F0"/>
    <w:rsid w:val="00D65D3F"/>
    <w:rsid w:val="00D66BF8"/>
    <w:rsid w:val="00D67766"/>
    <w:rsid w:val="00D7257B"/>
    <w:rsid w:val="00D727D7"/>
    <w:rsid w:val="00D73195"/>
    <w:rsid w:val="00D736A7"/>
    <w:rsid w:val="00D73F9D"/>
    <w:rsid w:val="00D743AC"/>
    <w:rsid w:val="00D746E4"/>
    <w:rsid w:val="00D75469"/>
    <w:rsid w:val="00D77357"/>
    <w:rsid w:val="00D8041B"/>
    <w:rsid w:val="00D807C3"/>
    <w:rsid w:val="00D81D58"/>
    <w:rsid w:val="00D820B9"/>
    <w:rsid w:val="00D829BC"/>
    <w:rsid w:val="00D8349B"/>
    <w:rsid w:val="00D8401F"/>
    <w:rsid w:val="00D84211"/>
    <w:rsid w:val="00D842D6"/>
    <w:rsid w:val="00D84AC7"/>
    <w:rsid w:val="00D84E27"/>
    <w:rsid w:val="00D84FBF"/>
    <w:rsid w:val="00D86684"/>
    <w:rsid w:val="00D87839"/>
    <w:rsid w:val="00D90ADD"/>
    <w:rsid w:val="00D91949"/>
    <w:rsid w:val="00D920CB"/>
    <w:rsid w:val="00D9265F"/>
    <w:rsid w:val="00D936E9"/>
    <w:rsid w:val="00D9374B"/>
    <w:rsid w:val="00D93F6C"/>
    <w:rsid w:val="00D94BC5"/>
    <w:rsid w:val="00D958C4"/>
    <w:rsid w:val="00D95B6D"/>
    <w:rsid w:val="00D960E0"/>
    <w:rsid w:val="00D96AAC"/>
    <w:rsid w:val="00DA14A3"/>
    <w:rsid w:val="00DA1B19"/>
    <w:rsid w:val="00DA2E72"/>
    <w:rsid w:val="00DA33D0"/>
    <w:rsid w:val="00DA582A"/>
    <w:rsid w:val="00DA5F59"/>
    <w:rsid w:val="00DA63C6"/>
    <w:rsid w:val="00DA6485"/>
    <w:rsid w:val="00DA65AD"/>
    <w:rsid w:val="00DA6D0D"/>
    <w:rsid w:val="00DA7C5E"/>
    <w:rsid w:val="00DB3A43"/>
    <w:rsid w:val="00DB3C1C"/>
    <w:rsid w:val="00DB3FC4"/>
    <w:rsid w:val="00DB40FB"/>
    <w:rsid w:val="00DB450B"/>
    <w:rsid w:val="00DB55C2"/>
    <w:rsid w:val="00DB56ED"/>
    <w:rsid w:val="00DB6C89"/>
    <w:rsid w:val="00DB7CDD"/>
    <w:rsid w:val="00DC0FB4"/>
    <w:rsid w:val="00DC11F6"/>
    <w:rsid w:val="00DC2DBC"/>
    <w:rsid w:val="00DC2F14"/>
    <w:rsid w:val="00DC43B1"/>
    <w:rsid w:val="00DC4C62"/>
    <w:rsid w:val="00DC70A7"/>
    <w:rsid w:val="00DC736B"/>
    <w:rsid w:val="00DD071F"/>
    <w:rsid w:val="00DD20A7"/>
    <w:rsid w:val="00DD65E6"/>
    <w:rsid w:val="00DE0B50"/>
    <w:rsid w:val="00DE1602"/>
    <w:rsid w:val="00DE2FDC"/>
    <w:rsid w:val="00DE4723"/>
    <w:rsid w:val="00DE567A"/>
    <w:rsid w:val="00DE6BBA"/>
    <w:rsid w:val="00DE6FB8"/>
    <w:rsid w:val="00DE7893"/>
    <w:rsid w:val="00DF27B2"/>
    <w:rsid w:val="00DF41A0"/>
    <w:rsid w:val="00DF5130"/>
    <w:rsid w:val="00DF5F69"/>
    <w:rsid w:val="00DF6294"/>
    <w:rsid w:val="00E00388"/>
    <w:rsid w:val="00E011EB"/>
    <w:rsid w:val="00E0226D"/>
    <w:rsid w:val="00E04EC1"/>
    <w:rsid w:val="00E06569"/>
    <w:rsid w:val="00E069AE"/>
    <w:rsid w:val="00E10790"/>
    <w:rsid w:val="00E11112"/>
    <w:rsid w:val="00E111AF"/>
    <w:rsid w:val="00E12024"/>
    <w:rsid w:val="00E12A69"/>
    <w:rsid w:val="00E12EDD"/>
    <w:rsid w:val="00E132AE"/>
    <w:rsid w:val="00E134D5"/>
    <w:rsid w:val="00E13AF3"/>
    <w:rsid w:val="00E14984"/>
    <w:rsid w:val="00E15386"/>
    <w:rsid w:val="00E16145"/>
    <w:rsid w:val="00E17341"/>
    <w:rsid w:val="00E1747B"/>
    <w:rsid w:val="00E17631"/>
    <w:rsid w:val="00E22B1E"/>
    <w:rsid w:val="00E25F14"/>
    <w:rsid w:val="00E264D3"/>
    <w:rsid w:val="00E27338"/>
    <w:rsid w:val="00E278F8"/>
    <w:rsid w:val="00E27E53"/>
    <w:rsid w:val="00E3030A"/>
    <w:rsid w:val="00E3057E"/>
    <w:rsid w:val="00E3142E"/>
    <w:rsid w:val="00E31B71"/>
    <w:rsid w:val="00E3298F"/>
    <w:rsid w:val="00E32C6E"/>
    <w:rsid w:val="00E32F33"/>
    <w:rsid w:val="00E35AAF"/>
    <w:rsid w:val="00E375AB"/>
    <w:rsid w:val="00E37924"/>
    <w:rsid w:val="00E40676"/>
    <w:rsid w:val="00E40FBB"/>
    <w:rsid w:val="00E41F54"/>
    <w:rsid w:val="00E4364C"/>
    <w:rsid w:val="00E4545A"/>
    <w:rsid w:val="00E45B1B"/>
    <w:rsid w:val="00E46331"/>
    <w:rsid w:val="00E503B4"/>
    <w:rsid w:val="00E50622"/>
    <w:rsid w:val="00E50ED1"/>
    <w:rsid w:val="00E514CF"/>
    <w:rsid w:val="00E51E87"/>
    <w:rsid w:val="00E51EDC"/>
    <w:rsid w:val="00E52B45"/>
    <w:rsid w:val="00E53AC1"/>
    <w:rsid w:val="00E54351"/>
    <w:rsid w:val="00E54AA8"/>
    <w:rsid w:val="00E5555A"/>
    <w:rsid w:val="00E56966"/>
    <w:rsid w:val="00E60C03"/>
    <w:rsid w:val="00E61A6C"/>
    <w:rsid w:val="00E620C3"/>
    <w:rsid w:val="00E64B65"/>
    <w:rsid w:val="00E64FE1"/>
    <w:rsid w:val="00E65015"/>
    <w:rsid w:val="00E65717"/>
    <w:rsid w:val="00E65CE7"/>
    <w:rsid w:val="00E66F1C"/>
    <w:rsid w:val="00E67790"/>
    <w:rsid w:val="00E701F6"/>
    <w:rsid w:val="00E70CE6"/>
    <w:rsid w:val="00E71A3D"/>
    <w:rsid w:val="00E72158"/>
    <w:rsid w:val="00E72C90"/>
    <w:rsid w:val="00E735BD"/>
    <w:rsid w:val="00E74FBC"/>
    <w:rsid w:val="00E75BA9"/>
    <w:rsid w:val="00E75F18"/>
    <w:rsid w:val="00E7697E"/>
    <w:rsid w:val="00E76CD1"/>
    <w:rsid w:val="00E76EF7"/>
    <w:rsid w:val="00E7790C"/>
    <w:rsid w:val="00E80C10"/>
    <w:rsid w:val="00E8217A"/>
    <w:rsid w:val="00E83A51"/>
    <w:rsid w:val="00E83C5E"/>
    <w:rsid w:val="00E83CE3"/>
    <w:rsid w:val="00E83DCC"/>
    <w:rsid w:val="00E844F4"/>
    <w:rsid w:val="00E850B1"/>
    <w:rsid w:val="00E850ED"/>
    <w:rsid w:val="00E852A0"/>
    <w:rsid w:val="00E85CAA"/>
    <w:rsid w:val="00E86D87"/>
    <w:rsid w:val="00E87230"/>
    <w:rsid w:val="00E87622"/>
    <w:rsid w:val="00E877B1"/>
    <w:rsid w:val="00E906E0"/>
    <w:rsid w:val="00E912FE"/>
    <w:rsid w:val="00E92B2D"/>
    <w:rsid w:val="00E93105"/>
    <w:rsid w:val="00E941A4"/>
    <w:rsid w:val="00E9430F"/>
    <w:rsid w:val="00E947DC"/>
    <w:rsid w:val="00E95187"/>
    <w:rsid w:val="00E95C54"/>
    <w:rsid w:val="00E95C6E"/>
    <w:rsid w:val="00E96374"/>
    <w:rsid w:val="00E96559"/>
    <w:rsid w:val="00E972AE"/>
    <w:rsid w:val="00EA03F3"/>
    <w:rsid w:val="00EA0E63"/>
    <w:rsid w:val="00EA1FAF"/>
    <w:rsid w:val="00EA2709"/>
    <w:rsid w:val="00EA2A7B"/>
    <w:rsid w:val="00EA2FC5"/>
    <w:rsid w:val="00EA36B9"/>
    <w:rsid w:val="00EA4570"/>
    <w:rsid w:val="00EB4593"/>
    <w:rsid w:val="00EB4734"/>
    <w:rsid w:val="00EB71BD"/>
    <w:rsid w:val="00EB7E72"/>
    <w:rsid w:val="00EC03B0"/>
    <w:rsid w:val="00EC05DE"/>
    <w:rsid w:val="00EC135A"/>
    <w:rsid w:val="00EC176C"/>
    <w:rsid w:val="00EC1B5D"/>
    <w:rsid w:val="00EC37B0"/>
    <w:rsid w:val="00EC3FD3"/>
    <w:rsid w:val="00EC6DAF"/>
    <w:rsid w:val="00EC7BAE"/>
    <w:rsid w:val="00ED0E0C"/>
    <w:rsid w:val="00ED0E9B"/>
    <w:rsid w:val="00ED1BFE"/>
    <w:rsid w:val="00ED2D83"/>
    <w:rsid w:val="00ED3DE2"/>
    <w:rsid w:val="00ED4928"/>
    <w:rsid w:val="00ED4EF2"/>
    <w:rsid w:val="00ED6376"/>
    <w:rsid w:val="00ED6549"/>
    <w:rsid w:val="00ED6DD0"/>
    <w:rsid w:val="00ED7AB5"/>
    <w:rsid w:val="00ED7B67"/>
    <w:rsid w:val="00EE00BD"/>
    <w:rsid w:val="00EE0580"/>
    <w:rsid w:val="00EE0F85"/>
    <w:rsid w:val="00EE2399"/>
    <w:rsid w:val="00EE2994"/>
    <w:rsid w:val="00EE315E"/>
    <w:rsid w:val="00EE3C03"/>
    <w:rsid w:val="00EE6E06"/>
    <w:rsid w:val="00EE6FD9"/>
    <w:rsid w:val="00EE7707"/>
    <w:rsid w:val="00EF0420"/>
    <w:rsid w:val="00EF0D54"/>
    <w:rsid w:val="00EF3CC4"/>
    <w:rsid w:val="00EF3F0C"/>
    <w:rsid w:val="00EF492B"/>
    <w:rsid w:val="00EF68CA"/>
    <w:rsid w:val="00EF6D45"/>
    <w:rsid w:val="00EF6ED5"/>
    <w:rsid w:val="00F00524"/>
    <w:rsid w:val="00F008FE"/>
    <w:rsid w:val="00F00CE5"/>
    <w:rsid w:val="00F017B4"/>
    <w:rsid w:val="00F0284E"/>
    <w:rsid w:val="00F02858"/>
    <w:rsid w:val="00F05027"/>
    <w:rsid w:val="00F051FA"/>
    <w:rsid w:val="00F06737"/>
    <w:rsid w:val="00F0715C"/>
    <w:rsid w:val="00F12FDA"/>
    <w:rsid w:val="00F13888"/>
    <w:rsid w:val="00F14AAD"/>
    <w:rsid w:val="00F14FF4"/>
    <w:rsid w:val="00F170ED"/>
    <w:rsid w:val="00F21C0D"/>
    <w:rsid w:val="00F21FC1"/>
    <w:rsid w:val="00F227F2"/>
    <w:rsid w:val="00F22A62"/>
    <w:rsid w:val="00F22B03"/>
    <w:rsid w:val="00F22F65"/>
    <w:rsid w:val="00F242F9"/>
    <w:rsid w:val="00F24954"/>
    <w:rsid w:val="00F27C57"/>
    <w:rsid w:val="00F27CF4"/>
    <w:rsid w:val="00F301A7"/>
    <w:rsid w:val="00F3053A"/>
    <w:rsid w:val="00F3094A"/>
    <w:rsid w:val="00F30D6A"/>
    <w:rsid w:val="00F32D9F"/>
    <w:rsid w:val="00F34560"/>
    <w:rsid w:val="00F3464C"/>
    <w:rsid w:val="00F34EB1"/>
    <w:rsid w:val="00F35DF5"/>
    <w:rsid w:val="00F363A5"/>
    <w:rsid w:val="00F36C82"/>
    <w:rsid w:val="00F3744B"/>
    <w:rsid w:val="00F376AC"/>
    <w:rsid w:val="00F4031A"/>
    <w:rsid w:val="00F4306A"/>
    <w:rsid w:val="00F43325"/>
    <w:rsid w:val="00F43820"/>
    <w:rsid w:val="00F46FEE"/>
    <w:rsid w:val="00F523CD"/>
    <w:rsid w:val="00F52C6B"/>
    <w:rsid w:val="00F54814"/>
    <w:rsid w:val="00F54E8C"/>
    <w:rsid w:val="00F55B0E"/>
    <w:rsid w:val="00F55C2B"/>
    <w:rsid w:val="00F620CB"/>
    <w:rsid w:val="00F625E2"/>
    <w:rsid w:val="00F62F18"/>
    <w:rsid w:val="00F64499"/>
    <w:rsid w:val="00F65106"/>
    <w:rsid w:val="00F66214"/>
    <w:rsid w:val="00F66EDF"/>
    <w:rsid w:val="00F705DC"/>
    <w:rsid w:val="00F70FE7"/>
    <w:rsid w:val="00F72E30"/>
    <w:rsid w:val="00F75751"/>
    <w:rsid w:val="00F75859"/>
    <w:rsid w:val="00F8061A"/>
    <w:rsid w:val="00F8061B"/>
    <w:rsid w:val="00F826B7"/>
    <w:rsid w:val="00F85043"/>
    <w:rsid w:val="00F86A28"/>
    <w:rsid w:val="00F86D25"/>
    <w:rsid w:val="00F8727E"/>
    <w:rsid w:val="00F90E91"/>
    <w:rsid w:val="00F91B1C"/>
    <w:rsid w:val="00F928C4"/>
    <w:rsid w:val="00F97BBC"/>
    <w:rsid w:val="00FA0071"/>
    <w:rsid w:val="00FA34B6"/>
    <w:rsid w:val="00FA65A2"/>
    <w:rsid w:val="00FA6D8E"/>
    <w:rsid w:val="00FA7F09"/>
    <w:rsid w:val="00FB1201"/>
    <w:rsid w:val="00FB2EE4"/>
    <w:rsid w:val="00FB3F3B"/>
    <w:rsid w:val="00FB75EC"/>
    <w:rsid w:val="00FB7758"/>
    <w:rsid w:val="00FC022B"/>
    <w:rsid w:val="00FC109D"/>
    <w:rsid w:val="00FC31F7"/>
    <w:rsid w:val="00FC3481"/>
    <w:rsid w:val="00FC3A79"/>
    <w:rsid w:val="00FC4A01"/>
    <w:rsid w:val="00FC70E0"/>
    <w:rsid w:val="00FD03BE"/>
    <w:rsid w:val="00FD2F77"/>
    <w:rsid w:val="00FD335C"/>
    <w:rsid w:val="00FD33B1"/>
    <w:rsid w:val="00FD72A7"/>
    <w:rsid w:val="00FD77F6"/>
    <w:rsid w:val="00FD78D6"/>
    <w:rsid w:val="00FE1982"/>
    <w:rsid w:val="00FE30B4"/>
    <w:rsid w:val="00FE453E"/>
    <w:rsid w:val="00FE6EA7"/>
    <w:rsid w:val="00FF03B7"/>
    <w:rsid w:val="00FF1779"/>
    <w:rsid w:val="00FF195E"/>
    <w:rsid w:val="00FF1B5F"/>
    <w:rsid w:val="00FF2C01"/>
    <w:rsid w:val="00FF4638"/>
    <w:rsid w:val="00FF4FF6"/>
    <w:rsid w:val="00FF5061"/>
    <w:rsid w:val="00FF640F"/>
    <w:rsid w:val="00FF711B"/>
    <w:rsid w:val="00FF772C"/>
    <w:rsid w:val="00FF7D16"/>
    <w:rsid w:val="05A056CF"/>
    <w:rsid w:val="17E01DCE"/>
    <w:rsid w:val="183B2529"/>
    <w:rsid w:val="19FA7DCB"/>
    <w:rsid w:val="1B110AC6"/>
    <w:rsid w:val="1CD145CD"/>
    <w:rsid w:val="24E057B1"/>
    <w:rsid w:val="3BD95B05"/>
    <w:rsid w:val="3E855198"/>
    <w:rsid w:val="44CC045B"/>
    <w:rsid w:val="467D3522"/>
    <w:rsid w:val="48EB7846"/>
    <w:rsid w:val="52F76442"/>
    <w:rsid w:val="6A265B7D"/>
    <w:rsid w:val="6AEC2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rPr>
      <w:rFonts w:asciiTheme="minorHAnsi" w:hAnsiTheme="minorHAnsi" w:eastAsiaTheme="minorEastAsia" w:cstheme="minorBidi"/>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paragraph" w:customStyle="1" w:styleId="1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19">
    <w:name w:val="标题 1 Char"/>
    <w:basedOn w:val="13"/>
    <w:link w:val="2"/>
    <w:qFormat/>
    <w:uiPriority w:val="9"/>
    <w:rPr>
      <w:rFonts w:ascii="Calibri" w:hAnsi="Calibri" w:eastAsia="宋体" w:cs="Times New Roman"/>
      <w:b/>
      <w:bCs/>
      <w:kern w:val="44"/>
      <w:sz w:val="44"/>
      <w:szCs w:val="44"/>
    </w:rPr>
  </w:style>
  <w:style w:type="character" w:customStyle="1" w:styleId="20">
    <w:name w:val="批注框文本 Char"/>
    <w:basedOn w:val="13"/>
    <w:link w:val="5"/>
    <w:semiHidden/>
    <w:qFormat/>
    <w:uiPriority w:val="99"/>
    <w:rPr>
      <w:rFonts w:ascii="Calibri" w:hAnsi="Calibri" w:eastAsia="宋体" w:cs="Times New Roman"/>
      <w:sz w:val="18"/>
      <w:szCs w:val="18"/>
    </w:rPr>
  </w:style>
  <w:style w:type="character" w:customStyle="1" w:styleId="21">
    <w:name w:val="标题 2 Char"/>
    <w:basedOn w:val="13"/>
    <w:link w:val="3"/>
    <w:qFormat/>
    <w:uiPriority w:val="9"/>
    <w:rPr>
      <w:rFonts w:asciiTheme="majorHAnsi" w:hAnsiTheme="majorHAnsi" w:eastAsiaTheme="majorEastAsia" w:cstheme="majorBidi"/>
      <w:b/>
      <w:bCs/>
      <w:sz w:val="32"/>
      <w:szCs w:val="32"/>
    </w:rPr>
  </w:style>
  <w:style w:type="character" w:customStyle="1" w:styleId="22">
    <w:name w:val="c-gap-right-small3"/>
    <w:basedOn w:val="13"/>
    <w:qFormat/>
    <w:uiPriority w:val="0"/>
  </w:style>
  <w:style w:type="paragraph" w:customStyle="1" w:styleId="23">
    <w:name w:val="Table Paragraph"/>
    <w:basedOn w:val="1"/>
    <w:qFormat/>
    <w:uiPriority w:val="0"/>
    <w:pPr>
      <w:autoSpaceDE w:val="0"/>
      <w:autoSpaceDN w:val="0"/>
      <w:jc w:val="center"/>
    </w:pPr>
    <w:rPr>
      <w:rFonts w:ascii="仿宋_GB2312" w:hAnsi="宋体" w:eastAsia="仿宋_GB2312" w:cs="宋体"/>
      <w:kern w:val="0"/>
      <w:sz w:val="22"/>
    </w:rPr>
  </w:style>
  <w:style w:type="character" w:customStyle="1" w:styleId="24">
    <w:name w:val="批注文字 Char"/>
    <w:basedOn w:val="13"/>
    <w:link w:val="4"/>
    <w:semiHidden/>
    <w:qFormat/>
    <w:uiPriority w:val="99"/>
  </w:style>
  <w:style w:type="character" w:customStyle="1" w:styleId="25">
    <w:name w:val="批注主题 Char"/>
    <w:basedOn w:val="24"/>
    <w:link w:val="10"/>
    <w:semiHidden/>
    <w:qFormat/>
    <w:uiPriority w:val="99"/>
    <w:rPr>
      <w:b/>
      <w:bCs/>
    </w:rPr>
  </w:style>
  <w:style w:type="paragraph" w:customStyle="1" w:styleId="26">
    <w:name w:val="正文1"/>
    <w:qFormat/>
    <w:uiPriority w:val="0"/>
    <w:pPr>
      <w:jc w:val="both"/>
    </w:pPr>
    <w:rPr>
      <w:rFonts w:ascii="Calibri" w:hAnsi="Calibri" w:eastAsia="宋体" w:cs="Calibri"/>
      <w:kern w:val="2"/>
      <w:sz w:val="21"/>
      <w:szCs w:val="21"/>
      <w:lang w:val="en-US" w:eastAsia="zh-CN" w:bidi="ar-SA"/>
    </w:rPr>
  </w:style>
  <w:style w:type="paragraph" w:customStyle="1" w:styleId="27">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2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29">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4E412-521B-4DA4-BE66-8F013EE4AED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3611</Words>
  <Characters>20584</Characters>
  <Lines>171</Lines>
  <Paragraphs>48</Paragraphs>
  <TotalTime>3</TotalTime>
  <ScaleCrop>false</ScaleCrop>
  <LinksUpToDate>false</LinksUpToDate>
  <CharactersWithSpaces>24147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2020-08-22T06:21:00Z</dcterms:created>
  <dc:creator>Windows 用户</dc:creator>
  <cp:lastModifiedBy>Administrator</cp:lastModifiedBy>
  <cp:lastPrinted>2021-05-29T09:09:00Z</cp:lastPrinted>
  <dcterms:modified xsi:type="dcterms:W3CDTF">2021-06-01T03:22:49Z</dcterms:modified>
  <cp:revision>772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