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274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45"/>
        <w:gridCol w:w="585"/>
        <w:gridCol w:w="408"/>
        <w:gridCol w:w="496"/>
        <w:gridCol w:w="496"/>
        <w:gridCol w:w="496"/>
        <w:gridCol w:w="441"/>
        <w:gridCol w:w="496"/>
        <w:gridCol w:w="496"/>
        <w:gridCol w:w="496"/>
        <w:gridCol w:w="496"/>
        <w:gridCol w:w="441"/>
        <w:gridCol w:w="496"/>
        <w:gridCol w:w="496"/>
        <w:gridCol w:w="496"/>
        <w:gridCol w:w="496"/>
        <w:gridCol w:w="497"/>
        <w:gridCol w:w="497"/>
        <w:gridCol w:w="497"/>
        <w:gridCol w:w="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2022-03-16 09:00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本周按照监测计划开展航煤加氢加热炉、直柴加热炉、装卸站油气回收、芳烃罐区油气回收尾气的监测，各污染物均达标排放。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6"/>
        <w:gridCol w:w="805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</w:tbl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tbl>
      <w:tblPr>
        <w:tblStyle w:val="8"/>
        <w:tblW w:w="10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162"/>
        <w:gridCol w:w="1660"/>
        <w:gridCol w:w="1168"/>
        <w:gridCol w:w="922"/>
        <w:gridCol w:w="922"/>
        <w:gridCol w:w="922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储运部装车系统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储运部芳烃罐组油气回收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2022-03-22T06:53:51Z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48E9B702F5DC4723970A8ECC803557B2</vt:lpwstr>
  </property>
</Properties>
</file>