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  <w:lang w:val="en-US" w:eastAsia="zh-CN"/>
        </w:rPr>
        <w:t>安宁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</w:rPr>
        <w:t>市电子商务进农村综合示范项目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</w:rPr>
        <w:t>月工作进度</w:t>
      </w:r>
    </w:p>
    <w:tbl>
      <w:tblPr>
        <w:tblStyle w:val="10"/>
        <w:tblpPr w:leftFromText="180" w:rightFromText="180" w:vertAnchor="text" w:horzAnchor="page" w:tblpX="1478" w:tblpY="87"/>
        <w:tblOverlap w:val="never"/>
        <w:tblW w:w="20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86"/>
        <w:gridCol w:w="2003"/>
        <w:gridCol w:w="6712"/>
        <w:gridCol w:w="1453"/>
        <w:gridCol w:w="2431"/>
        <w:gridCol w:w="5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项目大类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子项目名称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承办单位责任人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扶持资金额度（单位：万元）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一、农村电商公共服务体系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级电子商务公共服务中心建设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和运营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利用安宁市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现有合适场地，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提升改造1个不少于1000㎡的电子商务公共服务中心，包含建设1个网货研发中心、1个容纳50人的电商实操培训教室、2个直播间、1个能容纳30人的大学生创业基地和能入驻10家企业的创客空间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等功能区域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采购一批电脑、投影仪、打印机等电子设备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一批办公家具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。建立1个不少8人的专业运营团队，提供政策解读、数据收集发布、电商培训、创业辅导、创业孵化、网店建设、包装设计、运营策划、推广营销、帮扶增收等综合服务。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市级电商公共服务中心已建设完成，电商公共服务、产品展示、直播、电商运营、政策咨询已正常开展，目前展厅已收集50余款安宁市农特产品及工业品。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街道电商服务站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在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7个街道建设电商服务站点统一制作“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全国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电子商务进农村综合示范项目”标识标牌，为站点配置1台电脑、1台电视、1个展示货架、1套制度牌、1台无线路由器和1本服务登记册以及1个本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街道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的产品展示销售区域。电商服务站点为村民提供电商知识宣传、代买代卖、快递代收代发、保险、金融、旅游、职业介绍、充值缴费、电商培训报名、驾校报名等服务功能。定期对所在服务区域农民需求和生产情况、产品信息、电商销售等进行摸底统计，向市电子商务公共服务中心报送相关信息。电商站点智慧乡村服务应用APP安装使用全覆盖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  <w:t>7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已完成3个街道站点选址调研工作，完成站点门头制度牌设计。下一步将确认站点进行站点装修设备进场。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村级电商服务站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在60个行政村建设电商服务站点。电商服务站统一制作“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全国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电子商务进农村综合示范项目”标识标牌，为站点配置1台电脑、1台电视、1个展示货架、1套制度牌、1台无线路由器和1本服务登记。电商服务站点为村民提供数字生活新服务、电商知识宣传、代买代卖、快递代收代发、保险、金融、旅游、职业介绍、充值缴费、电商培训报名、驾校报名等服务功能。定期对所在服务区域农民需求和生产情况、产品信息、电商销售等进行摸底统计，向市电子商务公共服务中心报送相关信息。电商站点智慧乡村服务应用APP安装使用全覆盖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已完成55个行政村物流服务站点选址调研工作，已完成35个站点的门头安装及设备入场，站点已开通代买代卖，生活代缴功能。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、市镇村三级农村物流体系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仓储物流配送中心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整合安宁市域内的邮政、中通、圆通、申通、韵达、百世等主要快递公司，利用现有合适场地建设1个不少于2000㎡的市级仓储物流配送中心、并划分成1个包裹分拣区、1个办公区、1个仓储区和快递企业入驻区；将物流制度、物流线路等所需内容进行上墙，采购1批设备，例如厢式物流车辆、物流叉车、物流分拣线、仓储笼、物流货框等设施设备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推动建设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级物流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配送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网络，与各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街道、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村站点形成物流快递链条，解决农村物流配送“最后一公里”和农产品上行难问题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220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已完成物流仓储配送中心的装修，正在采购车辆及设备，与6家快递企业已签订合作协议，并与客货邮融合发展打通了市区-禄脿街道的快递进村，市区-八街街道已逐步开通快递进村业务。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街道镇级电子商务物流中转服务站建设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利用现有邮政、供销社网点、农家店、便利店、快递、金融、村民活动中心等服务站点资源进行改造升级，在7个街道建设物流服务站点，为站点配置1套仓储货架、1台电子秤、台快递打印机以及1套物流制度牌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快递服务街道覆盖率100%，负责下行网购商品的储存、配送至村级物流配送点，将上行网销商品集中转运至市级电商物流仓储中心，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Hans"/>
              </w:rPr>
              <w:t>电商服务站点功能为提供快递收发、物流信息查询等服务功能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已完成7个街道物流中转服务站选址调研工作，完成站点门头制度牌设计。下一步将确认站点进行站点装修设备进场。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村级快递物流末端服务站点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结合邮政、供销、商贸流通企业现有的物流配送网络，交通运输部门的农村公交班线，以及本地货运等各种运输资源，在60个行政村建设物流服务站点，为站点配置1套仓储货架、1台电子秤、1台快递打印机以及1套物流制度牌，负责辖区网购商品的代收、配送和网销产品的收集转运、物流信息查询等服务功能，为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个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行政村建设村级快递物流末端服务站点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并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提供物流服务，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全市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行政村覆盖率达到50%以上。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已完成55个行政村物流服务站点选址调研工作，已完成35个站点的门头安装及设备入场，站点已开通代买代卖，生活代缴功能。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、农村电子商务品牌和营销体系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农特产品网货化开发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深入挖掘安宁本地优势特色农副产品、乡村旅游、安宁小吃餐饮等特色产品，加快农产品网货开发体系建设，重点打造安宁市食用玫瑰为主的主导产业，健全安宁市名优农特产品数据库，开发安宁市至少5款农产品进行网上销售包含产品规格定位、产品设计、产品包装设计，制定标准化流程和商品化处理流程，针对已在网上销售的农特产品至少5款进行产品规格定位、产品设计、产品包装设计以及标准化流程和商品化处理流程制定，编制安宁市农特产品调研报告和产品网络销售规划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已帮助一家企业完成产品包装设计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农产品营销推广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在第三方平台开设1个以上安宁特色馆或旗舰店，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年销售额达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Hans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万元以上；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结合全国、全省、全市的重大节庆活动和消费促销要求，适时举办“农民丰收节电商专场” “双十一电商狂欢节” “双十二电商狂欢节” “安宁电商购物节”等线上线下结合的促销活动12场，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每场销售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额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万元以上；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充分利用“南博会数字化平台”进行安宁农产品的销售推广，提升安宁电商影响力和电商品牌的知名度。推动农旅转化，加快推进农产品转化为旅游商品，结合“一部手机云品荟”平台策划农特产、民俗文化、旅游为一体的文化节，结合基地种植、农家乐开展农活体验和田园旅游活动2场，推进品牌营销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已开通淘宝安宁特产馆及拼多多特产馆，目前已上架13款产品，并销售100单鲜花饼。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新媒体电商和电商直播销售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拍摄安宁市农特产品和人文旅游相关的短片30条，每条在15秒和30秒之间，借助抖音、快手、微信、微博、自媒体等新媒体平台进行宣传；培育本地农村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主播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，开展本地农村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主播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直播带货20场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，每场销售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额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万元以上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；结合安宁主要产业产品，邀请同品类直播带货主播开展直播带货3场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，每场销售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额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Hans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万元以上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  <w:t>66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已注册抖音账号，下一步将拍摄安宁市农特产品和人文旅游相关视频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区域公共品牌打造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打造1个区域公共品牌。整合安宁市食用玫瑰为主的主导产业，打造具有安宁特色的市域农特产品公共区域品牌，设计制作品牌LOGO、宣传语、品牌故事、宣传视频等VI体系；制定农产品区域公共品牌战略规划，明晰战略定位与品牌形象、传播与推广策略、保障措施与实施项目等重点；推出品牌授权体系，与企业品牌形成母子品牌，为全市30家以上符合要求的个人和企业提供公共区域品牌授权，形成品牌使用组织化；提升全市公共区域品牌商家凝聚力，有效对产品价格、产品规格、产品质量和快递价格等因素进行统一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已完成LOGO设计并进行安宁市公共区域品牌名称征集活动，共收集152个公共区域品牌名称，目前正在名称评审中。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支持电商自主品牌建设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引导农业企业、电商主体、合作社、电商创业者、市内大型零售企业等经营主体，注册自有商标3个，与公共品牌形成母子品牌，入驻淘宝、抖音、拼多多等主流电商平台并稳步扩大销售，每家企业年销售额不低于50万元，打造农产品网络爆款产品和示范企业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已走访调研15家企业，并与3家企业合作已将产品上架安宁特产馆及拼多多特产馆，目前已销售100单鲜花饼。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8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、农村产品供应链体系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安宁市农特产品电子商务共享仓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整合安宁综合物流配送中心场地资源建设1个150㎡以上的安宁市农特产品电子商务共享仓，对共享仓进行门头和室内制度牌、流程牌等装修，为共享仓采购一批设备包含1套农产品分级设备、1套仓储货架、1台包装设备和1台贴单设备等，对本地特色农副产品、旅游产品、安宁小吃餐饮等特色产品开展仓储、分拣服务。为安宁市电商创业者提供安宁市农特产品货源保障和一件代发功能，同时也为中小型电商企业提供仓储分拣服务和免费农产品分拣服务。解决企业进货难、发货难等问题，向消费者提供优质、实惠、可追溯的安宁农特优产品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已走访15家农产品生产及加工企业，共享仓已完成装修正在进行设备采购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8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建设安宁农特产品销售专柜、专区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在昆明市和安宁市中大型超市设立展销专柜专区1个，为安宁市符合产品资质要求的产品免费提供展示销售，加强安宁公共品牌和特色产品品牌宣传，扩展产品销售渠道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计划8月份与超市协商设立专柜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、农村电子商务培训体系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电子商务应用及技能培训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针对不同群体需求有针对性、分阶段、分层次开展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000人（次）以上的培训，培训转化达3%以上。根据培训内容，灵活采取课堂教学、现场教学和实操演练等形式开展培训。组织开展各类电商大赛。培育影响力强的农村电商带头致富人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10人以上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农村电子商务普及培训。面向街道、村党员干部、大学生村官、退伍军人、返乡青年、妇女、农民、残疾人等有意向从事电商创业人群，举办以电商基本知识、发展现状和趋势、电子商务法解读、电商运营规则、电子支付与交易安全、电子商务体验课程（网上购物、网上旅游、网上学习、网上就业）、客服建设、物流与仓储、农产品电子商务案例分析、网络创业意识、办公自动化基础、网销平台使用等为主要内容的电子商务培训，激发参训人员对电子商务的兴趣，引导学员从事电商应用，形成良好的创业就业氛围。累计培训2000人次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电子商务实际操作培训。面向街道、村电子商务服务站点负责人以及大学生村官、返乡青年、创业青年、企业电商负责人等重点群体，举办以网店（微店）开设、店铺装修、运营管理、网商（微商）营销、新媒体传播、电商物流和客服、软件应用和操作、成功案例分析、互联网品牌包装等为主要内容的电子商务实际操作培训，并结合村（居）产业和资源情况开展电商和移动电商应用，助推农民增收。累计培训800人次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电子商务增值培训。针对青年大学生、大中专业院校学生、传统商贸企业和电商企业负责人，进行电子商务高级运营培训；针对专业合作社负责人、致富带头人、农村经纪人，举办农村电商专题培训；针对有意愿从事电商直播行业所有人员，开展电商直播人才培训；针对有需求的外贸企业人员、准备从事跨境电子商务行业运营、营销等岗位的相关人员，开展跨境电商培训。累计培训200人次以上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已开展9场街道电商普及培训，4场村级电商普及培训及快递进村宣传，共计培训389人次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、推动农村商贸流通企业转型升级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传统农村商贸流通企业转型升级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围绕安宁市各街道办事处商贸流通企业发展实际，扶持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商贸企业通过自建微信小程序、官方网站、品牌自有公众号等，线上推送产品信息，并通过朋友圈、微信群等宣传自营网站，推进线上销售。用户通过企业自建的销售平台，在线下单，实现足不出户买卖交易，拓宽企业销售渠道。同时，鼓励推动传统商贸流通企业、连锁商超、零售网点进行数字化、信息化转型升级，转变流通方式，利用当下直播电商、社交电商等新业态，培育壮大“互联网+”消费新模式，促进线上线下融合发展。支持鼓励金方商业广场、大润发超市、“天猫优品”、“淘小铺”和京东等电商平台到八街街道、青龙街道等偏远街道设置连锁店或迷你超市。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杨洪波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计划8月与鲜花饼生产企业对接协助开通网上店铺及抖音平台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pStyle w:val="3"/>
        <w:rPr>
          <w:color w:val="auto"/>
        </w:rPr>
      </w:pPr>
    </w:p>
    <w:sectPr>
      <w:footerReference r:id="rId3" w:type="default"/>
      <w:pgSz w:w="23811" w:h="16838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Calibri" w:hAnsi="Calibri" w:eastAsia="宋体" w:cs="黑体"/>
        <w:kern w:val="2"/>
        <w:sz w:val="28"/>
        <w:szCs w:val="28"/>
        <w:lang w:val="en-US" w:eastAsia="zh-CN" w:bidi="ar-SA"/>
      </w:rPr>
    </w:pPr>
    <w:r>
      <w:rPr>
        <w:rFonts w:hint="eastAsia" w:cs="黑体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cs="黑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cs="黑体"/>
        <w:kern w:val="2"/>
        <w:sz w:val="28"/>
        <w:szCs w:val="28"/>
        <w:lang w:val="en-US" w:eastAsia="zh-CN" w:bidi="ar-SA"/>
      </w:rPr>
      <w:instrText xml:space="preserve"> PAGE  \* MERGEFORMAT </w:instrText>
    </w:r>
    <w:r>
      <w:rPr>
        <w:rFonts w:hint="eastAsia" w:cs="黑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cs="黑体"/>
        <w:kern w:val="2"/>
        <w:sz w:val="28"/>
        <w:szCs w:val="28"/>
        <w:lang w:val="en-US" w:eastAsia="zh-CN" w:bidi="ar-SA"/>
      </w:rPr>
      <w:t>1</w:t>
    </w:r>
    <w:r>
      <w:rPr>
        <w:rFonts w:hint="eastAsia" w:cs="黑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cs="黑体"/>
        <w:kern w:val="2"/>
        <w:sz w:val="28"/>
        <w:szCs w:val="28"/>
        <w:lang w:val="en-US" w:eastAsia="zh-CN" w:bidi="ar-SA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TMxMWRmODY3MzAxOTY1MTM4NzdiZGQ0ZTlkZDIifQ=="/>
  </w:docVars>
  <w:rsids>
    <w:rsidRoot w:val="04C11079"/>
    <w:rsid w:val="03A97AB9"/>
    <w:rsid w:val="04730A82"/>
    <w:rsid w:val="04C11079"/>
    <w:rsid w:val="07AE265C"/>
    <w:rsid w:val="08982903"/>
    <w:rsid w:val="09081760"/>
    <w:rsid w:val="0A563F06"/>
    <w:rsid w:val="0C580AE9"/>
    <w:rsid w:val="0DC36638"/>
    <w:rsid w:val="1A661DAE"/>
    <w:rsid w:val="25297584"/>
    <w:rsid w:val="27903C90"/>
    <w:rsid w:val="34E55C4F"/>
    <w:rsid w:val="353C18C1"/>
    <w:rsid w:val="368D6049"/>
    <w:rsid w:val="3BEE0525"/>
    <w:rsid w:val="3F6F5E8B"/>
    <w:rsid w:val="3FA84594"/>
    <w:rsid w:val="47FC46F1"/>
    <w:rsid w:val="53CB7B39"/>
    <w:rsid w:val="56B14104"/>
    <w:rsid w:val="571406ED"/>
    <w:rsid w:val="5BF82EAC"/>
    <w:rsid w:val="66977EA2"/>
    <w:rsid w:val="69431A04"/>
    <w:rsid w:val="6BC8496A"/>
    <w:rsid w:val="6C815622"/>
    <w:rsid w:val="6E9FAB97"/>
    <w:rsid w:val="700C10B1"/>
    <w:rsid w:val="70EA667B"/>
    <w:rsid w:val="71093063"/>
    <w:rsid w:val="7169507B"/>
    <w:rsid w:val="744B6220"/>
    <w:rsid w:val="747265E5"/>
    <w:rsid w:val="74812BAA"/>
    <w:rsid w:val="7532658D"/>
    <w:rsid w:val="77A90301"/>
    <w:rsid w:val="799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 w:leftChars="200"/>
    </w:pPr>
  </w:style>
  <w:style w:type="paragraph" w:styleId="3">
    <w:name w:val="Body Text First Indent 2"/>
    <w:basedOn w:val="2"/>
    <w:qFormat/>
    <w:uiPriority w:val="0"/>
    <w:pPr>
      <w:spacing w:line="360" w:lineRule="auto"/>
      <w:ind w:left="0" w:leftChars="0"/>
    </w:pPr>
    <w:rPr>
      <w:rFonts w:ascii="Calibri" w:hAnsi="Calibri"/>
      <w:sz w:val="28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4566</Words>
  <Characters>4649</Characters>
  <Lines>0</Lines>
  <Paragraphs>0</Paragraphs>
  <TotalTime>49</TotalTime>
  <ScaleCrop>false</ScaleCrop>
  <LinksUpToDate>false</LinksUpToDate>
  <CharactersWithSpaces>4652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2021-07-05T13:56:00Z</dcterms:created>
  <dc:creator>123</dc:creator>
  <cp:lastModifiedBy>往事随风</cp:lastModifiedBy>
  <dcterms:modified xsi:type="dcterms:W3CDTF">2022-07-27T02:14:19Z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6D6837F8C93F4C3687C9799B55042592</vt:lpwstr>
  </property>
</Properties>
</file>