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216</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50" w:lineRule="exact"/>
        <w:ind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50" w:lineRule="exact"/>
        <w:ind w:right="0" w:rightChars="0"/>
        <w:jc w:val="both"/>
        <w:textAlignment w:val="auto"/>
      </w:pPr>
      <w:r>
        <w:rPr>
          <w:rStyle w:val="17"/>
          <w:rFonts w:hint="eastAsia" w:eastAsia="仿宋_GB2312"/>
          <w:color w:val="000000"/>
          <w:sz w:val="32"/>
          <w:szCs w:val="32"/>
          <w:lang w:val="en-US" w:eastAsia="zh-CN"/>
        </w:rPr>
        <w:t>匡世勇</w:t>
      </w:r>
      <w:r>
        <w:rPr>
          <w:rFonts w:hint="eastAsia" w:cs="仿宋_GB2312"/>
        </w:rPr>
        <w:t>委员：</w:t>
      </w:r>
    </w:p>
    <w:p>
      <w:pPr>
        <w:keepNext w:val="0"/>
        <w:keepLines w:val="0"/>
        <w:pageBreakBefore w:val="0"/>
        <w:widowControl w:val="0"/>
        <w:kinsoku/>
        <w:wordWrap/>
        <w:overflowPunct/>
        <w:topLinePunct w:val="0"/>
        <w:autoSpaceDE/>
        <w:autoSpaceDN/>
        <w:bidi w:val="0"/>
        <w:snapToGrid/>
        <w:spacing w:line="550" w:lineRule="exact"/>
        <w:ind w:right="0" w:rightChars="0" w:firstLine="615"/>
        <w:jc w:val="both"/>
        <w:textAlignment w:val="auto"/>
        <w:rPr>
          <w:rFonts w:hint="eastAsia" w:cs="仿宋_GB2312"/>
        </w:rPr>
      </w:pPr>
      <w:r>
        <w:rPr>
          <w:rFonts w:hint="eastAsia" w:cs="仿宋_GB2312"/>
        </w:rPr>
        <w:t>你提出的</w:t>
      </w:r>
      <w:r>
        <w:rPr>
          <w:rFonts w:hint="eastAsia"/>
        </w:rPr>
        <w:t>“</w:t>
      </w:r>
      <w:r>
        <w:rPr>
          <w:rFonts w:eastAsia="仿宋_GB2312"/>
          <w:color w:val="000000"/>
          <w:sz w:val="32"/>
          <w:szCs w:val="32"/>
        </w:rPr>
        <w:t>关于</w:t>
      </w:r>
      <w:r>
        <w:rPr>
          <w:rFonts w:hint="eastAsia" w:eastAsia="仿宋_GB2312"/>
          <w:color w:val="000000"/>
          <w:sz w:val="32"/>
          <w:szCs w:val="32"/>
          <w:lang w:val="en-US" w:eastAsia="zh-CN"/>
        </w:rPr>
        <w:t>提升安宁市高中高考改革适应能力</w:t>
      </w:r>
      <w:r>
        <w:rPr>
          <w:rFonts w:eastAsia="仿宋_GB2312"/>
          <w:color w:val="000000"/>
          <w:sz w:val="32"/>
          <w:szCs w:val="32"/>
        </w:rPr>
        <w:t>的建议</w:t>
      </w:r>
      <w:r>
        <w:rPr>
          <w:rFonts w:hint="eastAsia" w:cs="仿宋_GB2312"/>
        </w:rPr>
        <w:t>”的提案，已交由我们办理，现答复如下：</w:t>
      </w:r>
    </w:p>
    <w:p>
      <w:pPr>
        <w:keepNext w:val="0"/>
        <w:keepLines w:val="0"/>
        <w:pageBreakBefore w:val="0"/>
        <w:widowControl w:val="0"/>
        <w:kinsoku/>
        <w:wordWrap/>
        <w:overflowPunct/>
        <w:topLinePunct w:val="0"/>
        <w:autoSpaceDE/>
        <w:autoSpaceDN/>
        <w:bidi w:val="0"/>
        <w:snapToGrid/>
        <w:spacing w:line="550" w:lineRule="exact"/>
        <w:ind w:right="0" w:rightChars="0" w:firstLine="615"/>
        <w:jc w:val="both"/>
        <w:textAlignment w:val="auto"/>
        <w:rPr>
          <w:rFonts w:hint="eastAsia" w:cs="仿宋_GB2312"/>
          <w:lang w:eastAsia="zh-CN"/>
        </w:rPr>
      </w:pPr>
      <w:r>
        <w:rPr>
          <w:rFonts w:hint="eastAsia" w:cs="仿宋_GB2312"/>
          <w:lang w:eastAsia="zh-CN"/>
        </w:rPr>
        <w:t>首先非常感谢你对安宁市教育事业的关心与支持，结合你提出的提案及面商情况，我们从目前工作开展情况的及下步工作实施两个方面给予答复。</w:t>
      </w:r>
    </w:p>
    <w:p>
      <w:pPr>
        <w:keepNext w:val="0"/>
        <w:keepLines w:val="0"/>
        <w:pageBreakBefore w:val="0"/>
        <w:widowControl w:val="0"/>
        <w:numPr>
          <w:ilvl w:val="0"/>
          <w:numId w:val="0"/>
        </w:numPr>
        <w:kinsoku/>
        <w:wordWrap/>
        <w:overflowPunct/>
        <w:topLinePunct w:val="0"/>
        <w:autoSpaceDE/>
        <w:autoSpaceDN/>
        <w:bidi w:val="0"/>
        <w:snapToGrid/>
        <w:spacing w:line="550" w:lineRule="exact"/>
        <w:ind w:right="0" w:rightChars="0" w:firstLine="632"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目前所开展的工作</w:t>
      </w:r>
    </w:p>
    <w:p>
      <w:pPr>
        <w:keepNext w:val="0"/>
        <w:keepLines w:val="0"/>
        <w:pageBreakBefore w:val="0"/>
        <w:widowControl w:val="0"/>
        <w:suppressLineNumbers w:val="0"/>
        <w:kinsoku/>
        <w:wordWrap/>
        <w:overflowPunct/>
        <w:topLinePunct w:val="0"/>
        <w:autoSpaceDE/>
        <w:autoSpaceDN/>
        <w:bidi w:val="0"/>
        <w:adjustRightInd/>
        <w:snapToGrid/>
        <w:spacing w:line="550" w:lineRule="exact"/>
        <w:ind w:right="0" w:rightChars="0" w:firstLine="632"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方正仿宋_GB2312" w:hAnsi="方正仿宋_GB2312" w:eastAsia="方正仿宋_GB2312" w:cs="方正仿宋_GB2312"/>
          <w:b/>
          <w:bCs/>
          <w:sz w:val="32"/>
          <w:szCs w:val="32"/>
          <w:lang w:eastAsia="zh-CN"/>
        </w:rPr>
        <w:t>一是制定文件，提供政策支持。</w:t>
      </w:r>
      <w:r>
        <w:rPr>
          <w:rFonts w:hint="eastAsia" w:ascii="方正仿宋_GB2312" w:hAnsi="方正仿宋_GB2312" w:eastAsia="方正仿宋_GB2312" w:cs="方正仿宋_GB2312"/>
          <w:b w:val="0"/>
          <w:bCs w:val="0"/>
          <w:sz w:val="32"/>
          <w:szCs w:val="32"/>
          <w:lang w:eastAsia="zh-CN"/>
        </w:rPr>
        <w:t>安宁市结合实际制定《</w:t>
      </w:r>
      <w:r>
        <w:rPr>
          <w:rFonts w:hint="eastAsia" w:ascii="方正仿宋_GB2312" w:hAnsi="方正仿宋_GB2312" w:eastAsia="方正仿宋_GB2312" w:cs="方正仿宋_GB2312"/>
          <w:b w:val="0"/>
          <w:bCs w:val="0"/>
          <w:sz w:val="32"/>
          <w:szCs w:val="32"/>
          <w:lang w:val="en-US" w:eastAsia="zh-CN"/>
        </w:rPr>
        <w:t>中共安宁市委安宁市人民政府关于破解教育发展瓶颈加快推进教育现代化 全力建设中国西部县级教育强市的实施见》。意见中明确指出一是加强教师队伍建设，高中按照1：10的师生比配备教师总量，其中，</w:t>
      </w:r>
      <w:r>
        <w:rPr>
          <w:rFonts w:ascii="仿宋_GB2312" w:hAnsi="仿宋_GB2312" w:eastAsia="仿宋_GB2312" w:cs="仿宋_GB2312"/>
          <w:color w:val="000000"/>
          <w:kern w:val="0"/>
          <w:sz w:val="31"/>
          <w:szCs w:val="31"/>
          <w:lang w:val="en-US" w:eastAsia="zh-CN" w:bidi="ar"/>
        </w:rPr>
        <w:t>超过全省中小学教职工编制标准的教师数量纳入合同制教师管理，所需资金由市级财政给予保障</w:t>
      </w:r>
      <w:r>
        <w:rPr>
          <w:rFonts w:hint="eastAsia" w:ascii="仿宋_GB2312" w:hAnsi="仿宋_GB2312" w:eastAsia="仿宋_GB2312" w:cs="仿宋_GB2312"/>
          <w:b/>
          <w:bCs/>
          <w:color w:val="000000"/>
          <w:kern w:val="0"/>
          <w:sz w:val="31"/>
          <w:szCs w:val="31"/>
          <w:lang w:val="en-US" w:eastAsia="zh-CN" w:bidi="ar"/>
        </w:rPr>
        <w:t>。二是高位保障教育投入。</w:t>
      </w:r>
      <w:r>
        <w:rPr>
          <w:rFonts w:ascii="仿宋_GB2312" w:hAnsi="仿宋_GB2312" w:eastAsia="仿宋_GB2312" w:cs="仿宋_GB2312"/>
          <w:color w:val="000000"/>
          <w:kern w:val="0"/>
          <w:sz w:val="31"/>
          <w:szCs w:val="31"/>
          <w:lang w:val="en-US" w:eastAsia="zh-CN" w:bidi="ar"/>
        </w:rPr>
        <w:t xml:space="preserve">从 </w:t>
      </w:r>
      <w:r>
        <w:rPr>
          <w:rFonts w:hint="default" w:ascii="Times New Roman" w:hAnsi="Times New Roman" w:eastAsia="宋体" w:cs="Times New Roman"/>
          <w:color w:val="000000"/>
          <w:kern w:val="0"/>
          <w:sz w:val="31"/>
          <w:szCs w:val="31"/>
          <w:lang w:val="en-US" w:eastAsia="zh-CN" w:bidi="ar"/>
        </w:rPr>
        <w:t xml:space="preserve">2022 </w:t>
      </w:r>
      <w:r>
        <w:rPr>
          <w:rFonts w:ascii="仿宋_GB2312" w:hAnsi="仿宋_GB2312" w:eastAsia="仿宋_GB2312" w:cs="仿宋_GB2312"/>
          <w:color w:val="000000"/>
          <w:kern w:val="0"/>
          <w:sz w:val="31"/>
          <w:szCs w:val="31"/>
          <w:lang w:val="en-US" w:eastAsia="zh-CN" w:bidi="ar"/>
        </w:rPr>
        <w:t xml:space="preserve">年起，市级财政在 </w:t>
      </w:r>
      <w:r>
        <w:rPr>
          <w:rFonts w:hint="default" w:ascii="Times New Roman" w:hAnsi="Times New Roman" w:eastAsia="宋体" w:cs="Times New Roman"/>
          <w:color w:val="000000"/>
          <w:kern w:val="0"/>
          <w:sz w:val="31"/>
          <w:szCs w:val="31"/>
          <w:lang w:val="en-US" w:eastAsia="zh-CN" w:bidi="ar"/>
        </w:rPr>
        <w:t xml:space="preserve">2021 </w:t>
      </w:r>
      <w:r>
        <w:rPr>
          <w:rFonts w:ascii="仿宋_GB2312" w:hAnsi="仿宋_GB2312" w:eastAsia="仿宋_GB2312" w:cs="仿宋_GB2312"/>
          <w:color w:val="000000"/>
          <w:kern w:val="0"/>
          <w:sz w:val="31"/>
          <w:szCs w:val="31"/>
          <w:lang w:val="en-US" w:eastAsia="zh-CN" w:bidi="ar"/>
        </w:rPr>
        <w:t xml:space="preserve">年教育经费保障基础上增加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亿元专项教育发展经费，且保证专项教育发展经费逐年增长，增长比例与市级财政收入增长比例一致</w:t>
      </w:r>
      <w:r>
        <w:rPr>
          <w:rFonts w:hint="eastAsia" w:ascii="仿宋_GB2312" w:hAnsi="仿宋_GB2312" w:eastAsia="仿宋_GB2312" w:cs="仿宋_GB2312"/>
          <w:color w:val="000000"/>
          <w:kern w:val="0"/>
          <w:sz w:val="31"/>
          <w:szCs w:val="31"/>
          <w:lang w:val="en-US" w:eastAsia="zh-CN" w:bidi="ar"/>
        </w:rPr>
        <w:t>，为高中高考改革提供经费保障。</w:t>
      </w:r>
      <w:r>
        <w:rPr>
          <w:rFonts w:hint="eastAsia" w:ascii="仿宋_GB2312" w:hAnsi="仿宋_GB2312" w:eastAsia="仿宋_GB2312" w:cs="仿宋_GB2312"/>
          <w:b/>
          <w:bCs/>
          <w:color w:val="000000"/>
          <w:kern w:val="0"/>
          <w:sz w:val="31"/>
          <w:szCs w:val="31"/>
          <w:lang w:val="en-US" w:eastAsia="zh-CN" w:bidi="ar"/>
        </w:rPr>
        <w:t>三是优化学校资源布局。</w:t>
      </w:r>
      <w:r>
        <w:rPr>
          <w:rFonts w:ascii="仿宋_GB2312" w:hAnsi="仿宋_GB2312" w:eastAsia="仿宋_GB2312" w:cs="仿宋_GB2312"/>
          <w:color w:val="000000"/>
          <w:kern w:val="0"/>
          <w:sz w:val="31"/>
          <w:szCs w:val="31"/>
          <w:lang w:val="en-US" w:eastAsia="zh-CN" w:bidi="ar"/>
        </w:rPr>
        <w:t>根据新型城镇化发展和人口流动变化，坚持“幼儿园就近就便、义务教育学校向中心城镇或居住人口聚集片区集中、高中向城区集中”原则，加快城区和城郊学校建设步伐，着力增加主城区、太平新城和职教园区学位供给，有效解决城区学校“大班额” “大校额”问题。全面有序实施《安宁市教育设施规划（</w:t>
      </w:r>
      <w:r>
        <w:rPr>
          <w:rFonts w:hint="default" w:ascii="Times New Roman" w:hAnsi="Times New Roman" w:eastAsia="宋体" w:cs="Times New Roman"/>
          <w:color w:val="000000"/>
          <w:kern w:val="0"/>
          <w:sz w:val="31"/>
          <w:szCs w:val="31"/>
          <w:lang w:val="en-US" w:eastAsia="zh-CN" w:bidi="ar"/>
        </w:rPr>
        <w:t xml:space="preserve">2018 </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2035</w:t>
      </w:r>
      <w:r>
        <w:rPr>
          <w:rFonts w:ascii="仿宋_GB2312" w:hAnsi="仿宋_GB2312" w:eastAsia="仿宋_GB2312" w:cs="仿宋_GB2312"/>
          <w:color w:val="000000"/>
          <w:kern w:val="0"/>
          <w:sz w:val="31"/>
          <w:szCs w:val="31"/>
          <w:lang w:val="en-US" w:eastAsia="zh-CN" w:bidi="ar"/>
        </w:rPr>
        <w:t>）》中学校建设项目</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snapToGrid/>
        <w:spacing w:line="550" w:lineRule="exact"/>
        <w:ind w:leftChars="0" w:right="0" w:rightChars="0" w:firstLine="632" w:firstLineChars="200"/>
        <w:jc w:val="both"/>
        <w:textAlignment w:val="auto"/>
      </w:pPr>
      <w:r>
        <w:rPr>
          <w:rFonts w:hint="eastAsia" w:ascii="黑体" w:hAnsi="黑体" w:eastAsia="黑体" w:cs="黑体"/>
          <w:color w:val="000000"/>
          <w:kern w:val="0"/>
          <w:sz w:val="32"/>
          <w:szCs w:val="32"/>
          <w:lang w:val="en-US" w:eastAsia="zh-CN" w:bidi="ar"/>
        </w:rPr>
        <w:t>二、下一步工作计划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50" w:lineRule="exact"/>
        <w:ind w:leftChars="0" w:right="0" w:rightChars="0" w:firstLine="612" w:firstLineChars="200"/>
        <w:jc w:val="both"/>
        <w:textAlignment w:val="auto"/>
        <w:rPr>
          <w:rFonts w:hint="eastAsia" w:eastAsia="仿宋_GB2312" w:cs="Times New Roman"/>
          <w:color w:val="000000"/>
          <w:sz w:val="32"/>
          <w:szCs w:val="32"/>
          <w:shd w:val="clear" w:color="auto" w:fill="FFFFFF"/>
          <w:lang w:val="en-US" w:eastAsia="zh-CN"/>
        </w:rPr>
      </w:pPr>
      <w:r>
        <w:rPr>
          <w:rFonts w:hint="eastAsia" w:ascii="仿宋_GB2312" w:hAnsi="仿宋_GB2312" w:eastAsia="仿宋_GB2312" w:cs="仿宋_GB2312"/>
          <w:b/>
          <w:bCs/>
          <w:color w:val="000000"/>
          <w:kern w:val="0"/>
          <w:sz w:val="31"/>
          <w:szCs w:val="31"/>
          <w:lang w:val="en-US" w:eastAsia="zh-CN" w:bidi="ar"/>
        </w:rPr>
        <w:t>一是加强高中教师队伍建设。</w:t>
      </w:r>
      <w:r>
        <w:rPr>
          <w:rFonts w:ascii="宋体" w:hAnsi="宋体" w:eastAsia="宋体" w:cs="宋体"/>
          <w:sz w:val="24"/>
          <w:szCs w:val="24"/>
        </w:rPr>
        <w:t>县</w:t>
      </w:r>
      <w:r>
        <w:rPr>
          <w:rFonts w:ascii="仿宋_GB2312" w:hAnsi="仿宋_GB2312" w:eastAsia="仿宋_GB2312" w:cs="仿宋_GB2312"/>
          <w:color w:val="000000"/>
          <w:kern w:val="0"/>
          <w:sz w:val="31"/>
          <w:szCs w:val="31"/>
          <w:lang w:val="en-US" w:eastAsia="zh-CN" w:bidi="ar"/>
        </w:rPr>
        <w:t>管校聘改革后，为解决各中小学教师结构性缺员和教师结构不优问题，我市建立编内编外相结合的配备机制，按照“幼儿园1:6、小学1:17、初中1:11、高中1:10”的师生比配备教师总量，其中超过全省中小学教职工编制标准的教师数量纳入合同制教师管理，所需经费市级财政予以保障。2022年将新招录95名编内教师和176名中小学合同制教师，确保各中小学顺利开展教育教学工作。</w:t>
      </w:r>
      <w:r>
        <w:rPr>
          <w:rFonts w:hint="eastAsia" w:eastAsia="仿宋_GB2312" w:cs="Times New Roman"/>
          <w:b/>
          <w:bCs/>
          <w:color w:val="000000"/>
          <w:sz w:val="32"/>
          <w:szCs w:val="32"/>
          <w:shd w:val="clear" w:color="auto" w:fill="FFFFFF"/>
          <w:lang w:val="en-US" w:eastAsia="zh-CN"/>
        </w:rPr>
        <w:t>二是加强硬件设施建设和配备。</w:t>
      </w:r>
      <w:r>
        <w:rPr>
          <w:rFonts w:hint="eastAsia" w:eastAsia="仿宋_GB2312" w:cs="Times New Roman"/>
          <w:color w:val="000000"/>
          <w:sz w:val="32"/>
          <w:szCs w:val="32"/>
          <w:shd w:val="clear" w:color="auto" w:fill="FFFFFF"/>
          <w:lang w:val="en-US" w:eastAsia="zh-CN"/>
        </w:rPr>
        <w:t>安宁市于2016年完成昆钢一中改扩建，目前正在推进安宁一中改扩建、安宁中学初中部新建、安宁中学太平学校二期工程（小学部）新建、石江小学新建等项目。待上述工程完成后，通过对关联的义务教育学段招生划片范围、招生班数规模进行适当调整，并对学校内部的教室使用功能分区进行划分，昆钢一中、安宁一中、安宁中学、安宁中学太平学校、石江学校这5所公办高中的普通教室及其他教学用房将更为充裕，满足选课走班的使用需求。 我市的中长期规划中，除上述在建项目外，还根据人口、住宅区情况统筹安排新建高中学校，主要集中在职教园区、温泉、太平新城等片区。根据片区开发情况，将适时启动新建高中学校的建设。</w:t>
      </w:r>
      <w:r>
        <w:rPr>
          <w:rFonts w:hint="eastAsia" w:eastAsia="仿宋_GB2312" w:cs="Times New Roman"/>
          <w:b/>
          <w:bCs/>
          <w:color w:val="000000"/>
          <w:sz w:val="32"/>
          <w:szCs w:val="32"/>
          <w:shd w:val="clear" w:color="auto" w:fill="FFFFFF"/>
          <w:lang w:val="en-US" w:eastAsia="zh-CN"/>
        </w:rPr>
        <w:t>三是为高考改革提供技术支持。</w:t>
      </w:r>
      <w:r>
        <w:rPr>
          <w:rFonts w:hint="eastAsia" w:eastAsia="仿宋_GB2312" w:cs="Times New Roman"/>
          <w:color w:val="000000"/>
          <w:sz w:val="32"/>
          <w:szCs w:val="32"/>
          <w:shd w:val="clear" w:color="auto" w:fill="FFFFFF"/>
          <w:lang w:val="en-US" w:eastAsia="zh-CN"/>
        </w:rPr>
        <w:t>根据省市</w:t>
      </w:r>
      <w:r>
        <w:rPr>
          <w:rFonts w:hint="eastAsia" w:cs="Times New Roman"/>
          <w:color w:val="000000"/>
          <w:sz w:val="32"/>
          <w:szCs w:val="32"/>
          <w:shd w:val="clear" w:color="auto" w:fill="FFFFFF"/>
          <w:lang w:val="en-US" w:eastAsia="zh-CN"/>
        </w:rPr>
        <w:t>新高考改革后对平台建设的</w:t>
      </w:r>
      <w:r>
        <w:rPr>
          <w:rFonts w:hint="eastAsia" w:eastAsia="仿宋_GB2312" w:cs="Times New Roman"/>
          <w:color w:val="000000"/>
          <w:sz w:val="32"/>
          <w:szCs w:val="32"/>
          <w:shd w:val="clear" w:color="auto" w:fill="FFFFFF"/>
          <w:lang w:val="en-US" w:eastAsia="zh-CN"/>
        </w:rPr>
        <w:t>指导意见及要求。</w:t>
      </w:r>
      <w:r>
        <w:rPr>
          <w:rFonts w:hint="eastAsia" w:cs="Times New Roman"/>
          <w:color w:val="000000"/>
          <w:sz w:val="32"/>
          <w:szCs w:val="32"/>
          <w:shd w:val="clear" w:color="auto" w:fill="FFFFFF"/>
          <w:lang w:val="en-US" w:eastAsia="zh-CN"/>
        </w:rPr>
        <w:t>视省市统筹情况及安宁市实际搭建</w:t>
      </w:r>
      <w:r>
        <w:rPr>
          <w:rFonts w:hint="eastAsia" w:eastAsia="仿宋_GB2312" w:cs="Times New Roman"/>
          <w:color w:val="000000"/>
          <w:sz w:val="32"/>
          <w:szCs w:val="32"/>
          <w:shd w:val="clear" w:color="auto" w:fill="FFFFFF"/>
          <w:lang w:val="en-US" w:eastAsia="zh-CN"/>
        </w:rPr>
        <w:t>选课走班、学生生涯规划、综合素质评价等平台或系统，为高考改革提供技术支持。</w:t>
      </w:r>
      <w:r>
        <w:rPr>
          <w:rFonts w:hint="eastAsia" w:eastAsia="仿宋_GB2312" w:cs="Times New Roman"/>
          <w:b/>
          <w:bCs/>
          <w:color w:val="000000"/>
          <w:sz w:val="32"/>
          <w:szCs w:val="32"/>
          <w:shd w:val="clear" w:color="auto" w:fill="FFFFFF"/>
          <w:lang w:val="en-US" w:eastAsia="zh-CN"/>
        </w:rPr>
        <w:t>四是培养一批适应新高考改革的管理干部、高质量的教师队伍。</w:t>
      </w:r>
      <w:r>
        <w:rPr>
          <w:rFonts w:hint="eastAsia" w:eastAsia="仿宋_GB2312" w:cs="Times New Roman"/>
          <w:color w:val="000000"/>
          <w:sz w:val="32"/>
          <w:szCs w:val="32"/>
          <w:shd w:val="clear" w:color="auto" w:fill="FFFFFF"/>
          <w:lang w:val="en-US" w:eastAsia="zh-CN"/>
        </w:rPr>
        <w:t>通过邀请专家开展与新高考改革相关的讲座、论坛或是组织管理干部、骨干教师前往国内高考改革较为成熟的地区参观、访问、学习，不断提高管理干部的领导力，教师的学科教学能力。</w:t>
      </w:r>
    </w:p>
    <w:p>
      <w:pPr>
        <w:keepNext w:val="0"/>
        <w:keepLines w:val="0"/>
        <w:pageBreakBefore w:val="0"/>
        <w:widowControl w:val="0"/>
        <w:kinsoku/>
        <w:wordWrap/>
        <w:overflowPunct/>
        <w:topLinePunct w:val="0"/>
        <w:autoSpaceDE/>
        <w:autoSpaceDN/>
        <w:bidi w:val="0"/>
        <w:snapToGrid/>
        <w:spacing w:line="550" w:lineRule="exact"/>
        <w:ind w:right="0" w:rightChars="0" w:firstLine="632" w:firstLineChars="200"/>
        <w:textAlignment w:val="auto"/>
        <w:rPr>
          <w:rFonts w:hint="eastAsia" w:ascii="Times New Roman" w:hAnsi="Times New Roman" w:eastAsia="仿宋_GB2312" w:cs="仿宋_GB2312"/>
          <w:sz w:val="32"/>
          <w:szCs w:val="20"/>
        </w:rPr>
      </w:pPr>
    </w:p>
    <w:p>
      <w:pPr>
        <w:keepNext w:val="0"/>
        <w:keepLines w:val="0"/>
        <w:pageBreakBefore w:val="0"/>
        <w:widowControl w:val="0"/>
        <w:kinsoku/>
        <w:wordWrap/>
        <w:overflowPunct/>
        <w:topLinePunct w:val="0"/>
        <w:autoSpaceDE/>
        <w:autoSpaceDN/>
        <w:bidi w:val="0"/>
        <w:snapToGrid/>
        <w:spacing w:line="550" w:lineRule="exact"/>
        <w:ind w:right="0" w:rightChars="0" w:firstLine="615"/>
        <w:textAlignment w:val="auto"/>
        <w:rPr>
          <w:rFonts w:hint="default"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cs="仿宋_GB2312"/>
          <w:sz w:val="32"/>
          <w:szCs w:val="20"/>
          <w:lang w:val="en-US" w:eastAsia="zh-CN"/>
        </w:rPr>
        <w:t>曹艳东</w:t>
      </w:r>
      <w:r>
        <w:rPr>
          <w:rFonts w:hint="eastAsia" w:ascii="Times New Roman" w:hAnsi="Times New Roman" w:cs="仿宋_GB2312"/>
          <w:sz w:val="32"/>
          <w:szCs w:val="20"/>
          <w:lang w:val="en-US" w:eastAsia="zh-CN"/>
        </w:rPr>
        <w:t>，13</w:t>
      </w:r>
      <w:r>
        <w:rPr>
          <w:rFonts w:hint="eastAsia" w:cs="仿宋_GB2312"/>
          <w:sz w:val="32"/>
          <w:szCs w:val="20"/>
          <w:lang w:val="en-US" w:eastAsia="zh-CN"/>
        </w:rPr>
        <w:t>577067309</w:t>
      </w: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9"/>
        <w:wordWrap/>
        <w:rPr>
          <w:rFonts w:hint="eastAsia" w:cs="仿宋_GB2312"/>
        </w:rPr>
      </w:pPr>
    </w:p>
    <w:p>
      <w:pPr>
        <w:pStyle w:val="9"/>
        <w:wordWrap/>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pStyle w:val="2"/>
        <w:rPr>
          <w:szCs w:val="32"/>
        </w:rPr>
      </w:pPr>
    </w:p>
    <w:p>
      <w:pPr>
        <w:pStyle w:val="2"/>
        <w:rPr>
          <w:szCs w:val="32"/>
        </w:rPr>
      </w:pPr>
    </w:p>
    <w:p>
      <w:pPr>
        <w:pStyle w:val="2"/>
        <w:rPr>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C924516-9497-4C14-A5AC-4782E0F4E7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02EC1EA-2A2E-4559-A695-16C3E064C191}"/>
  </w:font>
  <w:font w:name="仿宋_GB2312">
    <w:panose1 w:val="02010609030101010101"/>
    <w:charset w:val="86"/>
    <w:family w:val="modern"/>
    <w:pitch w:val="default"/>
    <w:sig w:usb0="00000001" w:usb1="080E0000" w:usb2="00000000" w:usb3="00000000" w:csb0="00040000" w:csb1="00000000"/>
    <w:embedRegular r:id="rId3" w:fontKey="{033FE95E-CFEB-4F5B-A319-7838E040EDEF}"/>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1BB0D329-26E3-4D11-B9E3-ADAE59636AEC}"/>
  </w:font>
  <w:font w:name="方正黑体简体">
    <w:panose1 w:val="03000509000000000000"/>
    <w:charset w:val="86"/>
    <w:family w:val="auto"/>
    <w:pitch w:val="default"/>
    <w:sig w:usb0="00000001" w:usb1="080E0000" w:usb2="00000000" w:usb3="00000000" w:csb0="00040000" w:csb1="00000000"/>
    <w:embedRegular r:id="rId5" w:fontKey="{2053A94A-51B9-48C7-8E2F-E317C49ADE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5EA79CF"/>
    <w:rsid w:val="1A362291"/>
    <w:rsid w:val="1B8C3965"/>
    <w:rsid w:val="206E5913"/>
    <w:rsid w:val="23710071"/>
    <w:rsid w:val="2470324E"/>
    <w:rsid w:val="2690098A"/>
    <w:rsid w:val="270D31DB"/>
    <w:rsid w:val="2F931E2F"/>
    <w:rsid w:val="33407E99"/>
    <w:rsid w:val="39266659"/>
    <w:rsid w:val="3CD2638C"/>
    <w:rsid w:val="3EA16E64"/>
    <w:rsid w:val="3F0834CD"/>
    <w:rsid w:val="473443B2"/>
    <w:rsid w:val="4D1A0910"/>
    <w:rsid w:val="55A25B7C"/>
    <w:rsid w:val="5D3151FB"/>
    <w:rsid w:val="6C807C38"/>
    <w:rsid w:val="6E445903"/>
    <w:rsid w:val="6E7B2095"/>
    <w:rsid w:val="73641171"/>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w:basedOn w:val="1"/>
    <w:next w:val="1"/>
    <w:link w:val="14"/>
    <w:qFormat/>
    <w:uiPriority w:val="0"/>
    <w:pPr>
      <w:ind w:left="271"/>
    </w:pPr>
    <w:rPr>
      <w:rFonts w:ascii="仿宋_GB2312" w:hAnsi="仿宋_GB2312" w:cs="仿宋_GB2312"/>
      <w:szCs w:val="32"/>
      <w:lang w:val="zh-CN" w:bidi="zh-CN"/>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paragraph" w:styleId="9">
    <w:name w:val="Body Text First Indent"/>
    <w:basedOn w:val="4"/>
    <w:qFormat/>
    <w:uiPriority w:val="0"/>
    <w:pPr>
      <w:spacing w:line="312" w:lineRule="auto"/>
      <w:ind w:firstLine="420"/>
    </w:pPr>
    <w:rPr>
      <w:rFonts w:ascii="宋体" w:hAnsi="宋体"/>
    </w:rPr>
  </w:style>
  <w:style w:type="character" w:styleId="12">
    <w:name w:val="page number"/>
    <w:basedOn w:val="11"/>
    <w:qFormat/>
    <w:uiPriority w:val="0"/>
    <w:rPr>
      <w:rFonts w:ascii="Times New Roman" w:hAnsi="Times New Roman" w:eastAsia="方正仿宋简体" w:cs="Times New Roman"/>
      <w:lang w:val="en-US" w:eastAsia="zh-CN" w:bidi="ar-SA"/>
    </w:rPr>
  </w:style>
  <w:style w:type="character" w:customStyle="1" w:styleId="13">
    <w:name w:val="标题 1 Char"/>
    <w:basedOn w:val="11"/>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4">
    <w:name w:val="正文文本 Char"/>
    <w:basedOn w:val="11"/>
    <w:link w:val="4"/>
    <w:qFormat/>
    <w:uiPriority w:val="0"/>
    <w:rPr>
      <w:rFonts w:ascii="仿宋_GB2312" w:hAnsi="仿宋_GB2312" w:eastAsia="方正仿宋简体" w:cs="仿宋_GB2312"/>
      <w:szCs w:val="32"/>
      <w:lang w:val="zh-CN" w:eastAsia="zh-CN" w:bidi="zh-CN"/>
    </w:rPr>
  </w:style>
  <w:style w:type="character" w:customStyle="1" w:styleId="15">
    <w:name w:val="页脚 Char"/>
    <w:basedOn w:val="11"/>
    <w:link w:val="6"/>
    <w:qFormat/>
    <w:uiPriority w:val="0"/>
    <w:rPr>
      <w:rFonts w:ascii="Times New Roman" w:hAnsi="Times New Roman" w:eastAsia="方正仿宋简体" w:cs="Times New Roman"/>
      <w:sz w:val="18"/>
      <w:lang w:val="en-US" w:eastAsia="zh-CN" w:bidi="ar-SA"/>
    </w:rPr>
  </w:style>
  <w:style w:type="character" w:customStyle="1" w:styleId="16">
    <w:name w:val="批注框文本 Char"/>
    <w:basedOn w:val="11"/>
    <w:link w:val="5"/>
    <w:qFormat/>
    <w:uiPriority w:val="0"/>
    <w:rPr>
      <w:rFonts w:ascii="Times New Roman" w:hAnsi="Times New Roman" w:eastAsia="方正仿宋简体" w:cs="Times New Roman"/>
      <w:sz w:val="18"/>
      <w:szCs w:val="18"/>
      <w:lang w:val="en-US" w:eastAsia="zh-CN" w:bidi="ar-SA"/>
    </w:rPr>
  </w:style>
  <w:style w:type="character" w:customStyle="1" w:styleId="17">
    <w:name w:val="NormalCharacter"/>
    <w:semiHidden/>
    <w:qFormat/>
    <w:uiPriority w:val="0"/>
  </w:style>
  <w:style w:type="paragraph" w:styleId="18">
    <w:name w:val="List Paragraph"/>
    <w:basedOn w:val="1"/>
    <w:qFormat/>
    <w:uiPriority w:val="34"/>
    <w:pPr>
      <w:ind w:firstLine="420" w:firstLineChars="200"/>
    </w:pPr>
  </w:style>
  <w:style w:type="paragraph" w:customStyle="1" w:styleId="19">
    <w:name w:val="BodyText1I2"/>
    <w:basedOn w:val="20"/>
    <w:qFormat/>
    <w:uiPriority w:val="0"/>
    <w:pPr>
      <w:ind w:left="0" w:firstLine="420"/>
      <w:jc w:val="both"/>
      <w:textAlignment w:val="baseline"/>
    </w:pPr>
    <w:rPr>
      <w:rFonts w:ascii="Times New Roman" w:hAnsi="Times New Roman" w:eastAsia="仿宋_GB2312"/>
      <w:kern w:val="2"/>
      <w:sz w:val="21"/>
      <w:szCs w:val="24"/>
      <w:lang w:val="en-US" w:eastAsia="zh-CN" w:bidi="ar-SA"/>
    </w:rPr>
  </w:style>
  <w:style w:type="paragraph" w:customStyle="1" w:styleId="20">
    <w:name w:val="BodyTextIndent"/>
    <w:basedOn w:val="1"/>
    <w:qFormat/>
    <w:uiPriority w:val="0"/>
    <w:pPr>
      <w:ind w:left="420"/>
      <w:jc w:val="both"/>
      <w:textAlignment w:val="baseline"/>
    </w:pPr>
    <w:rPr>
      <w:rFonts w:ascii="Times New Roman" w:hAnsi="Times New Roman" w:eastAsia="宋体"/>
      <w:kern w:val="2"/>
      <w:sz w:val="21"/>
      <w:szCs w:val="24"/>
      <w:lang w:val="en-US" w:eastAsia="zh-CN" w:bidi="ar-SA"/>
    </w:rPr>
  </w:style>
  <w:style w:type="paragraph" w:customStyle="1" w:styleId="21">
    <w:name w:val="正文2"/>
    <w:basedOn w:val="1"/>
    <w:qFormat/>
    <w:uiPriority w:val="0"/>
    <w:pPr>
      <w:ind w:firstLine="200" w:firstLineChars="200"/>
    </w:pPr>
    <w:rPr>
      <w:color w:val="000000"/>
      <w:sz w:val="24"/>
    </w:rPr>
  </w:style>
  <w:style w:type="character" w:customStyle="1" w:styleId="22">
    <w:name w:val="UserStyle_3"/>
    <w:semiHidden/>
    <w:qFormat/>
    <w:uiPriority w:val="0"/>
  </w:style>
  <w:style w:type="character" w:customStyle="1" w:styleId="23">
    <w:name w:val="UserStyle_0"/>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4</Pages>
  <Words>1334</Words>
  <Characters>1391</Characters>
  <Lines>11</Lines>
  <Paragraphs>10</Paragraphs>
  <TotalTime>4</TotalTime>
  <ScaleCrop>false</ScaleCrop>
  <LinksUpToDate>false</LinksUpToDate>
  <CharactersWithSpaces>1439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907ADF56464A4D8688CB570D0937A573</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