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cs="Times New Roman"/>
          <w:sz w:val="38"/>
          <w:szCs w:val="38"/>
        </w:rPr>
      </w:pPr>
      <w:r>
        <w:rPr>
          <w:rFonts w:hint="eastAsia" w:ascii="Times New Roman" w:hAnsi="Times New Roman" w:eastAsia="方正小标宋_GBK" w:cs="Times New Roman"/>
          <w:sz w:val="38"/>
          <w:szCs w:val="38"/>
        </w:rPr>
        <w:t>昆明市</w:t>
      </w:r>
      <w:r>
        <w:rPr>
          <w:rFonts w:ascii="Times New Roman" w:hAnsi="Times New Roman" w:eastAsia="方正小标宋_GBK" w:cs="Times New Roman"/>
          <w:sz w:val="38"/>
          <w:szCs w:val="38"/>
        </w:rPr>
        <w:t>环境违法行为自由裁量基准及计算方法</w:t>
      </w:r>
      <w:r>
        <w:rPr>
          <w:rFonts w:hint="eastAsia" w:ascii="Times New Roman" w:hAnsi="Times New Roman" w:eastAsia="方正小标宋_GBK" w:cs="Times New Roman"/>
          <w:sz w:val="38"/>
          <w:szCs w:val="38"/>
        </w:rPr>
        <w:t>适用举例</w:t>
      </w:r>
    </w:p>
    <w:p>
      <w:pPr>
        <w:adjustRightInd w:val="0"/>
        <w:snapToGrid w:val="0"/>
        <w:spacing w:line="408"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adjustRightInd w:val="0"/>
        <w:snapToGrid w:val="0"/>
        <w:spacing w:line="360" w:lineRule="auto"/>
        <w:ind w:firstLine="1200" w:firstLineChars="400"/>
        <w:outlineLvl w:val="0"/>
        <w:rPr>
          <w:rFonts w:ascii="仿宋" w:hAnsi="仿宋" w:eastAsia="仿宋" w:cs="Times New Roman"/>
          <w:bCs/>
          <w:sz w:val="30"/>
          <w:szCs w:val="30"/>
        </w:rPr>
      </w:pPr>
      <w:bookmarkStart w:id="0" w:name="_Toc3159"/>
      <w:bookmarkStart w:id="1" w:name="_Toc12470"/>
      <w:r>
        <w:rPr>
          <w:rFonts w:hint="eastAsia" w:ascii="仿宋" w:hAnsi="仿宋" w:eastAsia="仿宋" w:cs="Times New Roman"/>
          <w:bCs/>
          <w:sz w:val="30"/>
          <w:szCs w:val="30"/>
        </w:rPr>
        <w:t>一、</w:t>
      </w:r>
      <w:r>
        <w:rPr>
          <w:rFonts w:ascii="仿宋" w:hAnsi="仿宋" w:eastAsia="仿宋" w:cs="Times New Roman"/>
          <w:bCs/>
          <w:sz w:val="30"/>
          <w:szCs w:val="30"/>
        </w:rPr>
        <w:t>违法行为裁量</w:t>
      </w:r>
      <w:bookmarkEnd w:id="0"/>
      <w:bookmarkEnd w:id="1"/>
      <w:r>
        <w:rPr>
          <w:rFonts w:ascii="仿宋" w:hAnsi="仿宋" w:eastAsia="仿宋" w:cs="Times New Roman"/>
          <w:bCs/>
          <w:sz w:val="30"/>
          <w:szCs w:val="30"/>
        </w:rPr>
        <w:t>基准</w:t>
      </w:r>
    </w:p>
    <w:p>
      <w:pPr>
        <w:ind w:firstLine="900" w:firstLineChars="300"/>
        <w:rPr>
          <w:rFonts w:ascii="Times New Roman" w:hAnsi="Times New Roman" w:eastAsia="楷体" w:cs="Times New Roman"/>
          <w:sz w:val="30"/>
          <w:szCs w:val="30"/>
        </w:rPr>
      </w:pPr>
      <w:r>
        <w:rPr>
          <w:rFonts w:hint="eastAsia" w:ascii="仿宋" w:hAnsi="仿宋" w:eastAsia="仿宋" w:cs="Times New Roman"/>
          <w:bCs/>
          <w:sz w:val="30"/>
          <w:szCs w:val="30"/>
        </w:rPr>
        <w:t>（一）违法行为个性裁量基准（以“未批先建”违法行为为例）</w:t>
      </w:r>
    </w:p>
    <w:p>
      <w:pPr>
        <w:jc w:val="center"/>
      </w:pPr>
      <w:bookmarkStart w:id="9" w:name="_GoBack"/>
      <w:bookmarkEnd w:id="9"/>
    </w:p>
    <w:tbl>
      <w:tblPr>
        <w:tblStyle w:val="7"/>
        <w:tblW w:w="1375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2"/>
        <w:gridCol w:w="3392"/>
        <w:gridCol w:w="3110"/>
        <w:gridCol w:w="708"/>
        <w:gridCol w:w="1696"/>
        <w:gridCol w:w="708"/>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5"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序号</w:t>
            </w:r>
          </w:p>
        </w:tc>
        <w:tc>
          <w:tcPr>
            <w:tcW w:w="993"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违法行为</w:t>
            </w:r>
          </w:p>
        </w:tc>
        <w:tc>
          <w:tcPr>
            <w:tcW w:w="3402"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违反条款</w:t>
            </w:r>
          </w:p>
        </w:tc>
        <w:tc>
          <w:tcPr>
            <w:tcW w:w="3118"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处罚依据</w:t>
            </w:r>
          </w:p>
        </w:tc>
        <w:tc>
          <w:tcPr>
            <w:tcW w:w="709"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裁量因素</w:t>
            </w:r>
          </w:p>
        </w:tc>
        <w:tc>
          <w:tcPr>
            <w:tcW w:w="1700"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判定标准</w:t>
            </w:r>
          </w:p>
        </w:tc>
        <w:tc>
          <w:tcPr>
            <w:tcW w:w="709"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裁量</w:t>
            </w:r>
          </w:p>
          <w:p>
            <w:pPr>
              <w:spacing w:line="240" w:lineRule="atLeast"/>
              <w:jc w:val="center"/>
              <w:rPr>
                <w:rFonts w:ascii="宋体" w:hAnsi="宋体" w:eastAsia="宋体"/>
                <w:b/>
                <w:bCs/>
                <w:sz w:val="24"/>
                <w:szCs w:val="24"/>
              </w:rPr>
            </w:pPr>
            <w:r>
              <w:rPr>
                <w:rFonts w:hint="eastAsia" w:ascii="宋体" w:hAnsi="宋体" w:eastAsia="宋体"/>
                <w:b/>
                <w:bCs/>
                <w:sz w:val="24"/>
                <w:szCs w:val="24"/>
              </w:rPr>
              <w:t>等级</w:t>
            </w:r>
          </w:p>
        </w:tc>
        <w:tc>
          <w:tcPr>
            <w:tcW w:w="2694" w:type="dxa"/>
            <w:shd w:val="clear" w:color="auto" w:fill="D9E2F3" w:themeFill="accent1" w:themeFillTint="33"/>
            <w:vAlign w:val="center"/>
          </w:tcPr>
          <w:p>
            <w:pPr>
              <w:spacing w:line="240" w:lineRule="atLeast"/>
              <w:jc w:val="center"/>
              <w:rPr>
                <w:rFonts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shd w:val="clear" w:color="auto" w:fill="FFFFFF" w:themeFill="background1"/>
            <w:vAlign w:val="center"/>
          </w:tcPr>
          <w:p>
            <w:pPr>
              <w:jc w:val="center"/>
              <w:rPr>
                <w:b/>
                <w:bCs/>
                <w:szCs w:val="21"/>
              </w:rPr>
            </w:pPr>
            <w:r>
              <w:rPr>
                <w:rFonts w:hint="eastAsia"/>
                <w:b/>
                <w:bCs/>
                <w:szCs w:val="21"/>
              </w:rPr>
              <w:t>1</w:t>
            </w:r>
          </w:p>
        </w:tc>
        <w:tc>
          <w:tcPr>
            <w:tcW w:w="993" w:type="dxa"/>
            <w:vMerge w:val="restart"/>
            <w:vAlign w:val="center"/>
          </w:tcPr>
          <w:p>
            <w:pPr>
              <w:jc w:val="center"/>
              <w:rPr>
                <w:rFonts w:ascii="宋体" w:hAnsi="宋体" w:eastAsia="宋体"/>
                <w:b/>
                <w:bCs/>
                <w:szCs w:val="21"/>
              </w:rPr>
            </w:pPr>
            <w:r>
              <w:rPr>
                <w:rFonts w:ascii="宋体" w:hAnsi="宋体" w:eastAsia="宋体"/>
                <w:b/>
                <w:bCs/>
                <w:szCs w:val="21"/>
              </w:rPr>
              <w:t>违反环境影响评价制度的行为（未批先建）</w:t>
            </w:r>
          </w:p>
        </w:tc>
        <w:tc>
          <w:tcPr>
            <w:tcW w:w="3402" w:type="dxa"/>
            <w:vMerge w:val="restart"/>
            <w:vAlign w:val="center"/>
          </w:tcPr>
          <w:p>
            <w:pPr>
              <w:widowControl/>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1.《中华人民共和国环境影响评价法》第二十四条　建设项目的环境影响评价文件经批准后，建设项目的性质、规模、地点、采用的生产工艺或者防治污染、防止生态破坏的措施发生重大变动的，建设单位应当重新报批建设项目的环境影响评价文件。</w:t>
            </w:r>
          </w:p>
          <w:p>
            <w:pPr>
              <w:widowControl/>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widowControl/>
              <w:shd w:val="clear" w:color="auto" w:fill="FFFFFF"/>
              <w:spacing w:line="300" w:lineRule="exac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第二十五条　建设项目的环境影响评价文件未依法经审批部门审查或者审查后未予批准的，建设单位不得开工建设。</w:t>
            </w:r>
          </w:p>
          <w:p>
            <w:pPr>
              <w:widowControl/>
              <w:shd w:val="clear" w:color="auto" w:fill="FFFFFF"/>
              <w:spacing w:line="300" w:lineRule="exact"/>
              <w:rPr>
                <w:rFonts w:ascii="Times New Roman" w:hAnsi="Times New Roman" w:eastAsia="宋体" w:cs="Times New Roman"/>
                <w:kern w:val="0"/>
                <w:szCs w:val="21"/>
                <w:shd w:val="clear" w:color="auto" w:fill="FFFFFF"/>
              </w:rPr>
            </w:pPr>
            <w:r>
              <w:rPr>
                <w:rFonts w:ascii="Times New Roman" w:hAnsi="Times New Roman" w:eastAsia="宋体" w:cs="Times New Roman"/>
                <w:bCs/>
                <w:kern w:val="0"/>
                <w:szCs w:val="21"/>
                <w:shd w:val="clear" w:color="auto" w:fill="FFFFFF"/>
              </w:rPr>
              <w:t>2.《建设项目环境保护管理条例》第九条第一款</w:t>
            </w:r>
            <w:r>
              <w:rPr>
                <w:rFonts w:ascii="Times New Roman" w:hAnsi="Times New Roman" w:eastAsia="宋体" w:cs="Times New Roman"/>
                <w:kern w:val="0"/>
                <w:szCs w:val="21"/>
                <w:shd w:val="clear" w:color="auto" w:fill="FFFFFF"/>
              </w:rPr>
              <w:t>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widowControl/>
              <w:shd w:val="clear" w:color="auto" w:fill="FFFFFF"/>
              <w:spacing w:line="300" w:lineRule="exact"/>
              <w:rPr>
                <w:rFonts w:ascii="Times New Roman" w:hAnsi="Times New Roman" w:eastAsia="宋体" w:cs="Times New Roman"/>
                <w:kern w:val="0"/>
                <w:szCs w:val="21"/>
              </w:rPr>
            </w:pPr>
            <w:r>
              <w:rPr>
                <w:rFonts w:ascii="Times New Roman" w:hAnsi="Times New Roman" w:eastAsia="宋体" w:cs="Times New Roman"/>
                <w:bCs/>
                <w:kern w:val="0"/>
                <w:szCs w:val="21"/>
                <w:shd w:val="clear" w:color="auto" w:fill="FFFFFF"/>
              </w:rPr>
              <w:t>第十二条第一款、第二款</w:t>
            </w:r>
            <w:r>
              <w:rPr>
                <w:rFonts w:ascii="Times New Roman" w:hAnsi="Times New Roman" w:eastAsia="宋体" w:cs="Times New Roman"/>
                <w:kern w:val="0"/>
                <w:szCs w:val="21"/>
                <w:shd w:val="clear" w:color="auto" w:fill="FFFFFF"/>
              </w:rPr>
              <w:t>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rPr>
                <w:szCs w:val="21"/>
              </w:rPr>
            </w:pPr>
            <w:r>
              <w:rPr>
                <w:rFonts w:ascii="Times New Roman" w:hAnsi="Times New Roman" w:eastAsia="宋体" w:cs="Times New Roman"/>
                <w:szCs w:val="21"/>
                <w:shd w:val="clear" w:color="auto" w:fill="FFFFFF"/>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tc>
        <w:tc>
          <w:tcPr>
            <w:tcW w:w="3118" w:type="dxa"/>
            <w:vMerge w:val="restart"/>
            <w:vAlign w:val="center"/>
          </w:tcPr>
          <w:p>
            <w:pPr>
              <w:widowControl/>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1.《中华人民共和国环境影响评价法》第三十一条第一款、第二款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建设项目环境影响报告书、报告表未经批准或者未经原审批部门重新审核同意，建设单位擅自开工建设的，依照前款的规定处罚、处分。</w:t>
            </w:r>
          </w:p>
          <w:p>
            <w:pPr>
              <w:widowControl/>
              <w:shd w:val="clear" w:color="auto" w:fill="FFFFFF"/>
              <w:spacing w:line="300" w:lineRule="exact"/>
              <w:rPr>
                <w:rFonts w:ascii="Times New Roman" w:hAnsi="Times New Roman" w:eastAsia="宋体" w:cs="Times New Roman"/>
                <w:kern w:val="0"/>
                <w:szCs w:val="21"/>
              </w:rPr>
            </w:pPr>
            <w:r>
              <w:rPr>
                <w:rFonts w:ascii="Times New Roman" w:hAnsi="Times New Roman" w:eastAsia="宋体" w:cs="Times New Roman"/>
                <w:bCs/>
                <w:kern w:val="0"/>
                <w:szCs w:val="21"/>
                <w:shd w:val="clear" w:color="auto" w:fill="FFFFFF"/>
              </w:rPr>
              <w:t>2.《建设项目环境保护管理条例》第二十一条第一款、第二款</w:t>
            </w:r>
            <w:r>
              <w:rPr>
                <w:rFonts w:ascii="Times New Roman" w:hAnsi="Times New Roman" w:eastAsia="宋体" w:cs="Times New Roman"/>
                <w:kern w:val="0"/>
                <w:szCs w:val="21"/>
                <w:shd w:val="clear" w:color="auto" w:fill="FFFFFF"/>
              </w:rPr>
              <w:t>　建设单位有下列行为之一的，依照《中华人民共和国环境影响评价法》的规定处罚：（一）建设项目环境影响报告书、环境影响报告表未依法报批或者报请重新审核，擅自开工建设；</w:t>
            </w:r>
            <w:r>
              <w:rPr>
                <w:rFonts w:ascii="Times New Roman" w:hAnsi="Times New Roman" w:eastAsia="宋体" w:cs="Times New Roman"/>
                <w:szCs w:val="21"/>
                <w:shd w:val="clear" w:color="auto" w:fill="FFFFFF"/>
              </w:rPr>
              <w:t>（二）建设项目环境影响报告书、环境影响报告表未经批准或者重新审核同意，擅自开工建设。</w:t>
            </w:r>
          </w:p>
        </w:tc>
        <w:tc>
          <w:tcPr>
            <w:tcW w:w="709" w:type="dxa"/>
            <w:vMerge w:val="restart"/>
            <w:vAlign w:val="center"/>
          </w:tcPr>
          <w:p>
            <w:pPr>
              <w:rPr>
                <w:szCs w:val="21"/>
              </w:rPr>
            </w:pPr>
            <w:r>
              <w:rPr>
                <w:rFonts w:ascii="Times New Roman" w:hAnsi="Times New Roman"/>
                <w:kern w:val="0"/>
                <w:szCs w:val="21"/>
              </w:rPr>
              <w:t>项目应报批的环评文件类别</w:t>
            </w:r>
          </w:p>
        </w:tc>
        <w:tc>
          <w:tcPr>
            <w:tcW w:w="1700" w:type="dxa"/>
            <w:vAlign w:val="center"/>
          </w:tcPr>
          <w:p>
            <w:pPr>
              <w:rPr>
                <w:szCs w:val="21"/>
              </w:rPr>
            </w:pPr>
            <w:r>
              <w:rPr>
                <w:rFonts w:ascii="Times New Roman" w:hAnsi="Times New Roman"/>
                <w:kern w:val="0"/>
                <w:szCs w:val="21"/>
              </w:rPr>
              <w:t>报告表（非生产型）</w:t>
            </w:r>
          </w:p>
        </w:tc>
        <w:tc>
          <w:tcPr>
            <w:tcW w:w="709" w:type="dxa"/>
            <w:vAlign w:val="center"/>
          </w:tcPr>
          <w:p>
            <w:pPr>
              <w:jc w:val="center"/>
              <w:rPr>
                <w:szCs w:val="21"/>
              </w:rPr>
            </w:pPr>
            <w:r>
              <w:rPr>
                <w:rFonts w:ascii="Times New Roman" w:hAnsi="Times New Roman"/>
                <w:kern w:val="0"/>
                <w:szCs w:val="21"/>
              </w:rPr>
              <w:t>1</w:t>
            </w:r>
          </w:p>
        </w:tc>
        <w:tc>
          <w:tcPr>
            <w:tcW w:w="2694" w:type="dxa"/>
            <w:vMerge w:val="restart"/>
            <w:vAlign w:val="center"/>
          </w:tcPr>
          <w:p>
            <w:pPr>
              <w:rPr>
                <w:rFonts w:ascii="宋体" w:hAnsi="宋体" w:eastAsia="宋体"/>
                <w:kern w:val="0"/>
                <w:szCs w:val="21"/>
              </w:rPr>
            </w:pPr>
          </w:p>
          <w:p>
            <w:pPr>
              <w:rPr>
                <w:rFonts w:ascii="宋体" w:hAnsi="宋体" w:eastAsia="宋体"/>
                <w:szCs w:val="21"/>
              </w:rPr>
            </w:pPr>
            <w:r>
              <w:rPr>
                <w:rFonts w:ascii="宋体" w:hAnsi="宋体" w:eastAsia="宋体"/>
                <w:kern w:val="0"/>
                <w:szCs w:val="21"/>
              </w:rPr>
              <w:t>N=总投资额×1%，M=总投资额×5%。</w:t>
            </w:r>
            <w:r>
              <w:rPr>
                <w:rFonts w:ascii="宋体" w:hAnsi="宋体" w:eastAsia="宋体"/>
                <w:szCs w:val="21"/>
                <w:lang w:bidi="ar"/>
              </w:rPr>
              <w:t>建设项目总投资额的认定，按照生态环境部 国家发展和改革委员会《关于生态环境执法中建设项目“总投资额”认定问题的指导意见（试行）》的规定，根据下列规则顺序进行：（1）依据审批制管理项目的审批文件认定；（2）依据核准制管理项目的核准文件认定；（3）依据备案制管理项目的备案金额认定；</w:t>
            </w:r>
            <w:r>
              <w:rPr>
                <w:rFonts w:ascii="宋体" w:hAnsi="宋体" w:eastAsia="宋体"/>
                <w:color w:val="FF0000"/>
                <w:szCs w:val="21"/>
                <w:lang w:bidi="ar"/>
              </w:rPr>
              <w:t>（4）对正在建设过程中的建设项目，</w:t>
            </w:r>
            <w:r>
              <w:rPr>
                <w:rFonts w:hint="eastAsia" w:ascii="宋体" w:hAnsi="宋体" w:eastAsia="宋体"/>
                <w:color w:val="FF0000"/>
                <w:szCs w:val="21"/>
                <w:lang w:bidi="ar"/>
              </w:rPr>
              <w:t>不能</w:t>
            </w:r>
            <w:r>
              <w:rPr>
                <w:rFonts w:ascii="宋体" w:hAnsi="宋体" w:eastAsia="宋体"/>
                <w:color w:val="FF0000"/>
                <w:szCs w:val="21"/>
                <w:lang w:bidi="ar"/>
              </w:rPr>
              <w:t>根据实际发生的投资额来认定；</w:t>
            </w:r>
            <w:r>
              <w:rPr>
                <w:rFonts w:ascii="宋体" w:hAnsi="宋体" w:eastAsia="宋体"/>
                <w:szCs w:val="21"/>
                <w:lang w:bidi="ar"/>
              </w:rPr>
              <w:t>（5）委托第三方专业机构来认定</w:t>
            </w:r>
            <w:r>
              <w:rPr>
                <w:rFonts w:hint="eastAsia" w:ascii="宋体" w:hAnsi="宋体" w:eastAsia="宋体"/>
                <w:szCs w:val="21"/>
                <w:lang w:bidi="ar"/>
              </w:rPr>
              <w:t>，</w:t>
            </w:r>
            <w:r>
              <w:rPr>
                <w:rFonts w:hint="eastAsia" w:ascii="宋体" w:hAnsi="宋体" w:eastAsia="宋体"/>
                <w:color w:val="000000"/>
                <w:shd w:val="clear" w:color="auto" w:fill="FFFFFF"/>
              </w:rPr>
              <w:t>对已经全部建成并投入生产或者使用的建设项目，项目单位能够证明项目实际投资额与审批、核准文件或者备案信息不一致的，根据该建设项目实际全部投资额认定总投资额</w:t>
            </w:r>
            <w:r>
              <w:rPr>
                <w:rFonts w:hint="eastAsia" w:ascii="宋体" w:hAnsi="宋体" w:eastAsia="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FFFFF" w:themeFill="background1"/>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vAlign w:val="center"/>
          </w:tcPr>
          <w:p>
            <w:pPr>
              <w:rPr>
                <w:szCs w:val="21"/>
              </w:rPr>
            </w:pPr>
          </w:p>
        </w:tc>
        <w:tc>
          <w:tcPr>
            <w:tcW w:w="1700" w:type="dxa"/>
            <w:vAlign w:val="center"/>
          </w:tcPr>
          <w:p>
            <w:pPr>
              <w:rPr>
                <w:szCs w:val="21"/>
              </w:rPr>
            </w:pPr>
            <w:r>
              <w:rPr>
                <w:rFonts w:ascii="Times New Roman" w:hAnsi="Times New Roman"/>
                <w:kern w:val="0"/>
                <w:szCs w:val="21"/>
              </w:rPr>
              <w:t>报告表（生产型）</w:t>
            </w:r>
          </w:p>
        </w:tc>
        <w:tc>
          <w:tcPr>
            <w:tcW w:w="709" w:type="dxa"/>
            <w:vAlign w:val="center"/>
          </w:tcPr>
          <w:p>
            <w:pPr>
              <w:jc w:val="center"/>
              <w:rPr>
                <w:szCs w:val="21"/>
              </w:rPr>
            </w:pPr>
            <w:r>
              <w:rPr>
                <w:rFonts w:ascii="Times New Roman" w:hAnsi="Times New Roman"/>
                <w:kern w:val="0"/>
                <w:szCs w:val="21"/>
              </w:rPr>
              <w:t>2</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FFFFF" w:themeFill="background1"/>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vAlign w:val="center"/>
          </w:tcPr>
          <w:p>
            <w:pPr>
              <w:rPr>
                <w:szCs w:val="21"/>
              </w:rPr>
            </w:pPr>
          </w:p>
        </w:tc>
        <w:tc>
          <w:tcPr>
            <w:tcW w:w="1700" w:type="dxa"/>
            <w:vAlign w:val="center"/>
          </w:tcPr>
          <w:p>
            <w:pPr>
              <w:rPr>
                <w:szCs w:val="21"/>
              </w:rPr>
            </w:pPr>
            <w:r>
              <w:rPr>
                <w:rFonts w:ascii="Times New Roman" w:hAnsi="Times New Roman"/>
                <w:kern w:val="0"/>
                <w:szCs w:val="21"/>
              </w:rPr>
              <w:t>报告书（非生产型）</w:t>
            </w:r>
          </w:p>
        </w:tc>
        <w:tc>
          <w:tcPr>
            <w:tcW w:w="709" w:type="dxa"/>
            <w:vAlign w:val="center"/>
          </w:tcPr>
          <w:p>
            <w:pPr>
              <w:jc w:val="center"/>
              <w:rPr>
                <w:szCs w:val="21"/>
              </w:rPr>
            </w:pPr>
            <w:r>
              <w:rPr>
                <w:rFonts w:ascii="Times New Roman" w:hAnsi="Times New Roman"/>
                <w:kern w:val="0"/>
                <w:szCs w:val="21"/>
              </w:rPr>
              <w:t>3</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FFFFF" w:themeFill="background1"/>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vAlign w:val="center"/>
          </w:tcPr>
          <w:p>
            <w:pPr>
              <w:rPr>
                <w:szCs w:val="21"/>
              </w:rPr>
            </w:pPr>
          </w:p>
        </w:tc>
        <w:tc>
          <w:tcPr>
            <w:tcW w:w="1700" w:type="dxa"/>
            <w:vAlign w:val="center"/>
          </w:tcPr>
          <w:p>
            <w:pPr>
              <w:rPr>
                <w:szCs w:val="21"/>
              </w:rPr>
            </w:pPr>
            <w:r>
              <w:rPr>
                <w:rFonts w:ascii="Times New Roman" w:hAnsi="Times New Roman"/>
                <w:kern w:val="0"/>
                <w:szCs w:val="21"/>
              </w:rPr>
              <w:t>报告书</w:t>
            </w:r>
          </w:p>
        </w:tc>
        <w:tc>
          <w:tcPr>
            <w:tcW w:w="709" w:type="dxa"/>
            <w:vAlign w:val="center"/>
          </w:tcPr>
          <w:p>
            <w:pPr>
              <w:jc w:val="center"/>
              <w:rPr>
                <w:szCs w:val="21"/>
              </w:rPr>
            </w:pPr>
            <w:r>
              <w:rPr>
                <w:rFonts w:ascii="Times New Roman" w:hAnsi="Times New Roman"/>
                <w:kern w:val="0"/>
                <w:szCs w:val="21"/>
              </w:rPr>
              <w:t>4</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FFFFF" w:themeFill="background1"/>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vAlign w:val="center"/>
          </w:tcPr>
          <w:p>
            <w:pPr>
              <w:rPr>
                <w:szCs w:val="21"/>
              </w:rPr>
            </w:pPr>
          </w:p>
        </w:tc>
        <w:tc>
          <w:tcPr>
            <w:tcW w:w="1700" w:type="dxa"/>
            <w:vAlign w:val="center"/>
          </w:tcPr>
          <w:p>
            <w:pPr>
              <w:rPr>
                <w:szCs w:val="21"/>
              </w:rPr>
            </w:pPr>
            <w:r>
              <w:rPr>
                <w:rFonts w:ascii="Times New Roman" w:hAnsi="Times New Roman"/>
                <w:spacing w:val="-4"/>
                <w:kern w:val="0"/>
                <w:szCs w:val="21"/>
              </w:rPr>
              <w:t>报告书（化工、电镀、皮革、造纸、制浆、冶炼、放射性、印染、染料、炼焦、炼油项目）</w:t>
            </w:r>
          </w:p>
        </w:tc>
        <w:tc>
          <w:tcPr>
            <w:tcW w:w="709" w:type="dxa"/>
            <w:vAlign w:val="center"/>
          </w:tcPr>
          <w:p>
            <w:pPr>
              <w:jc w:val="center"/>
              <w:rPr>
                <w:szCs w:val="21"/>
              </w:rPr>
            </w:pPr>
            <w:r>
              <w:rPr>
                <w:rFonts w:ascii="Times New Roman" w:hAnsi="Times New Roman"/>
                <w:kern w:val="0"/>
                <w:szCs w:val="21"/>
              </w:rPr>
              <w:t>5</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restart"/>
            <w:vAlign w:val="bottom"/>
          </w:tcPr>
          <w:p>
            <w:pPr>
              <w:rPr>
                <w:rFonts w:ascii="Times New Roman" w:hAnsi="Times New Roman"/>
                <w:kern w:val="0"/>
                <w:szCs w:val="21"/>
              </w:rPr>
            </w:pPr>
          </w:p>
          <w:p>
            <w:pPr>
              <w:rPr>
                <w:szCs w:val="21"/>
              </w:rPr>
            </w:pPr>
            <w:r>
              <w:rPr>
                <w:rFonts w:ascii="Times New Roman" w:hAnsi="Times New Roman"/>
                <w:kern w:val="0"/>
                <w:szCs w:val="21"/>
              </w:rPr>
              <w:t>项目建设地点</w:t>
            </w:r>
          </w:p>
        </w:tc>
        <w:tc>
          <w:tcPr>
            <w:tcW w:w="1700" w:type="dxa"/>
            <w:shd w:val="clear" w:color="000000" w:fill="FFFFFF"/>
            <w:vAlign w:val="center"/>
          </w:tcPr>
          <w:p>
            <w:pPr>
              <w:rPr>
                <w:szCs w:val="21"/>
              </w:rPr>
            </w:pPr>
            <w:r>
              <w:rPr>
                <w:rFonts w:ascii="Times New Roman" w:hAnsi="Times New Roman"/>
                <w:kern w:val="0"/>
                <w:szCs w:val="21"/>
              </w:rPr>
              <w:t>符合环境功能规划</w:t>
            </w:r>
          </w:p>
        </w:tc>
        <w:tc>
          <w:tcPr>
            <w:tcW w:w="709" w:type="dxa"/>
            <w:vAlign w:val="center"/>
          </w:tcPr>
          <w:p>
            <w:pPr>
              <w:jc w:val="center"/>
              <w:rPr>
                <w:szCs w:val="21"/>
              </w:rPr>
            </w:pPr>
            <w:r>
              <w:rPr>
                <w:rFonts w:ascii="Times New Roman" w:hAnsi="Times New Roman"/>
                <w:kern w:val="0"/>
                <w:szCs w:val="21"/>
              </w:rPr>
              <w:t>1</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rFonts w:ascii="Times New Roman" w:hAnsi="Times New Roman"/>
                <w:kern w:val="0"/>
                <w:szCs w:val="21"/>
              </w:rPr>
            </w:pPr>
          </w:p>
        </w:tc>
        <w:tc>
          <w:tcPr>
            <w:tcW w:w="1700" w:type="dxa"/>
            <w:shd w:val="clear" w:color="000000" w:fill="FFFFFF"/>
            <w:vAlign w:val="center"/>
          </w:tcPr>
          <w:p>
            <w:pPr>
              <w:rPr>
                <w:szCs w:val="21"/>
              </w:rPr>
            </w:pPr>
            <w:r>
              <w:rPr>
                <w:rFonts w:ascii="Times New Roman" w:hAnsi="Times New Roman"/>
                <w:kern w:val="0"/>
                <w:szCs w:val="21"/>
              </w:rPr>
              <w:t>不符合环境功能规划但不在保护区</w:t>
            </w:r>
          </w:p>
        </w:tc>
        <w:tc>
          <w:tcPr>
            <w:tcW w:w="709" w:type="dxa"/>
            <w:vAlign w:val="center"/>
          </w:tcPr>
          <w:p>
            <w:pPr>
              <w:jc w:val="center"/>
              <w:rPr>
                <w:szCs w:val="21"/>
              </w:rPr>
            </w:pPr>
            <w:r>
              <w:rPr>
                <w:rFonts w:ascii="Times New Roman" w:hAnsi="Times New Roman"/>
                <w:kern w:val="0"/>
                <w:szCs w:val="21"/>
              </w:rPr>
              <w:t>2</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szCs w:val="21"/>
              </w:rPr>
            </w:pPr>
            <w:r>
              <w:rPr>
                <w:rFonts w:ascii="Times New Roman" w:hAnsi="Times New Roman"/>
                <w:kern w:val="0"/>
                <w:szCs w:val="21"/>
              </w:rPr>
              <w:t>位于</w:t>
            </w:r>
            <w:r>
              <w:rPr>
                <w:rFonts w:hint="eastAsia" w:ascii="Times New Roman" w:hAnsi="Times New Roman"/>
                <w:kern w:val="0"/>
                <w:szCs w:val="21"/>
              </w:rPr>
              <w:t>自然保护区实验区/饮用水水源准保护区</w:t>
            </w:r>
          </w:p>
        </w:tc>
        <w:tc>
          <w:tcPr>
            <w:tcW w:w="709" w:type="dxa"/>
            <w:vAlign w:val="center"/>
          </w:tcPr>
          <w:p>
            <w:pPr>
              <w:jc w:val="center"/>
              <w:rPr>
                <w:szCs w:val="21"/>
              </w:rPr>
            </w:pPr>
            <w:r>
              <w:rPr>
                <w:rFonts w:ascii="Times New Roman" w:hAnsi="Times New Roman"/>
                <w:kern w:val="0"/>
                <w:szCs w:val="21"/>
              </w:rPr>
              <w:t>3</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szCs w:val="21"/>
              </w:rPr>
            </w:pPr>
            <w:r>
              <w:rPr>
                <w:rFonts w:ascii="宋体" w:hAnsi="宋体" w:eastAsia="宋体"/>
                <w:kern w:val="0"/>
                <w:szCs w:val="21"/>
              </w:rPr>
              <w:t>位于</w:t>
            </w:r>
            <w:r>
              <w:rPr>
                <w:rFonts w:hint="eastAsia" w:ascii="宋体" w:hAnsi="宋体" w:eastAsia="宋体"/>
                <w:kern w:val="0"/>
                <w:szCs w:val="21"/>
              </w:rPr>
              <w:t>自然保护区缓冲区</w:t>
            </w:r>
            <w:r>
              <w:rPr>
                <w:rFonts w:ascii="宋体" w:hAnsi="宋体" w:eastAsia="宋体"/>
                <w:kern w:val="0"/>
                <w:szCs w:val="21"/>
              </w:rPr>
              <w:t>/</w:t>
            </w:r>
            <w:r>
              <w:rPr>
                <w:rFonts w:hint="eastAsia" w:ascii="宋体" w:hAnsi="宋体" w:eastAsia="宋体"/>
                <w:kern w:val="0"/>
                <w:szCs w:val="21"/>
              </w:rPr>
              <w:t>饮用水水源二级保护区</w:t>
            </w:r>
          </w:p>
        </w:tc>
        <w:tc>
          <w:tcPr>
            <w:tcW w:w="709" w:type="dxa"/>
            <w:vAlign w:val="center"/>
          </w:tcPr>
          <w:p>
            <w:pPr>
              <w:jc w:val="center"/>
              <w:rPr>
                <w:szCs w:val="21"/>
              </w:rPr>
            </w:pPr>
            <w:r>
              <w:rPr>
                <w:rFonts w:ascii="Times New Roman" w:hAnsi="Times New Roman"/>
                <w:kern w:val="0"/>
                <w:szCs w:val="21"/>
              </w:rPr>
              <w:t>4</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szCs w:val="21"/>
              </w:rPr>
            </w:pPr>
            <w:r>
              <w:rPr>
                <w:rFonts w:ascii="宋体" w:hAnsi="宋体" w:eastAsia="宋体"/>
                <w:kern w:val="0"/>
                <w:szCs w:val="21"/>
              </w:rPr>
              <w:t>位于自然保护区核心区</w:t>
            </w:r>
            <w:r>
              <w:rPr>
                <w:rFonts w:hint="eastAsia" w:ascii="宋体" w:hAnsi="宋体" w:eastAsia="宋体"/>
                <w:kern w:val="0"/>
                <w:szCs w:val="21"/>
              </w:rPr>
              <w:t>/</w:t>
            </w:r>
            <w:r>
              <w:rPr>
                <w:rFonts w:ascii="宋体" w:hAnsi="宋体" w:eastAsia="宋体"/>
                <w:kern w:val="0"/>
                <w:szCs w:val="21"/>
              </w:rPr>
              <w:t>饮用水水源保护区一级保护区</w:t>
            </w:r>
          </w:p>
        </w:tc>
        <w:tc>
          <w:tcPr>
            <w:tcW w:w="709" w:type="dxa"/>
            <w:vAlign w:val="center"/>
          </w:tcPr>
          <w:p>
            <w:pPr>
              <w:jc w:val="center"/>
              <w:rPr>
                <w:szCs w:val="21"/>
              </w:rPr>
            </w:pPr>
            <w:r>
              <w:rPr>
                <w:rFonts w:ascii="Times New Roman" w:hAnsi="Times New Roman"/>
                <w:kern w:val="0"/>
                <w:szCs w:val="21"/>
              </w:rPr>
              <w:t>5</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restart"/>
            <w:vAlign w:val="center"/>
          </w:tcPr>
          <w:p>
            <w:pPr>
              <w:rPr>
                <w:szCs w:val="21"/>
              </w:rPr>
            </w:pPr>
            <w:r>
              <w:rPr>
                <w:rFonts w:ascii="Times New Roman" w:hAnsi="Times New Roman"/>
                <w:kern w:val="0"/>
                <w:szCs w:val="21"/>
              </w:rPr>
              <w:t>项目建设进程</w:t>
            </w:r>
          </w:p>
        </w:tc>
        <w:tc>
          <w:tcPr>
            <w:tcW w:w="1700" w:type="dxa"/>
            <w:vAlign w:val="center"/>
          </w:tcPr>
          <w:p>
            <w:pPr>
              <w:rPr>
                <w:rFonts w:ascii="宋体" w:hAnsi="宋体" w:eastAsia="宋体"/>
                <w:kern w:val="0"/>
                <w:szCs w:val="21"/>
              </w:rPr>
            </w:pPr>
            <w:r>
              <w:rPr>
                <w:rFonts w:hint="eastAsia" w:ascii="宋体" w:hAnsi="宋体" w:eastAsia="宋体"/>
                <w:kern w:val="0"/>
                <w:szCs w:val="21"/>
              </w:rPr>
              <w:t xml:space="preserve"> </w:t>
            </w:r>
            <w:r>
              <w:rPr>
                <w:rFonts w:hint="eastAsia" w:ascii="宋体" w:hAnsi="宋体" w:eastAsia="宋体" w:cs="仿宋_GB2312"/>
                <w:color w:val="000000"/>
              </w:rPr>
              <w:t>已开工建设但主体工程未建成的</w:t>
            </w:r>
          </w:p>
        </w:tc>
        <w:tc>
          <w:tcPr>
            <w:tcW w:w="709" w:type="dxa"/>
            <w:vAlign w:val="center"/>
          </w:tcPr>
          <w:p>
            <w:pPr>
              <w:jc w:val="center"/>
              <w:rPr>
                <w:rFonts w:ascii="Times New Roman" w:hAnsi="Times New Roman"/>
                <w:kern w:val="0"/>
                <w:szCs w:val="21"/>
              </w:rPr>
            </w:pPr>
            <w:r>
              <w:rPr>
                <w:rFonts w:ascii="Times New Roman" w:hAnsi="Times New Roman"/>
                <w:kern w:val="0"/>
                <w:szCs w:val="21"/>
              </w:rPr>
              <w:t>1</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hint="eastAsia" w:ascii="宋体" w:hAnsi="宋体" w:eastAsia="宋体" w:cs="仿宋_GB2312"/>
                <w:color w:val="000000"/>
                <w:szCs w:val="21"/>
              </w:rPr>
              <w:t>主体工程已建成但尚未投入生产或者使用的</w:t>
            </w:r>
          </w:p>
        </w:tc>
        <w:tc>
          <w:tcPr>
            <w:tcW w:w="709" w:type="dxa"/>
            <w:vAlign w:val="center"/>
          </w:tcPr>
          <w:p>
            <w:pPr>
              <w:jc w:val="center"/>
              <w:rPr>
                <w:rFonts w:ascii="Times New Roman" w:hAnsi="Times New Roman"/>
                <w:kern w:val="0"/>
                <w:szCs w:val="21"/>
              </w:rPr>
            </w:pPr>
            <w:r>
              <w:rPr>
                <w:rFonts w:ascii="Times New Roman" w:hAnsi="Times New Roman"/>
                <w:kern w:val="0"/>
                <w:szCs w:val="21"/>
              </w:rPr>
              <w:t>2</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hint="eastAsia" w:ascii="宋体" w:hAnsi="宋体" w:eastAsia="宋体" w:cs="仿宋_GB2312"/>
                <w:color w:val="000000"/>
                <w:szCs w:val="21"/>
              </w:rPr>
              <w:t>主体工程已投入生产或者使用，污染防治设施已建成的</w:t>
            </w:r>
          </w:p>
        </w:tc>
        <w:tc>
          <w:tcPr>
            <w:tcW w:w="709" w:type="dxa"/>
            <w:vAlign w:val="center"/>
          </w:tcPr>
          <w:p>
            <w:pPr>
              <w:jc w:val="center"/>
              <w:rPr>
                <w:rFonts w:ascii="Times New Roman" w:hAnsi="Times New Roman"/>
                <w:kern w:val="0"/>
                <w:szCs w:val="21"/>
              </w:rPr>
            </w:pPr>
            <w:r>
              <w:rPr>
                <w:rFonts w:ascii="Times New Roman" w:hAnsi="Times New Roman"/>
                <w:kern w:val="0"/>
                <w:szCs w:val="21"/>
              </w:rPr>
              <w:t>3</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hint="eastAsia" w:ascii="宋体" w:hAnsi="宋体" w:eastAsia="宋体" w:cs="仿宋_GB2312"/>
                <w:color w:val="000000"/>
                <w:szCs w:val="21"/>
              </w:rPr>
              <w:t>主体工程已投入生产或者使用，污染防治设施尚未建设的</w:t>
            </w:r>
          </w:p>
        </w:tc>
        <w:tc>
          <w:tcPr>
            <w:tcW w:w="709" w:type="dxa"/>
            <w:vAlign w:val="center"/>
          </w:tcPr>
          <w:p>
            <w:pPr>
              <w:rPr>
                <w:rFonts w:ascii="Times New Roman" w:hAnsi="Times New Roman"/>
                <w:kern w:val="0"/>
                <w:szCs w:val="21"/>
              </w:rPr>
            </w:pPr>
            <w:r>
              <w:rPr>
                <w:rFonts w:ascii="Times New Roman" w:hAnsi="Times New Roman"/>
                <w:kern w:val="0"/>
                <w:szCs w:val="21"/>
              </w:rPr>
              <w:t>4</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vAlign w:val="center"/>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ascii="宋体" w:hAnsi="宋体" w:eastAsia="宋体"/>
                <w:kern w:val="0"/>
                <w:szCs w:val="21"/>
              </w:rPr>
              <w:t>生产阶段或不执行停止建设决定</w:t>
            </w:r>
          </w:p>
        </w:tc>
        <w:tc>
          <w:tcPr>
            <w:tcW w:w="709" w:type="dxa"/>
            <w:vAlign w:val="center"/>
          </w:tcPr>
          <w:p>
            <w:pPr>
              <w:rPr>
                <w:rFonts w:ascii="Times New Roman" w:hAnsi="Times New Roman"/>
                <w:kern w:val="0"/>
                <w:szCs w:val="21"/>
              </w:rPr>
            </w:pPr>
            <w:r>
              <w:rPr>
                <w:rFonts w:ascii="Times New Roman" w:hAnsi="Times New Roman"/>
                <w:kern w:val="0"/>
                <w:szCs w:val="21"/>
              </w:rPr>
              <w:t>5</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tcPr>
          <w:p>
            <w:pPr>
              <w:rPr>
                <w:szCs w:val="21"/>
              </w:rPr>
            </w:pPr>
          </w:p>
        </w:tc>
        <w:tc>
          <w:tcPr>
            <w:tcW w:w="3118" w:type="dxa"/>
            <w:vMerge w:val="continue"/>
          </w:tcPr>
          <w:p>
            <w:pPr>
              <w:rPr>
                <w:szCs w:val="21"/>
              </w:rPr>
            </w:pPr>
          </w:p>
        </w:tc>
        <w:tc>
          <w:tcPr>
            <w:tcW w:w="709" w:type="dxa"/>
            <w:vMerge w:val="restart"/>
          </w:tcPr>
          <w:p>
            <w:pPr>
              <w:rPr>
                <w:szCs w:val="21"/>
              </w:rPr>
            </w:pPr>
            <w:r>
              <w:rPr>
                <w:rFonts w:ascii="Times New Roman" w:hAnsi="Times New Roman"/>
                <w:kern w:val="0"/>
                <w:szCs w:val="21"/>
              </w:rPr>
              <w:t>违法行为持续时间</w:t>
            </w:r>
          </w:p>
        </w:tc>
        <w:tc>
          <w:tcPr>
            <w:tcW w:w="1700" w:type="dxa"/>
            <w:shd w:val="clear" w:color="000000" w:fill="FFFFFF"/>
            <w:vAlign w:val="center"/>
          </w:tcPr>
          <w:p>
            <w:pPr>
              <w:rPr>
                <w:rFonts w:ascii="宋体" w:hAnsi="宋体" w:eastAsia="宋体"/>
                <w:kern w:val="0"/>
                <w:szCs w:val="21"/>
              </w:rPr>
            </w:pPr>
            <w:r>
              <w:rPr>
                <w:rFonts w:ascii="Times New Roman" w:hAnsi="Times New Roman"/>
                <w:kern w:val="0"/>
                <w:szCs w:val="21"/>
              </w:rPr>
              <w:t>不足3个月</w:t>
            </w:r>
          </w:p>
        </w:tc>
        <w:tc>
          <w:tcPr>
            <w:tcW w:w="709" w:type="dxa"/>
            <w:vAlign w:val="center"/>
          </w:tcPr>
          <w:p>
            <w:pPr>
              <w:rPr>
                <w:rFonts w:ascii="Times New Roman" w:hAnsi="Times New Roman"/>
                <w:kern w:val="0"/>
                <w:szCs w:val="21"/>
              </w:rPr>
            </w:pPr>
            <w:r>
              <w:rPr>
                <w:rFonts w:ascii="Times New Roman" w:hAnsi="Times New Roman"/>
                <w:kern w:val="0"/>
                <w:szCs w:val="21"/>
              </w:rPr>
              <w:t>1</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ascii="Times New Roman" w:hAnsi="Times New Roman"/>
                <w:kern w:val="0"/>
                <w:szCs w:val="21"/>
              </w:rPr>
              <w:t>3个月以上不足6个月</w:t>
            </w:r>
          </w:p>
        </w:tc>
        <w:tc>
          <w:tcPr>
            <w:tcW w:w="709" w:type="dxa"/>
            <w:vAlign w:val="center"/>
          </w:tcPr>
          <w:p>
            <w:pPr>
              <w:rPr>
                <w:rFonts w:ascii="Times New Roman" w:hAnsi="Times New Roman"/>
                <w:kern w:val="0"/>
                <w:szCs w:val="21"/>
              </w:rPr>
            </w:pPr>
            <w:r>
              <w:rPr>
                <w:rFonts w:ascii="Times New Roman" w:hAnsi="Times New Roman"/>
                <w:kern w:val="0"/>
                <w:szCs w:val="21"/>
              </w:rPr>
              <w:t>2</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宋体" w:hAnsi="宋体" w:eastAsia="宋体"/>
                <w:kern w:val="0"/>
                <w:szCs w:val="21"/>
              </w:rPr>
            </w:pPr>
            <w:r>
              <w:rPr>
                <w:rFonts w:ascii="Times New Roman" w:hAnsi="Times New Roman"/>
                <w:kern w:val="0"/>
                <w:szCs w:val="21"/>
              </w:rPr>
              <w:t>6个月以上不足1年</w:t>
            </w:r>
          </w:p>
        </w:tc>
        <w:tc>
          <w:tcPr>
            <w:tcW w:w="709" w:type="dxa"/>
            <w:vAlign w:val="center"/>
          </w:tcPr>
          <w:p>
            <w:pPr>
              <w:rPr>
                <w:rFonts w:ascii="Times New Roman" w:hAnsi="Times New Roman"/>
                <w:kern w:val="0"/>
                <w:szCs w:val="21"/>
              </w:rPr>
            </w:pPr>
            <w:r>
              <w:rPr>
                <w:rFonts w:ascii="Times New Roman" w:hAnsi="Times New Roman"/>
                <w:kern w:val="0"/>
                <w:szCs w:val="21"/>
              </w:rPr>
              <w:t>3</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Times New Roman" w:hAnsi="Times New Roman"/>
                <w:kern w:val="0"/>
                <w:szCs w:val="21"/>
              </w:rPr>
            </w:pPr>
            <w:r>
              <w:rPr>
                <w:rFonts w:ascii="Times New Roman" w:hAnsi="Times New Roman"/>
                <w:kern w:val="0"/>
                <w:szCs w:val="21"/>
              </w:rPr>
              <w:t>1年以上不足2年</w:t>
            </w:r>
          </w:p>
        </w:tc>
        <w:tc>
          <w:tcPr>
            <w:tcW w:w="709" w:type="dxa"/>
            <w:vAlign w:val="center"/>
          </w:tcPr>
          <w:p>
            <w:pPr>
              <w:rPr>
                <w:rFonts w:ascii="Times New Roman" w:hAnsi="Times New Roman"/>
                <w:kern w:val="0"/>
                <w:szCs w:val="21"/>
              </w:rPr>
            </w:pPr>
            <w:r>
              <w:rPr>
                <w:rFonts w:ascii="Times New Roman" w:hAnsi="Times New Roman"/>
                <w:kern w:val="0"/>
                <w:szCs w:val="21"/>
              </w:rPr>
              <w:t>4</w:t>
            </w:r>
          </w:p>
        </w:tc>
        <w:tc>
          <w:tcPr>
            <w:tcW w:w="2694"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25" w:type="dxa"/>
            <w:vMerge w:val="continue"/>
            <w:shd w:val="clear" w:color="auto" w:fill="FEF2CC" w:themeFill="accent4" w:themeFillTint="33"/>
          </w:tcPr>
          <w:p>
            <w:pPr>
              <w:rPr>
                <w:szCs w:val="21"/>
              </w:rPr>
            </w:pPr>
          </w:p>
        </w:tc>
        <w:tc>
          <w:tcPr>
            <w:tcW w:w="993" w:type="dxa"/>
            <w:vMerge w:val="continue"/>
          </w:tcPr>
          <w:p>
            <w:pPr>
              <w:rPr>
                <w:szCs w:val="21"/>
              </w:rPr>
            </w:pPr>
          </w:p>
        </w:tc>
        <w:tc>
          <w:tcPr>
            <w:tcW w:w="3402" w:type="dxa"/>
            <w:vMerge w:val="continue"/>
          </w:tcPr>
          <w:p>
            <w:pPr>
              <w:rPr>
                <w:szCs w:val="21"/>
              </w:rPr>
            </w:pPr>
          </w:p>
        </w:tc>
        <w:tc>
          <w:tcPr>
            <w:tcW w:w="3118" w:type="dxa"/>
            <w:vMerge w:val="continue"/>
          </w:tcPr>
          <w:p>
            <w:pPr>
              <w:rPr>
                <w:szCs w:val="21"/>
              </w:rPr>
            </w:pPr>
          </w:p>
        </w:tc>
        <w:tc>
          <w:tcPr>
            <w:tcW w:w="709" w:type="dxa"/>
            <w:vMerge w:val="continue"/>
          </w:tcPr>
          <w:p>
            <w:pPr>
              <w:rPr>
                <w:szCs w:val="21"/>
              </w:rPr>
            </w:pPr>
          </w:p>
        </w:tc>
        <w:tc>
          <w:tcPr>
            <w:tcW w:w="1700" w:type="dxa"/>
            <w:shd w:val="clear" w:color="000000" w:fill="FFFFFF"/>
            <w:vAlign w:val="center"/>
          </w:tcPr>
          <w:p>
            <w:pPr>
              <w:rPr>
                <w:rFonts w:ascii="Times New Roman" w:hAnsi="Times New Roman"/>
                <w:kern w:val="0"/>
                <w:szCs w:val="21"/>
              </w:rPr>
            </w:pPr>
            <w:r>
              <w:rPr>
                <w:rFonts w:ascii="Times New Roman" w:hAnsi="Times New Roman"/>
                <w:kern w:val="0"/>
                <w:szCs w:val="21"/>
              </w:rPr>
              <w:t>2年以上</w:t>
            </w:r>
          </w:p>
        </w:tc>
        <w:tc>
          <w:tcPr>
            <w:tcW w:w="709" w:type="dxa"/>
            <w:vAlign w:val="center"/>
          </w:tcPr>
          <w:p>
            <w:pPr>
              <w:rPr>
                <w:rFonts w:ascii="Times New Roman" w:hAnsi="Times New Roman"/>
                <w:kern w:val="0"/>
                <w:szCs w:val="21"/>
              </w:rPr>
            </w:pPr>
            <w:r>
              <w:rPr>
                <w:rFonts w:ascii="Times New Roman" w:hAnsi="Times New Roman"/>
                <w:kern w:val="0"/>
                <w:szCs w:val="21"/>
              </w:rPr>
              <w:t>5</w:t>
            </w:r>
          </w:p>
        </w:tc>
        <w:tc>
          <w:tcPr>
            <w:tcW w:w="2694" w:type="dxa"/>
            <w:vMerge w:val="continue"/>
          </w:tcPr>
          <w:p>
            <w:pPr>
              <w:rPr>
                <w:szCs w:val="21"/>
              </w:rPr>
            </w:pPr>
          </w:p>
        </w:tc>
      </w:tr>
    </w:tbl>
    <w:p/>
    <w:p>
      <w:pPr>
        <w:ind w:firstLine="900" w:firstLineChars="300"/>
        <w:rPr>
          <w:rFonts w:ascii="仿宋" w:hAnsi="仿宋" w:eastAsia="仿宋" w:cs="Times New Roman"/>
          <w:bCs/>
          <w:sz w:val="30"/>
          <w:szCs w:val="30"/>
        </w:rPr>
      </w:pPr>
      <w:r>
        <w:rPr>
          <w:rFonts w:hint="eastAsia" w:ascii="仿宋" w:hAnsi="仿宋" w:eastAsia="仿宋" w:cs="Times New Roman"/>
          <w:bCs/>
          <w:sz w:val="30"/>
          <w:szCs w:val="30"/>
        </w:rPr>
        <w:t>（二）</w:t>
      </w:r>
      <w:r>
        <w:rPr>
          <w:rFonts w:ascii="仿宋" w:hAnsi="仿宋" w:eastAsia="仿宋" w:cs="Times New Roman"/>
          <w:bCs/>
          <w:sz w:val="30"/>
          <w:szCs w:val="30"/>
        </w:rPr>
        <w:t>违法行为共性裁量基准</w:t>
      </w:r>
      <w:bookmarkStart w:id="2" w:name="_Toc16558"/>
      <w:bookmarkStart w:id="3" w:name="_Toc3889"/>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3832"/>
        <w:gridCol w:w="22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83" w:type="dxa"/>
            <w:vAlign w:val="center"/>
          </w:tcPr>
          <w:p>
            <w:pPr>
              <w:adjustRightInd w:val="0"/>
              <w:snapToGrid w:val="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裁量因素</w:t>
            </w:r>
          </w:p>
        </w:tc>
        <w:tc>
          <w:tcPr>
            <w:tcW w:w="3832" w:type="dxa"/>
            <w:vAlign w:val="center"/>
          </w:tcPr>
          <w:p>
            <w:pPr>
              <w:adjustRightInd w:val="0"/>
              <w:snapToGrid w:val="0"/>
              <w:jc w:val="center"/>
              <w:rPr>
                <w:rFonts w:ascii="Times New Roman" w:hAnsi="Times New Roman" w:eastAsia="黑体" w:cs="Times New Roman"/>
                <w:kern w:val="0"/>
                <w:szCs w:val="21"/>
              </w:rPr>
            </w:pPr>
            <w:r>
              <w:rPr>
                <w:rFonts w:ascii="Times New Roman" w:hAnsi="Times New Roman" w:eastAsia="黑体" w:cs="Times New Roman"/>
                <w:kern w:val="0"/>
                <w:szCs w:val="21"/>
              </w:rPr>
              <w:t>裁量因子</w:t>
            </w:r>
          </w:p>
        </w:tc>
        <w:tc>
          <w:tcPr>
            <w:tcW w:w="2265" w:type="dxa"/>
            <w:vAlign w:val="center"/>
          </w:tcPr>
          <w:p>
            <w:pPr>
              <w:adjustRightInd w:val="0"/>
              <w:snapToGrid w:val="0"/>
              <w:jc w:val="center"/>
              <w:rPr>
                <w:rFonts w:ascii="Times New Roman" w:hAnsi="Times New Roman" w:eastAsia="黑体" w:cs="Times New Roman"/>
                <w:kern w:val="0"/>
                <w:szCs w:val="21"/>
              </w:rPr>
            </w:pPr>
            <w:r>
              <w:rPr>
                <w:rFonts w:ascii="Times New Roman" w:hAnsi="Times New Roman" w:eastAsia="黑体" w:cs="Times New Roman"/>
                <w:kern w:val="0"/>
                <w:szCs w:val="21"/>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环境违法行为次数（两年内，含本次）</w:t>
            </w: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1次</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2次</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3次</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3次以上</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区域影响/引发关注</w:t>
            </w: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未造成社会影响/县级行政区域内</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造成轻微社会影响/跨县级行政区域</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造成社会影响/跨州、设区市级行政区域</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83" w:type="dxa"/>
            <w:vMerge w:val="continue"/>
            <w:vAlign w:val="center"/>
          </w:tcPr>
          <w:p>
            <w:pPr>
              <w:adjustRightInd w:val="0"/>
              <w:snapToGrid w:val="0"/>
              <w:jc w:val="center"/>
              <w:rPr>
                <w:rFonts w:ascii="Times New Roman" w:hAnsi="Times New Roman" w:eastAsia="宋体" w:cs="Times New Roman"/>
                <w:kern w:val="0"/>
                <w:szCs w:val="21"/>
              </w:rPr>
            </w:pPr>
          </w:p>
        </w:tc>
        <w:tc>
          <w:tcPr>
            <w:tcW w:w="3832" w:type="dxa"/>
            <w:vAlign w:val="center"/>
          </w:tcPr>
          <w:p>
            <w:pPr>
              <w:adjustRightInd w:val="0"/>
              <w:snapToGrid w:val="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跨省级行政区域、跨国/</w:t>
            </w:r>
            <w:r>
              <w:rPr>
                <w:rFonts w:ascii="Times New Roman" w:hAnsi="Times New Roman" w:eastAsia="宋体" w:cs="Times New Roman"/>
                <w:kern w:val="0"/>
                <w:szCs w:val="21"/>
              </w:rPr>
              <w:t>引发集访（5人以上）等重大群体性事件，电视、电台、报刊、网络等主流媒体曝光报道等</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r>
      <w:bookmarkEnd w:id="2"/>
      <w:bookmarkEnd w:id="3"/>
    </w:tbl>
    <w:p>
      <w:pPr>
        <w:rPr>
          <w:rFonts w:ascii="Times New Roman" w:hAnsi="Times New Roman" w:eastAsia="宋体" w:cs="Times New Roman"/>
          <w:szCs w:val="24"/>
        </w:rPr>
      </w:pPr>
      <w:bookmarkStart w:id="4" w:name="_Toc28504"/>
      <w:bookmarkStart w:id="5" w:name="_Toc1098"/>
    </w:p>
    <w:p>
      <w:pPr>
        <w:adjustRightInd w:val="0"/>
        <w:snapToGrid w:val="0"/>
        <w:spacing w:line="360" w:lineRule="auto"/>
        <w:ind w:firstLine="1200" w:firstLineChars="400"/>
        <w:outlineLvl w:val="0"/>
        <w:rPr>
          <w:rFonts w:ascii="仿宋" w:hAnsi="仿宋" w:eastAsia="仿宋" w:cs="Times New Roman"/>
          <w:bCs/>
          <w:sz w:val="30"/>
          <w:szCs w:val="30"/>
        </w:rPr>
      </w:pPr>
      <w:r>
        <w:rPr>
          <w:rFonts w:hint="eastAsia" w:ascii="仿宋" w:hAnsi="仿宋" w:eastAsia="仿宋" w:cs="Times New Roman"/>
          <w:bCs/>
          <w:sz w:val="30"/>
          <w:szCs w:val="30"/>
        </w:rPr>
        <w:t>（三）</w:t>
      </w:r>
      <w:r>
        <w:rPr>
          <w:rFonts w:ascii="仿宋" w:hAnsi="仿宋" w:eastAsia="仿宋" w:cs="Times New Roman"/>
          <w:bCs/>
          <w:sz w:val="30"/>
          <w:szCs w:val="30"/>
        </w:rPr>
        <w:t>违法行为修正</w:t>
      </w:r>
      <w:bookmarkEnd w:id="4"/>
      <w:bookmarkEnd w:id="5"/>
      <w:r>
        <w:rPr>
          <w:rFonts w:ascii="仿宋" w:hAnsi="仿宋" w:eastAsia="仿宋" w:cs="Times New Roman"/>
          <w:bCs/>
          <w:sz w:val="30"/>
          <w:szCs w:val="30"/>
        </w:rPr>
        <w:t>裁量基准</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5418"/>
        <w:gridCol w:w="22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534" w:type="dxa"/>
            <w:vAlign w:val="center"/>
          </w:tcPr>
          <w:p>
            <w:pPr>
              <w:adjustRightInd w:val="0"/>
              <w:snapToGrid w:val="0"/>
              <w:jc w:val="center"/>
              <w:rPr>
                <w:rFonts w:ascii="Times New Roman" w:hAnsi="Times New Roman" w:eastAsia="黑体" w:cs="Times New Roman"/>
                <w:kern w:val="0"/>
                <w:szCs w:val="21"/>
              </w:rPr>
            </w:pPr>
            <w:bookmarkStart w:id="6" w:name="_Toc6349"/>
            <w:bookmarkStart w:id="7" w:name="_Toc21496"/>
            <w:r>
              <w:rPr>
                <w:rFonts w:ascii="Times New Roman" w:hAnsi="Times New Roman" w:eastAsia="黑体" w:cs="Times New Roman"/>
                <w:kern w:val="0"/>
                <w:szCs w:val="21"/>
              </w:rPr>
              <w:t>修正因素类别</w:t>
            </w:r>
          </w:p>
        </w:tc>
        <w:tc>
          <w:tcPr>
            <w:tcW w:w="5418" w:type="dxa"/>
            <w:vAlign w:val="center"/>
          </w:tcPr>
          <w:p>
            <w:pPr>
              <w:adjustRightInd w:val="0"/>
              <w:snapToGrid w:val="0"/>
              <w:jc w:val="center"/>
              <w:rPr>
                <w:rFonts w:ascii="Times New Roman" w:hAnsi="Times New Roman" w:eastAsia="黑体" w:cs="Times New Roman"/>
                <w:kern w:val="0"/>
                <w:szCs w:val="21"/>
              </w:rPr>
            </w:pPr>
            <w:r>
              <w:rPr>
                <w:rFonts w:ascii="Times New Roman" w:hAnsi="Times New Roman" w:eastAsia="黑体" w:cs="Times New Roman"/>
                <w:kern w:val="0"/>
                <w:szCs w:val="21"/>
              </w:rPr>
              <w:t>裁量因子</w:t>
            </w:r>
          </w:p>
        </w:tc>
        <w:tc>
          <w:tcPr>
            <w:tcW w:w="2265" w:type="dxa"/>
            <w:vAlign w:val="center"/>
          </w:tcPr>
          <w:p>
            <w:pPr>
              <w:adjustRightInd w:val="0"/>
              <w:snapToGrid w:val="0"/>
              <w:jc w:val="center"/>
              <w:rPr>
                <w:rFonts w:ascii="Times New Roman" w:hAnsi="Times New Roman" w:eastAsia="黑体" w:cs="Times New Roman"/>
                <w:kern w:val="0"/>
                <w:szCs w:val="21"/>
              </w:rPr>
            </w:pPr>
            <w:r>
              <w:rPr>
                <w:rFonts w:ascii="Times New Roman" w:hAnsi="Times New Roman" w:eastAsia="黑体" w:cs="Times New Roman"/>
                <w:kern w:val="0"/>
                <w:szCs w:val="21"/>
              </w:rPr>
              <w:t>裁量等级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改正态度</w:t>
            </w: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立即改正</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在规定期限内改正</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故意拖延</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据不改正</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配合调查取证情况</w:t>
            </w: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积极配合调查</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消极配合</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拒不配合或弄虚作假</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补救措施</w:t>
            </w: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积极采取补救措施；恢复原状，消除环境影响</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采取补救措施，环境影响无法完全消除</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未采取补救措施，环境影响未扩大</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未采取补救措施，环境影响持续扩大</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经济承受度</w:t>
            </w: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微型企业事业单位/个体工商户/自然人</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小型企业事业单位</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中型企业事业单位</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大型企业事业单位</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4" w:type="dxa"/>
            <w:vMerge w:val="continue"/>
            <w:vAlign w:val="center"/>
          </w:tcPr>
          <w:p>
            <w:pPr>
              <w:adjustRightInd w:val="0"/>
              <w:snapToGrid w:val="0"/>
              <w:jc w:val="center"/>
              <w:rPr>
                <w:rFonts w:ascii="Times New Roman" w:hAnsi="Times New Roman" w:eastAsia="宋体" w:cs="Times New Roman"/>
                <w:kern w:val="0"/>
                <w:szCs w:val="21"/>
              </w:rPr>
            </w:pPr>
          </w:p>
        </w:tc>
        <w:tc>
          <w:tcPr>
            <w:tcW w:w="5418"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央企或上市公司</w:t>
            </w:r>
          </w:p>
        </w:tc>
        <w:tc>
          <w:tcPr>
            <w:tcW w:w="2265"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r>
      <w:bookmarkEnd w:id="6"/>
      <w:bookmarkEnd w:id="7"/>
    </w:tbl>
    <w:p>
      <w:pPr>
        <w:tabs>
          <w:tab w:val="left" w:pos="1978"/>
        </w:tabs>
        <w:spacing w:line="400" w:lineRule="exact"/>
        <w:jc w:val="left"/>
        <w:rPr>
          <w:rFonts w:ascii="宋体" w:hAnsi="宋体" w:eastAsia="宋体" w:cs="宋体"/>
          <w:sz w:val="32"/>
          <w:szCs w:val="32"/>
        </w:rPr>
      </w:pP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 xml:space="preserve">    </w:t>
      </w:r>
      <w:r>
        <w:rPr>
          <w:rFonts w:hint="eastAsia" w:ascii="宋体" w:hAnsi="宋体" w:eastAsia="宋体" w:cs="宋体"/>
          <w:szCs w:val="21"/>
        </w:rPr>
        <w:t>备注：为便于代入函数公式进行计算，上述表格用数值表示裁量因子不同的裁量等级。其中，1-5代表了违法行为从轻微到严重的不同程度，-2～2代表了可予减轻或者加重的不同情形。</w:t>
      </w:r>
    </w:p>
    <w:p>
      <w:pPr>
        <w:ind w:firstLine="900" w:firstLineChars="300"/>
        <w:rPr>
          <w:rFonts w:ascii="仿宋" w:hAnsi="仿宋" w:eastAsia="仿宋" w:cs="Times New Roman"/>
          <w:bCs/>
          <w:sz w:val="30"/>
          <w:szCs w:val="30"/>
        </w:rPr>
      </w:pPr>
      <w:r>
        <w:rPr>
          <w:rFonts w:hint="eastAsia" w:ascii="仿宋" w:hAnsi="仿宋" w:eastAsia="仿宋" w:cs="Times New Roman"/>
          <w:bCs/>
          <w:sz w:val="30"/>
          <w:szCs w:val="30"/>
        </w:rPr>
        <w:t>二、自由裁量算法思路、计算公式</w:t>
      </w:r>
    </w:p>
    <w:p>
      <w:pPr>
        <w:widowControl/>
        <w:shd w:val="clear" w:color="auto" w:fill="FFFFFF"/>
        <w:wordWrap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根据违法行为构成要素和违法情节设定若干裁量因子，并确定各项裁量因子的分值，采用二维叠加函数计算法带入公式计算。</w:t>
      </w:r>
    </w:p>
    <w:p>
      <w:pPr>
        <w:widowControl/>
        <w:shd w:val="clear" w:color="auto" w:fill="FFFFFF"/>
        <w:wordWrap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算法思路： （一）综合考虑违法行为情节、后果的严重程度和违法主体特点，</w:t>
      </w:r>
      <w:r>
        <w:rPr>
          <w:rFonts w:ascii="Times New Roman" w:hAnsi="Times New Roman" w:eastAsia="仿宋" w:cs="Times New Roman"/>
          <w:color w:val="000000" w:themeColor="text1"/>
          <w:sz w:val="28"/>
          <w:szCs w:val="28"/>
          <w14:textFill>
            <w14:solidFill>
              <w14:schemeClr w14:val="tx1"/>
            </w14:solidFill>
          </w14:textFill>
        </w:rPr>
        <w:t>确定各个性基准、共性基准、修正基准因子的数值。 </w:t>
      </w:r>
      <w:r>
        <w:rPr>
          <w:rFonts w:ascii="Times New Roman" w:hAnsi="Times New Roman" w:eastAsia="仿宋" w:cs="Times New Roman"/>
          <w:sz w:val="28"/>
          <w:szCs w:val="28"/>
        </w:rPr>
        <w:t>（二）对相关项的子个性基准与子共性基准，叠加出总个性基准与总共性基准的数值；将总个性基准与总共性基准代入二元模型函数，计算出行为等级的数值；通过行为等级数值，计算得出与违法行为情节、后果相匹配的处罚金额。 （三）根据修正基准数值，对处罚金额在限定范围内进行修正，得出最终处罚金额。修正后的裁量处罚金额不得超出法定的裁量范围。</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计算公式</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（一）总公式</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X=N+（M-N）×[（A-1）/4]×（1+B）</w:t>
      </w:r>
    </w:p>
    <w:p>
      <w:pPr>
        <w:widowControl/>
        <w:shd w:val="clear" w:color="auto" w:fill="FFFFFF"/>
        <w:wordWrap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即：处罚</w:t>
      </w:r>
      <w:r>
        <w:rPr>
          <w:rFonts w:ascii="Times New Roman" w:hAnsi="Times New Roman" w:eastAsia="仿宋" w:cs="Times New Roman"/>
          <w:sz w:val="28"/>
          <w:szCs w:val="28"/>
        </w:rPr>
        <w:t>金额=处罚下限+（处罚上限-下限）*裁量*修正</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X：裁量处罚金额</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M：法定处罚上限</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N：法定处罚下限</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A：裁量系数</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B：修正系数</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（二）裁量系数计算</w:t>
      </w:r>
    </w:p>
    <w:p>
      <w:pPr>
        <w:widowControl/>
        <w:shd w:val="clear" w:color="auto" w:fill="FFFFFF"/>
        <w:wordWrap w:val="0"/>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A=50%×首要因子等级数值+50%×其他裁量因子数值的平均数</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首要因子等级数值为个性裁量因子、共性裁量因子所有评级中最大的一个。</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如评级为（5,5,4,4,3），则首要因子等级为5，其他裁量因子数值平均数为（5+4+4+3）/4。</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[（A-1）/4]值区间为[0，1]。</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（三）修正系数计算</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B=修正因子数值之和/（所取修正因子个数*2）×30%</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（1+B）值区间为[0.7，1.3]，对应文本中从重从轻处罚浮动范围。</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（四）裁量处罚金额</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修正后的裁量处罚金额超出法定的裁量范围的，按法定上限处罚。</w:t>
      </w:r>
    </w:p>
    <w:p>
      <w:pPr>
        <w:widowControl/>
        <w:shd w:val="clear" w:color="auto" w:fill="FFFFFF"/>
        <w:wordWrap w:val="0"/>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罚款金额高于一万按“千”取整，低于一万按“百”取整（四舍五入方式）。</w:t>
      </w:r>
    </w:p>
    <w:p>
      <w:pPr>
        <w:ind w:firstLine="900" w:firstLineChars="300"/>
        <w:rPr>
          <w:rFonts w:ascii="仿宋" w:hAnsi="仿宋" w:eastAsia="仿宋" w:cs="Times New Roman"/>
          <w:bCs/>
          <w:sz w:val="30"/>
          <w:szCs w:val="30"/>
        </w:rPr>
      </w:pPr>
      <w:r>
        <w:rPr>
          <w:rFonts w:hint="eastAsia" w:ascii="仿宋" w:hAnsi="仿宋" w:eastAsia="仿宋" w:cs="Times New Roman"/>
          <w:bCs/>
          <w:sz w:val="30"/>
          <w:szCs w:val="30"/>
        </w:rPr>
        <w:t>三、自由裁量运用举例</w:t>
      </w:r>
    </w:p>
    <w:p>
      <w:pPr>
        <w:ind w:firstLine="840" w:firstLineChars="300"/>
        <w:rPr>
          <w:rFonts w:ascii="仿宋" w:hAnsi="仿宋" w:eastAsia="仿宋" w:cs="Times New Roman"/>
          <w:bCs/>
          <w:sz w:val="28"/>
          <w:szCs w:val="28"/>
        </w:rPr>
      </w:pPr>
      <w:r>
        <w:rPr>
          <w:rFonts w:hint="eastAsia" w:ascii="仿宋" w:hAnsi="仿宋" w:eastAsia="仿宋" w:cs="Times New Roman"/>
          <w:bCs/>
          <w:sz w:val="28"/>
          <w:szCs w:val="28"/>
        </w:rPr>
        <w:t>某市生态环境局环境监察支队在日常检查工作中发现某企业未办理环境影响评价行政审批手续，在城市效区县建成一套水泥生产线。经现场检查，该企业所建项目未办理项目核准手续，所建项目属于应当办理环境影响评价报告书的项目。经查询项目所在区域的环境规划，该项目不符合所在区域的环境功能规划，但也不属于环境保护区域。检查时该企业计划投资额为7</w:t>
      </w:r>
      <w:r>
        <w:rPr>
          <w:rFonts w:ascii="仿宋" w:hAnsi="仿宋" w:eastAsia="仿宋" w:cs="Times New Roman"/>
          <w:bCs/>
          <w:sz w:val="28"/>
          <w:szCs w:val="28"/>
        </w:rPr>
        <w:t>500</w:t>
      </w:r>
      <w:r>
        <w:rPr>
          <w:rFonts w:hint="eastAsia" w:ascii="仿宋" w:hAnsi="仿宋" w:eastAsia="仿宋" w:cs="Times New Roman"/>
          <w:bCs/>
          <w:sz w:val="28"/>
          <w:szCs w:val="28"/>
        </w:rPr>
        <w:t>万元，已实际完成的投资额</w:t>
      </w:r>
      <w:r>
        <w:rPr>
          <w:rFonts w:ascii="仿宋" w:hAnsi="仿宋" w:eastAsia="仿宋" w:cs="Times New Roman"/>
          <w:bCs/>
          <w:sz w:val="28"/>
          <w:szCs w:val="28"/>
        </w:rPr>
        <w:t>6000</w:t>
      </w:r>
      <w:r>
        <w:rPr>
          <w:rFonts w:hint="eastAsia" w:ascii="仿宋" w:hAnsi="仿宋" w:eastAsia="仿宋" w:cs="Times New Roman"/>
          <w:bCs/>
          <w:sz w:val="28"/>
          <w:szCs w:val="28"/>
        </w:rPr>
        <w:t>万元，实际建设期八个月。所应配套的环境保护设施尚未建成，但检查时尚未投产，目前企业正在办理相关投资、规划等行政许可报批手续，已委托外省某环评技术机构开展环评工作，但尚未向主管生态环境机关报批环评手续，在建设过程中无群众投诉。支队监督人员现场向该企业发出《责令停止建设通知书》，责令其立即停止建设行为。该企业属于中型工业企业，在检查过程中配合环境执法部门开展检查，并提供了相关资料，在检查后已按要求全面停止工程建设。</w:t>
      </w:r>
    </w:p>
    <w:p>
      <w:pPr>
        <w:ind w:firstLine="840" w:firstLineChars="300"/>
        <w:rPr>
          <w:rFonts w:ascii="仿宋" w:hAnsi="仿宋" w:eastAsia="仿宋" w:cs="Times New Roman"/>
          <w:bCs/>
          <w:sz w:val="28"/>
          <w:szCs w:val="28"/>
        </w:rPr>
      </w:pPr>
      <w:r>
        <w:rPr>
          <w:rFonts w:hint="eastAsia" w:ascii="仿宋" w:hAnsi="仿宋" w:eastAsia="仿宋" w:cs="Times New Roman"/>
          <w:bCs/>
          <w:sz w:val="28"/>
          <w:szCs w:val="28"/>
        </w:rPr>
        <w:t>本案罚款的自由裁量过程如下：</w:t>
      </w:r>
    </w:p>
    <w:p>
      <w:pPr>
        <w:ind w:firstLine="840" w:firstLineChars="300"/>
        <w:rPr>
          <w:rFonts w:ascii="仿宋" w:hAnsi="仿宋" w:eastAsia="仿宋" w:cs="Times New Roman"/>
          <w:bCs/>
          <w:sz w:val="28"/>
          <w:szCs w:val="28"/>
        </w:rPr>
      </w:pPr>
      <w:r>
        <w:rPr>
          <w:rFonts w:hint="eastAsia" w:ascii="仿宋" w:hAnsi="仿宋" w:eastAsia="仿宋" w:cs="Times New Roman"/>
          <w:sz w:val="28"/>
          <w:szCs w:val="28"/>
        </w:rPr>
        <w:t>（一）裁量因子及等级：</w:t>
      </w:r>
    </w:p>
    <w:p>
      <w:pPr>
        <w:ind w:firstLine="840" w:firstLineChars="300"/>
        <w:rPr>
          <w:rFonts w:ascii="仿宋" w:hAnsi="仿宋" w:eastAsia="仿宋" w:cs="Times New Roman"/>
          <w:bCs/>
          <w:sz w:val="28"/>
          <w:szCs w:val="28"/>
        </w:rPr>
      </w:pPr>
      <w:r>
        <w:rPr>
          <w:rFonts w:hint="eastAsia" w:ascii="仿宋" w:hAnsi="仿宋" w:eastAsia="仿宋" w:cs="Times New Roman"/>
          <w:sz w:val="28"/>
          <w:szCs w:val="28"/>
        </w:rPr>
        <w:t>1、个性裁量因子及等级：（1）案涉项目属于环境报告书类的生产型项目，但不属于</w:t>
      </w:r>
      <w:r>
        <w:rPr>
          <w:rFonts w:ascii="仿宋" w:hAnsi="仿宋" w:eastAsia="仿宋"/>
          <w:spacing w:val="-4"/>
          <w:kern w:val="0"/>
          <w:sz w:val="28"/>
          <w:szCs w:val="28"/>
        </w:rPr>
        <w:t>化工、电镀、皮革、造纸、制浆、冶炼、放射性、印染、染料、炼焦、炼油项目</w:t>
      </w:r>
      <w:r>
        <w:rPr>
          <w:rFonts w:hint="eastAsia" w:ascii="仿宋" w:hAnsi="仿宋" w:eastAsia="仿宋"/>
          <w:spacing w:val="-4"/>
          <w:kern w:val="0"/>
          <w:sz w:val="28"/>
          <w:szCs w:val="28"/>
        </w:rPr>
        <w:t>，适用裁量等级为4；（2）</w:t>
      </w:r>
      <w:r>
        <w:rPr>
          <w:rFonts w:hint="eastAsia" w:ascii="仿宋" w:hAnsi="仿宋" w:eastAsia="仿宋" w:cs="Times New Roman"/>
          <w:sz w:val="28"/>
          <w:szCs w:val="28"/>
        </w:rPr>
        <w:t>案涉项目不符合环境功能规划，但也不在保护区内，适用裁量等级为2；（3）案涉项目主体已建成但未投入生产或使用，适用裁量等级为2；（4）违法行为持续6个月以上不足1年，适用裁量等级为3；</w:t>
      </w:r>
    </w:p>
    <w:p>
      <w:pPr>
        <w:ind w:firstLine="840" w:firstLineChars="300"/>
        <w:rPr>
          <w:rFonts w:ascii="仿宋" w:hAnsi="仿宋" w:eastAsia="仿宋" w:cs="Times New Roman"/>
          <w:bCs/>
          <w:sz w:val="28"/>
          <w:szCs w:val="28"/>
        </w:rPr>
      </w:pPr>
      <w:r>
        <w:rPr>
          <w:rFonts w:hint="eastAsia" w:ascii="仿宋" w:hAnsi="仿宋" w:eastAsia="仿宋" w:cs="Times New Roman"/>
          <w:sz w:val="28"/>
          <w:szCs w:val="28"/>
        </w:rPr>
        <w:t>2、共性裁量因子及等级</w:t>
      </w:r>
      <w:r>
        <w:rPr>
          <w:rFonts w:hint="eastAsia" w:ascii="仿宋" w:hAnsi="仿宋" w:eastAsia="仿宋" w:cs="Times New Roman"/>
          <w:bCs/>
          <w:sz w:val="28"/>
          <w:szCs w:val="28"/>
        </w:rPr>
        <w:t>：</w:t>
      </w:r>
      <w:r>
        <w:rPr>
          <w:rFonts w:hint="eastAsia" w:ascii="仿宋" w:hAnsi="仿宋" w:eastAsia="仿宋" w:cs="Times New Roman"/>
          <w:sz w:val="28"/>
          <w:szCs w:val="28"/>
        </w:rPr>
        <w:t>（1）该企业二年内曾经受过一次行政处罚，适用共性裁量等级2；（2）未造成大的社会影响，适用共性裁量等级1</w:t>
      </w:r>
    </w:p>
    <w:p>
      <w:pPr>
        <w:widowControl/>
        <w:shd w:val="clear" w:color="auto" w:fill="FFFFFF"/>
        <w:wordWrap w:val="0"/>
        <w:ind w:firstLine="560" w:firstLineChars="200"/>
        <w:rPr>
          <w:rFonts w:ascii="Times New Roman" w:hAnsi="Times New Roman" w:eastAsia="仿宋" w:cs="Times New Roman"/>
          <w:sz w:val="28"/>
          <w:szCs w:val="28"/>
        </w:rPr>
      </w:pPr>
      <w:r>
        <w:rPr>
          <w:rFonts w:hint="eastAsia" w:ascii="仿宋" w:hAnsi="仿宋" w:eastAsia="仿宋" w:cs="Times New Roman"/>
          <w:sz w:val="28"/>
          <w:szCs w:val="28"/>
        </w:rPr>
        <w:t>以上个性和共性裁量因子的等级分别为：4、2、2、3，2、1，取4为首要裁量因子等级，其余2、2、3、2、1为其他裁量因子数值，则本案裁</w:t>
      </w:r>
      <w:r>
        <w:rPr>
          <w:rFonts w:hint="eastAsia" w:ascii="Times New Roman" w:hAnsi="Times New Roman" w:eastAsia="仿宋" w:cs="Times New Roman"/>
          <w:sz w:val="28"/>
          <w:szCs w:val="28"/>
        </w:rPr>
        <w:t>量系数</w:t>
      </w:r>
      <w:r>
        <w:rPr>
          <w:rFonts w:ascii="Times New Roman" w:hAnsi="Times New Roman" w:eastAsia="仿宋" w:cs="Times New Roman"/>
          <w:sz w:val="28"/>
          <w:szCs w:val="28"/>
        </w:rPr>
        <w:t>A =50%×首要因子等级数值+50%×其他裁量因子数值的平均数</w:t>
      </w:r>
      <w:r>
        <w:rPr>
          <w:rFonts w:hint="eastAsia" w:ascii="Times New Roman" w:hAnsi="Times New Roman" w:eastAsia="仿宋" w:cs="Times New Roman"/>
          <w:sz w:val="28"/>
          <w:szCs w:val="28"/>
        </w:rPr>
        <w:t>=</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4+</w:t>
      </w:r>
      <w:r>
        <w:rPr>
          <w:rFonts w:ascii="Times New Roman" w:hAnsi="Times New Roman" w:eastAsia="仿宋" w:cs="Times New Roman"/>
          <w:sz w:val="28"/>
          <w:szCs w:val="28"/>
        </w:rPr>
        <w:t>50%×</w:t>
      </w:r>
      <w:r>
        <w:rPr>
          <w:rFonts w:hint="eastAsia" w:ascii="Times New Roman" w:hAnsi="Times New Roman" w:eastAsia="仿宋" w:cs="Times New Roman"/>
          <w:sz w:val="28"/>
          <w:szCs w:val="28"/>
        </w:rPr>
        <w:t>（2+</w:t>
      </w:r>
      <w:r>
        <w:rPr>
          <w:rFonts w:ascii="Times New Roman" w:hAnsi="Times New Roman" w:eastAsia="仿宋" w:cs="Times New Roman"/>
          <w:sz w:val="28"/>
          <w:szCs w:val="28"/>
        </w:rPr>
        <w:t>2</w:t>
      </w:r>
      <w:r>
        <w:rPr>
          <w:rFonts w:hint="eastAsia" w:ascii="Times New Roman" w:hAnsi="Times New Roman" w:eastAsia="仿宋" w:cs="Times New Roman"/>
          <w:sz w:val="28"/>
          <w:szCs w:val="28"/>
        </w:rPr>
        <w:t>+</w:t>
      </w:r>
      <w:r>
        <w:rPr>
          <w:rFonts w:ascii="Times New Roman" w:hAnsi="Times New Roman" w:eastAsia="仿宋" w:cs="Times New Roman"/>
          <w:sz w:val="28"/>
          <w:szCs w:val="28"/>
        </w:rPr>
        <w:t>3+2+1</w:t>
      </w: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hint="eastAsia" w:ascii="Times New Roman" w:hAnsi="Times New Roman" w:eastAsia="仿宋" w:cs="Times New Roman"/>
          <w:sz w:val="28"/>
          <w:szCs w:val="28"/>
        </w:rPr>
        <w:t>=</w:t>
      </w:r>
      <w:r>
        <w:rPr>
          <w:rFonts w:ascii="Times New Roman" w:hAnsi="Times New Roman" w:eastAsia="仿宋" w:cs="Times New Roman"/>
          <w:sz w:val="28"/>
          <w:szCs w:val="28"/>
        </w:rPr>
        <w:t>2+</w:t>
      </w:r>
      <w:r>
        <w:rPr>
          <w:rFonts w:hint="eastAsia" w:ascii="Times New Roman" w:hAnsi="Times New Roman" w:eastAsia="仿宋" w:cs="Times New Roman"/>
          <w:sz w:val="28"/>
          <w:szCs w:val="28"/>
        </w:rPr>
        <w:t>1=3</w:t>
      </w:r>
    </w:p>
    <w:p>
      <w:pPr>
        <w:widowControl/>
        <w:shd w:val="clear" w:color="auto" w:fill="FFFFFF"/>
        <w:wordWrap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（二）修正系数：（1）改正态度，未批先建行为未设定责令改正措施，处罚时尚不能确定是否能最终获得环评批准，故不考虑此修正系数；（2） 在调查中能积极配合调查取证，适用裁量等级为-2；（3）补救措施：处罚时不能确定是否能最终获得环评批准，故不考虑此修正系数；（4）企业经济承受度：该企业属中型企业，适用等级为0；</w:t>
      </w:r>
    </w:p>
    <w:p>
      <w:pPr>
        <w:widowControl/>
        <w:shd w:val="clear" w:color="auto" w:fill="FFFFFF"/>
        <w:wordWrap w:val="0"/>
        <w:ind w:firstLine="280" w:firstLineChars="1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综上，修正系数</w:t>
      </w:r>
      <w:r>
        <w:rPr>
          <w:rFonts w:ascii="Times New Roman" w:hAnsi="Times New Roman" w:eastAsia="仿宋" w:cs="Times New Roman"/>
          <w:sz w:val="28"/>
          <w:szCs w:val="28"/>
        </w:rPr>
        <w:t>B=修正因子数值之和/（所取修正因子个数*2）×30%</w:t>
      </w:r>
      <w:r>
        <w:rPr>
          <w:rFonts w:hint="eastAsia" w:ascii="Times New Roman" w:hAnsi="Times New Roman" w:eastAsia="仿宋" w:cs="Times New Roman"/>
          <w:sz w:val="28"/>
          <w:szCs w:val="28"/>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rPr>
        <w:t>0）/4</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0.15</w:t>
      </w:r>
    </w:p>
    <w:p>
      <w:pPr>
        <w:widowControl/>
        <w:shd w:val="clear" w:color="auto" w:fill="FFFFFF"/>
        <w:wordWrap w:val="0"/>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（三）最终罚款的计算过程</w:t>
      </w:r>
    </w:p>
    <w:p>
      <w:pPr>
        <w:widowControl/>
        <w:shd w:val="clear" w:color="auto" w:fill="FFFFFF"/>
        <w:wordWrap w:val="0"/>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处罚</w:t>
      </w:r>
      <w:r>
        <w:rPr>
          <w:rFonts w:ascii="Times New Roman" w:hAnsi="Times New Roman" w:eastAsia="仿宋" w:cs="Times New Roman"/>
          <w:sz w:val="28"/>
          <w:szCs w:val="28"/>
        </w:rPr>
        <w:t>金额X=处罚下限N+（处罚上限M-下限N）</w:t>
      </w:r>
      <w:bookmarkStart w:id="8" w:name="_Hlk53999952"/>
      <w:r>
        <w:rPr>
          <w:rFonts w:ascii="Times New Roman" w:hAnsi="Times New Roman" w:eastAsia="仿宋" w:cs="Times New Roman"/>
          <w:sz w:val="28"/>
          <w:szCs w:val="28"/>
        </w:rPr>
        <w:t>×</w:t>
      </w:r>
      <w:bookmarkEnd w:id="8"/>
      <w:r>
        <w:rPr>
          <w:rFonts w:ascii="Times New Roman" w:hAnsi="Times New Roman" w:eastAsia="仿宋" w:cs="Times New Roman"/>
          <w:sz w:val="28"/>
          <w:szCs w:val="28"/>
        </w:rPr>
        <w:t>[（A-1）/4]×（1+B）</w:t>
      </w:r>
      <w:r>
        <w:rPr>
          <w:rFonts w:hint="eastAsia" w:ascii="Times New Roman" w:hAnsi="Times New Roman" w:eastAsia="仿宋" w:cs="Times New Roman"/>
          <w:sz w:val="28"/>
          <w:szCs w:val="28"/>
        </w:rPr>
        <w:t>=</w:t>
      </w:r>
      <w:r>
        <w:rPr>
          <w:rFonts w:ascii="Times New Roman" w:hAnsi="Times New Roman" w:eastAsia="仿宋" w:cs="Times New Roman"/>
          <w:sz w:val="28"/>
          <w:szCs w:val="28"/>
        </w:rPr>
        <w:t>75000000×1%+75000000×[5%-1%]×[（3-1）/4] ×</w:t>
      </w: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0.15</w:t>
      </w:r>
      <w:r>
        <w:rPr>
          <w:rFonts w:hint="eastAsia" w:ascii="Times New Roman" w:hAnsi="Times New Roman" w:eastAsia="仿宋" w:cs="Times New Roman"/>
          <w:sz w:val="28"/>
          <w:szCs w:val="28"/>
        </w:rPr>
        <w:t>）=</w:t>
      </w:r>
      <w:r>
        <w:rPr>
          <w:rFonts w:ascii="Times New Roman" w:hAnsi="Times New Roman" w:eastAsia="仿宋" w:cs="Times New Roman"/>
          <w:sz w:val="28"/>
          <w:szCs w:val="28"/>
        </w:rPr>
        <w:t>750000+3000000×0.5×0.8</w:t>
      </w:r>
      <w:r>
        <w:rPr>
          <w:rFonts w:hint="eastAsia" w:ascii="Times New Roman" w:hAnsi="Times New Roman" w:eastAsia="仿宋" w:cs="Times New Roman"/>
          <w:sz w:val="28"/>
          <w:szCs w:val="28"/>
        </w:rPr>
        <w:t>5）=</w:t>
      </w:r>
      <w:r>
        <w:rPr>
          <w:rFonts w:ascii="Times New Roman" w:hAnsi="Times New Roman" w:eastAsia="仿宋" w:cs="Times New Roman"/>
          <w:sz w:val="28"/>
          <w:szCs w:val="28"/>
        </w:rPr>
        <w:t>750000+1275000</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2025000</w:t>
      </w:r>
      <w:r>
        <w:rPr>
          <w:rFonts w:hint="eastAsia" w:ascii="Times New Roman" w:hAnsi="Times New Roman" w:eastAsia="仿宋" w:cs="Times New Roman"/>
          <w:sz w:val="28"/>
          <w:szCs w:val="28"/>
        </w:rPr>
        <w:t>（元）</w:t>
      </w:r>
    </w:p>
    <w:p>
      <w:pPr>
        <w:widowControl/>
        <w:shd w:val="clear" w:color="auto" w:fill="FFFFFF"/>
        <w:wordWrap w:val="0"/>
        <w:ind w:firstLine="980" w:firstLineChars="350"/>
        <w:rPr>
          <w:rFonts w:ascii="仿宋" w:hAnsi="仿宋" w:eastAsia="仿宋" w:cs="Times New Roman"/>
          <w:sz w:val="28"/>
          <w:szCs w:val="28"/>
        </w:rPr>
      </w:pPr>
      <w:r>
        <w:rPr>
          <w:rFonts w:hint="eastAsia" w:ascii="Times New Roman" w:hAnsi="Times New Roman" w:eastAsia="仿宋" w:cs="Times New Roman"/>
          <w:sz w:val="28"/>
          <w:szCs w:val="28"/>
        </w:rPr>
        <w:t>因</w:t>
      </w:r>
      <w:r>
        <w:rPr>
          <w:rFonts w:ascii="Times New Roman" w:hAnsi="Times New Roman" w:eastAsia="仿宋" w:cs="Times New Roman"/>
          <w:sz w:val="28"/>
          <w:szCs w:val="28"/>
        </w:rPr>
        <w:t>罚款金额高于一万</w:t>
      </w:r>
      <w:r>
        <w:rPr>
          <w:rFonts w:hint="eastAsia" w:ascii="Times New Roman" w:hAnsi="Times New Roman" w:eastAsia="仿宋" w:cs="Times New Roman"/>
          <w:sz w:val="28"/>
          <w:szCs w:val="28"/>
        </w:rPr>
        <w:t>，则</w:t>
      </w:r>
      <w:r>
        <w:rPr>
          <w:rFonts w:ascii="Times New Roman" w:hAnsi="Times New Roman" w:eastAsia="仿宋" w:cs="Times New Roman"/>
          <w:sz w:val="28"/>
          <w:szCs w:val="28"/>
        </w:rPr>
        <w:t>按“千”取整</w:t>
      </w:r>
      <w:r>
        <w:rPr>
          <w:rFonts w:hint="eastAsia" w:ascii="Times New Roman" w:hAnsi="Times New Roman" w:eastAsia="仿宋" w:cs="Times New Roman"/>
          <w:sz w:val="28"/>
          <w:szCs w:val="28"/>
        </w:rPr>
        <w:t>，四舍五入后最终确定罚款金额为</w:t>
      </w:r>
      <w:r>
        <w:rPr>
          <w:rFonts w:ascii="Times New Roman" w:hAnsi="Times New Roman" w:eastAsia="仿宋" w:cs="Times New Roman"/>
          <w:sz w:val="28"/>
          <w:szCs w:val="28"/>
        </w:rPr>
        <w:t>2025000</w:t>
      </w:r>
      <w:r>
        <w:rPr>
          <w:rFonts w:hint="eastAsia" w:ascii="Times New Roman" w:hAnsi="Times New Roman" w:eastAsia="仿宋" w:cs="Times New Roman"/>
          <w:sz w:val="28"/>
          <w:szCs w:val="28"/>
        </w:rPr>
        <w:t>元。（约为投资总额的</w:t>
      </w:r>
      <w:r>
        <w:rPr>
          <w:rFonts w:ascii="Times New Roman" w:hAnsi="Times New Roman" w:eastAsia="仿宋" w:cs="Times New Roman"/>
          <w:sz w:val="28"/>
          <w:szCs w:val="28"/>
        </w:rPr>
        <w:t>2.7</w:t>
      </w:r>
      <w:r>
        <w:rPr>
          <w:rFonts w:hint="eastAsia" w:ascii="Times New Roman" w:hAnsi="Times New Roman" w:eastAsia="仿宋" w:cs="Times New Roman"/>
          <w:sz w:val="28"/>
          <w:szCs w:val="28"/>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70511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03"/>
    <w:rsid w:val="000464FC"/>
    <w:rsid w:val="0006600C"/>
    <w:rsid w:val="000828D1"/>
    <w:rsid w:val="000E2A1E"/>
    <w:rsid w:val="000F084B"/>
    <w:rsid w:val="000F7E4D"/>
    <w:rsid w:val="00107FDA"/>
    <w:rsid w:val="00141A39"/>
    <w:rsid w:val="001F27BF"/>
    <w:rsid w:val="002336F8"/>
    <w:rsid w:val="0029027E"/>
    <w:rsid w:val="002A37B9"/>
    <w:rsid w:val="003130B8"/>
    <w:rsid w:val="003C2C8E"/>
    <w:rsid w:val="00456865"/>
    <w:rsid w:val="00464735"/>
    <w:rsid w:val="004923E2"/>
    <w:rsid w:val="0049640E"/>
    <w:rsid w:val="004C5F25"/>
    <w:rsid w:val="005275A6"/>
    <w:rsid w:val="00562532"/>
    <w:rsid w:val="005764D2"/>
    <w:rsid w:val="005826AF"/>
    <w:rsid w:val="00584658"/>
    <w:rsid w:val="006F12A3"/>
    <w:rsid w:val="0078785E"/>
    <w:rsid w:val="00792EE4"/>
    <w:rsid w:val="0081016E"/>
    <w:rsid w:val="00813B20"/>
    <w:rsid w:val="00880E0B"/>
    <w:rsid w:val="008C6FF4"/>
    <w:rsid w:val="008F3CD8"/>
    <w:rsid w:val="009705F6"/>
    <w:rsid w:val="00973731"/>
    <w:rsid w:val="00997A51"/>
    <w:rsid w:val="009A5D83"/>
    <w:rsid w:val="009D61CB"/>
    <w:rsid w:val="009E6023"/>
    <w:rsid w:val="00B00D03"/>
    <w:rsid w:val="00B6230B"/>
    <w:rsid w:val="00B80AD2"/>
    <w:rsid w:val="00BF154D"/>
    <w:rsid w:val="00BF7B4B"/>
    <w:rsid w:val="00C318DD"/>
    <w:rsid w:val="00C31996"/>
    <w:rsid w:val="00C75189"/>
    <w:rsid w:val="00C76F3B"/>
    <w:rsid w:val="00CB182B"/>
    <w:rsid w:val="00CF750B"/>
    <w:rsid w:val="00D158CF"/>
    <w:rsid w:val="00D463A7"/>
    <w:rsid w:val="00DA6DCF"/>
    <w:rsid w:val="00DB294F"/>
    <w:rsid w:val="00DB4A6D"/>
    <w:rsid w:val="00DE2CA0"/>
    <w:rsid w:val="00ED313E"/>
    <w:rsid w:val="00F43322"/>
    <w:rsid w:val="00F9300A"/>
    <w:rsid w:val="00FA7CD8"/>
    <w:rsid w:val="00FC74F8"/>
    <w:rsid w:val="2570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批注框文本 字符"/>
    <w:basedOn w:val="8"/>
    <w:link w:val="2"/>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C3F47-24E5-4F23-9265-FB7A31507BD6}">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676</Words>
  <Characters>3859</Characters>
  <Lines>32</Lines>
  <Paragraphs>9</Paragraphs>
  <TotalTime>224</TotalTime>
  <ScaleCrop>false</ScaleCrop>
  <LinksUpToDate>false</LinksUpToDate>
  <CharactersWithSpaces>4526</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2020-10-15T03:51:00Z</dcterms:created>
  <dc:creator>qian xf</dc:creator>
  <cp:lastModifiedBy>Administrator</cp:lastModifiedBy>
  <dcterms:modified xsi:type="dcterms:W3CDTF">2021-07-29T06:26:00Z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