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30" w:lineRule="auto"/>
        <w:ind w:left="141"/>
        <w:rPr>
          <w:rFonts w:ascii="Arial"/>
          <w:sz w:val="21"/>
        </w:rPr>
      </w:pPr>
      <w:r>
        <w:rPr>
          <w:rFonts w:ascii="黑体" w:hAnsi="黑体" w:eastAsia="黑体" w:cs="黑体"/>
          <w:spacing w:val="-3"/>
          <w:sz w:val="31"/>
          <w:szCs w:val="31"/>
        </w:rPr>
        <w:t>附件</w:t>
      </w:r>
    </w:p>
    <w:p>
      <w:pPr>
        <w:spacing w:before="185" w:line="210" w:lineRule="auto"/>
        <w:jc w:val="center"/>
        <w:rPr>
          <w:rFonts w:ascii="微软雅黑" w:hAnsi="微软雅黑" w:eastAsia="微软雅黑" w:cs="微软雅黑"/>
          <w:sz w:val="32"/>
          <w:szCs w:val="32"/>
        </w:rPr>
      </w:pPr>
      <w:r>
        <w:rPr>
          <w:rFonts w:ascii="微软雅黑" w:hAnsi="微软雅黑" w:eastAsia="方正小标宋简体" w:cs="微软雅黑"/>
          <w:spacing w:val="41"/>
          <w:sz w:val="44"/>
          <w:szCs w:val="44"/>
        </w:rPr>
        <w:t>一表读懂涉企政策</w:t>
      </w:r>
    </w:p>
    <w:p>
      <w:pPr>
        <w:spacing w:line="178" w:lineRule="exact"/>
      </w:pPr>
    </w:p>
    <w:tbl>
      <w:tblPr>
        <w:tblStyle w:val="9"/>
        <w:tblpPr w:leftFromText="180" w:rightFromText="180" w:vertAnchor="text" w:horzAnchor="page" w:tblpX="1189" w:tblpY="218"/>
        <w:tblOverlap w:val="never"/>
        <w:tblW w:w="143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1687"/>
        <w:gridCol w:w="4379"/>
        <w:gridCol w:w="864"/>
        <w:gridCol w:w="875"/>
        <w:gridCol w:w="977"/>
        <w:gridCol w:w="966"/>
        <w:gridCol w:w="1182"/>
        <w:gridCol w:w="1595"/>
        <w:gridCol w:w="12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4304" w:type="dxa"/>
            <w:gridSpan w:val="10"/>
            <w:noWrap w:val="0"/>
            <w:vAlign w:val="top"/>
          </w:tcPr>
          <w:p>
            <w:pPr>
              <w:keepNext w:val="0"/>
              <w:keepLines w:val="0"/>
              <w:pageBreakBefore w:val="0"/>
              <w:widowControl w:val="0"/>
              <w:tabs>
                <w:tab w:val="left" w:pos="5870"/>
              </w:tabs>
              <w:kinsoku/>
              <w:wordWrap/>
              <w:overflowPunct/>
              <w:topLinePunct w:val="0"/>
              <w:autoSpaceDE/>
              <w:autoSpaceDN/>
              <w:bidi w:val="0"/>
              <w:adjustRightInd/>
              <w:snapToGrid/>
              <w:spacing w:line="360" w:lineRule="auto"/>
              <w:jc w:val="center"/>
              <w:textAlignment w:val="auto"/>
              <w:rPr>
                <w:rFonts w:hint="default" w:ascii="黑体" w:hAnsi="黑体" w:eastAsia="黑体" w:cs="黑体"/>
                <w:sz w:val="30"/>
                <w:szCs w:val="30"/>
                <w:lang w:val="en-US" w:eastAsia="zh-CN"/>
              </w:rPr>
            </w:pPr>
            <w:r>
              <w:rPr>
                <w:rFonts w:hint="eastAsia" w:ascii="黑体" w:hAnsi="黑体" w:eastAsia="黑体" w:cs="黑体"/>
                <w:sz w:val="30"/>
                <w:szCs w:val="30"/>
              </w:rPr>
              <w:t>安宁市促进电子商务高质量发展扶持办法（试行）</w:t>
            </w:r>
            <w:r>
              <w:rPr>
                <w:rFonts w:hint="eastAsia" w:ascii="黑体" w:hAnsi="黑体" w:eastAsia="黑体" w:cs="黑体"/>
                <w:sz w:val="30"/>
                <w:szCs w:val="30"/>
                <w:lang w:val="en-US" w:eastAsia="zh-CN"/>
              </w:rPr>
              <w:t>的通知</w:t>
            </w:r>
            <w:bookmarkStart w:id="0" w:name="_GoBack"/>
            <w:bookmarkEnd w:id="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519" w:type="dxa"/>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233"/>
              <w:jc w:val="center"/>
              <w:textAlignment w:val="auto"/>
              <w:rPr>
                <w:rFonts w:hint="eastAsia" w:ascii="黑体" w:hAnsi="黑体" w:eastAsia="黑体" w:cs="黑体"/>
                <w:sz w:val="32"/>
                <w:szCs w:val="32"/>
              </w:rPr>
            </w:pPr>
            <w:r>
              <w:rPr>
                <w:rFonts w:hint="eastAsia" w:ascii="黑体" w:hAnsi="黑体" w:eastAsia="黑体" w:cs="黑体"/>
                <w:spacing w:val="-7"/>
                <w:sz w:val="32"/>
                <w:szCs w:val="32"/>
              </w:rPr>
              <w:t>序</w:t>
            </w:r>
            <w:r>
              <w:rPr>
                <w:rFonts w:hint="eastAsia" w:ascii="黑体" w:hAnsi="黑体" w:eastAsia="黑体" w:cs="黑体"/>
                <w:spacing w:val="-4"/>
                <w:sz w:val="32"/>
                <w:szCs w:val="32"/>
              </w:rPr>
              <w:t xml:space="preserve"> 号</w:t>
            </w:r>
          </w:p>
        </w:tc>
        <w:tc>
          <w:tcPr>
            <w:tcW w:w="168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12"/>
              <w:jc w:val="center"/>
              <w:textAlignment w:val="auto"/>
              <w:rPr>
                <w:rFonts w:hint="eastAsia" w:ascii="黑体" w:hAnsi="黑体" w:eastAsia="黑体" w:cs="黑体"/>
                <w:sz w:val="32"/>
                <w:szCs w:val="32"/>
              </w:rPr>
            </w:pPr>
            <w:r>
              <w:rPr>
                <w:rFonts w:hint="eastAsia" w:ascii="黑体" w:hAnsi="黑体" w:eastAsia="黑体" w:cs="黑体"/>
                <w:spacing w:val="-2"/>
                <w:sz w:val="32"/>
                <w:szCs w:val="32"/>
              </w:rPr>
              <w:t>政</w:t>
            </w:r>
            <w:r>
              <w:rPr>
                <w:rFonts w:hint="eastAsia" w:ascii="黑体" w:hAnsi="黑体" w:eastAsia="黑体" w:cs="黑体"/>
                <w:spacing w:val="-1"/>
                <w:sz w:val="32"/>
                <w:szCs w:val="32"/>
              </w:rPr>
              <w:t>策具体措施</w:t>
            </w:r>
          </w:p>
        </w:tc>
        <w:tc>
          <w:tcPr>
            <w:tcW w:w="437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17"/>
              <w:jc w:val="center"/>
              <w:textAlignment w:val="auto"/>
              <w:rPr>
                <w:rFonts w:hint="eastAsia" w:ascii="黑体" w:hAnsi="黑体" w:eastAsia="黑体" w:cs="黑体"/>
                <w:sz w:val="32"/>
                <w:szCs w:val="32"/>
              </w:rPr>
            </w:pPr>
            <w:r>
              <w:rPr>
                <w:rFonts w:hint="eastAsia" w:ascii="黑体" w:hAnsi="黑体" w:eastAsia="黑体" w:cs="黑体"/>
                <w:spacing w:val="-4"/>
                <w:sz w:val="32"/>
                <w:szCs w:val="32"/>
              </w:rPr>
              <w:t>细</w:t>
            </w:r>
            <w:r>
              <w:rPr>
                <w:rFonts w:hint="eastAsia" w:ascii="黑体" w:hAnsi="黑体" w:eastAsia="黑体" w:cs="黑体"/>
                <w:spacing w:val="-3"/>
                <w:sz w:val="32"/>
                <w:szCs w:val="32"/>
              </w:rPr>
              <w:t>化措施</w:t>
            </w:r>
          </w:p>
        </w:tc>
        <w:tc>
          <w:tcPr>
            <w:tcW w:w="86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5"/>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pacing w:val="-5"/>
                <w:sz w:val="32"/>
                <w:szCs w:val="32"/>
              </w:rPr>
              <w:t>有</w:t>
            </w:r>
            <w:r>
              <w:rPr>
                <w:rFonts w:hint="eastAsia" w:ascii="黑体" w:hAnsi="黑体" w:eastAsia="黑体" w:cs="黑体"/>
                <w:spacing w:val="-3"/>
                <w:sz w:val="32"/>
                <w:szCs w:val="32"/>
              </w:rPr>
              <w:t>效期</w:t>
            </w:r>
          </w:p>
        </w:tc>
        <w:tc>
          <w:tcPr>
            <w:tcW w:w="87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9"/>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8"/>
                <w:sz w:val="32"/>
                <w:szCs w:val="32"/>
              </w:rPr>
            </w:pPr>
            <w:r>
              <w:rPr>
                <w:rFonts w:hint="eastAsia" w:ascii="黑体" w:hAnsi="黑体" w:eastAsia="黑体" w:cs="黑体"/>
                <w:spacing w:val="-9"/>
                <w:sz w:val="32"/>
                <w:szCs w:val="32"/>
              </w:rPr>
              <w:t>申</w:t>
            </w:r>
            <w:r>
              <w:rPr>
                <w:rFonts w:hint="eastAsia" w:ascii="黑体" w:hAnsi="黑体" w:eastAsia="黑体" w:cs="黑体"/>
                <w:spacing w:val="-8"/>
                <w:sz w:val="32"/>
                <w:szCs w:val="32"/>
              </w:rPr>
              <w:t>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pacing w:val="-8"/>
                <w:sz w:val="32"/>
                <w:szCs w:val="32"/>
              </w:rPr>
              <w:t>要求</w:t>
            </w:r>
          </w:p>
        </w:tc>
        <w:tc>
          <w:tcPr>
            <w:tcW w:w="977"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21"/>
              <w:jc w:val="center"/>
              <w:textAlignment w:val="auto"/>
              <w:rPr>
                <w:rFonts w:hint="eastAsia" w:ascii="黑体" w:hAnsi="黑体" w:eastAsia="黑体" w:cs="黑体"/>
                <w:sz w:val="32"/>
                <w:szCs w:val="32"/>
              </w:rPr>
            </w:pPr>
            <w:r>
              <w:rPr>
                <w:rFonts w:hint="eastAsia" w:ascii="黑体" w:hAnsi="黑体" w:eastAsia="黑体" w:cs="黑体"/>
                <w:spacing w:val="-6"/>
                <w:sz w:val="32"/>
                <w:szCs w:val="32"/>
              </w:rPr>
              <w:t>责</w:t>
            </w:r>
            <w:r>
              <w:rPr>
                <w:rFonts w:hint="eastAsia" w:ascii="黑体" w:hAnsi="黑体" w:eastAsia="黑体" w:cs="黑体"/>
                <w:spacing w:val="-3"/>
                <w:sz w:val="32"/>
                <w:szCs w:val="32"/>
              </w:rPr>
              <w:t>任单位</w:t>
            </w:r>
          </w:p>
        </w:tc>
        <w:tc>
          <w:tcPr>
            <w:tcW w:w="96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22"/>
              <w:jc w:val="center"/>
              <w:textAlignment w:val="auto"/>
              <w:rPr>
                <w:rFonts w:hint="eastAsia" w:ascii="黑体" w:hAnsi="黑体" w:eastAsia="黑体" w:cs="黑体"/>
                <w:sz w:val="32"/>
                <w:szCs w:val="32"/>
              </w:rPr>
            </w:pPr>
            <w:r>
              <w:rPr>
                <w:rFonts w:hint="eastAsia" w:ascii="黑体" w:hAnsi="黑体" w:eastAsia="黑体" w:cs="黑体"/>
                <w:spacing w:val="-6"/>
                <w:sz w:val="32"/>
                <w:szCs w:val="32"/>
              </w:rPr>
              <w:t>责</w:t>
            </w:r>
            <w:r>
              <w:rPr>
                <w:rFonts w:hint="eastAsia" w:ascii="黑体" w:hAnsi="黑体" w:eastAsia="黑体" w:cs="黑体"/>
                <w:spacing w:val="-3"/>
                <w:sz w:val="32"/>
                <w:szCs w:val="32"/>
              </w:rPr>
              <w:t>任处室</w:t>
            </w:r>
          </w:p>
        </w:tc>
        <w:tc>
          <w:tcPr>
            <w:tcW w:w="118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24"/>
              <w:jc w:val="center"/>
              <w:textAlignment w:val="auto"/>
              <w:rPr>
                <w:rFonts w:hint="eastAsia" w:ascii="黑体" w:hAnsi="黑体" w:eastAsia="黑体" w:cs="黑体"/>
                <w:sz w:val="32"/>
                <w:szCs w:val="32"/>
              </w:rPr>
            </w:pPr>
            <w:r>
              <w:rPr>
                <w:rFonts w:hint="eastAsia" w:ascii="黑体" w:hAnsi="黑体" w:eastAsia="黑体" w:cs="黑体"/>
                <w:spacing w:val="-4"/>
                <w:sz w:val="32"/>
                <w:szCs w:val="32"/>
              </w:rPr>
              <w:t>具</w:t>
            </w:r>
            <w:r>
              <w:rPr>
                <w:rFonts w:hint="eastAsia" w:ascii="黑体" w:hAnsi="黑体" w:eastAsia="黑体" w:cs="黑体"/>
                <w:spacing w:val="-3"/>
                <w:sz w:val="32"/>
                <w:szCs w:val="32"/>
              </w:rPr>
              <w:t>体负责人</w:t>
            </w:r>
          </w:p>
        </w:tc>
        <w:tc>
          <w:tcPr>
            <w:tcW w:w="15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36" w:right="101" w:hanging="17"/>
              <w:jc w:val="center"/>
              <w:textAlignment w:val="auto"/>
              <w:rPr>
                <w:rFonts w:hint="eastAsia" w:ascii="黑体" w:hAnsi="黑体" w:eastAsia="黑体" w:cs="黑体"/>
                <w:sz w:val="32"/>
                <w:szCs w:val="32"/>
              </w:rPr>
            </w:pPr>
            <w:r>
              <w:rPr>
                <w:rFonts w:hint="eastAsia" w:ascii="黑体" w:hAnsi="黑体" w:eastAsia="黑体" w:cs="黑体"/>
                <w:spacing w:val="16"/>
                <w:sz w:val="32"/>
                <w:szCs w:val="32"/>
              </w:rPr>
              <w:t>联</w:t>
            </w:r>
            <w:r>
              <w:rPr>
                <w:rFonts w:hint="eastAsia" w:ascii="黑体" w:hAnsi="黑体" w:eastAsia="黑体" w:cs="黑体"/>
                <w:spacing w:val="15"/>
                <w:sz w:val="32"/>
                <w:szCs w:val="32"/>
              </w:rPr>
              <w:t>系电话</w:t>
            </w:r>
            <w:r>
              <w:rPr>
                <w:rFonts w:hint="eastAsia" w:ascii="黑体" w:hAnsi="黑体" w:eastAsia="黑体" w:cs="黑体"/>
                <w:sz w:val="32"/>
                <w:szCs w:val="32"/>
              </w:rPr>
              <w:t xml:space="preserve"> </w:t>
            </w:r>
            <w:r>
              <w:rPr>
                <w:rFonts w:hint="eastAsia" w:ascii="黑体" w:hAnsi="黑体" w:eastAsia="黑体" w:cs="黑体"/>
                <w:spacing w:val="23"/>
                <w:sz w:val="32"/>
                <w:szCs w:val="32"/>
              </w:rPr>
              <w:t>(</w:t>
            </w:r>
            <w:r>
              <w:rPr>
                <w:rFonts w:hint="eastAsia" w:ascii="黑体" w:hAnsi="黑体" w:eastAsia="黑体" w:cs="黑体"/>
                <w:spacing w:val="21"/>
                <w:sz w:val="32"/>
                <w:szCs w:val="32"/>
              </w:rPr>
              <w:t>座机)</w:t>
            </w:r>
          </w:p>
        </w:tc>
        <w:tc>
          <w:tcPr>
            <w:tcW w:w="126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17"/>
              <w:jc w:val="center"/>
              <w:textAlignment w:val="auto"/>
              <w:rPr>
                <w:rFonts w:hint="eastAsia" w:ascii="黑体" w:hAnsi="黑体" w:eastAsia="黑体" w:cs="黑体"/>
                <w:sz w:val="32"/>
                <w:szCs w:val="32"/>
              </w:rPr>
            </w:pPr>
            <w:r>
              <w:rPr>
                <w:rFonts w:hint="eastAsia" w:ascii="黑体" w:hAnsi="黑体" w:eastAsia="黑体" w:cs="黑体"/>
                <w:spacing w:val="-3"/>
                <w:sz w:val="32"/>
                <w:szCs w:val="32"/>
              </w:rPr>
              <w:t>备</w:t>
            </w:r>
            <w:r>
              <w:rPr>
                <w:rFonts w:hint="eastAsia" w:ascii="黑体" w:hAnsi="黑体" w:eastAsia="黑体" w:cs="黑体"/>
                <w:spacing w:val="-2"/>
                <w:sz w:val="32"/>
                <w:szCs w:val="3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519" w:type="dxa"/>
            <w:noWrap w:val="0"/>
            <w:vAlign w:val="top"/>
          </w:tcPr>
          <w:p>
            <w:pPr>
              <w:spacing w:line="276" w:lineRule="auto"/>
              <w:rPr>
                <w:rFonts w:hint="default" w:ascii="Times New Roman" w:hAnsi="Times New Roman" w:eastAsia="仿宋_GB2312" w:cs="Times New Roman"/>
                <w:sz w:val="28"/>
                <w:szCs w:val="28"/>
              </w:rPr>
            </w:pPr>
          </w:p>
          <w:p>
            <w:pPr>
              <w:spacing w:line="276" w:lineRule="auto"/>
              <w:rPr>
                <w:rFonts w:hint="default" w:ascii="Times New Roman" w:hAnsi="Times New Roman" w:eastAsia="仿宋_GB2312" w:cs="Times New Roman"/>
                <w:sz w:val="28"/>
                <w:szCs w:val="28"/>
              </w:rPr>
            </w:pPr>
          </w:p>
          <w:p>
            <w:pPr>
              <w:spacing w:before="57" w:line="195" w:lineRule="auto"/>
              <w:ind w:left="13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687" w:type="dxa"/>
            <w:noWrap w:val="0"/>
            <w:vAlign w:val="top"/>
          </w:tcPr>
          <w:p>
            <w:pPr>
              <w:spacing w:line="360" w:lineRule="exact"/>
              <w:rPr>
                <w:rFonts w:hint="default" w:eastAsia="宋体"/>
                <w:sz w:val="18"/>
                <w:szCs w:val="18"/>
                <w:lang w:val="en-US" w:eastAsia="zh-CN"/>
              </w:rPr>
            </w:pPr>
            <w:r>
              <w:rPr>
                <w:rFonts w:hint="eastAsia" w:ascii="Times New Roman" w:hAnsi="Times New Roman" w:eastAsia="宋体" w:cs="Times New Roman"/>
                <w:sz w:val="15"/>
                <w:szCs w:val="15"/>
                <w:lang w:val="en-US" w:eastAsia="zh-CN"/>
              </w:rPr>
              <w:t>本办法适用于在安宁市依法设立的电子商务企业（含个体）。本办法所称“电子商务企业”包括以下类型：平台型电子商务企业、运营型电子商务企业、服务型电子商务企业、结算型电子商务企业、应用型电子商务企业；对本地电子商务产业的奖励和扶持以及电子商务进农村项目的扶持和奖励。</w:t>
            </w:r>
          </w:p>
        </w:tc>
        <w:tc>
          <w:tcPr>
            <w:tcW w:w="4379" w:type="dxa"/>
            <w:noWrap w:val="0"/>
            <w:vAlign w:val="top"/>
          </w:tcPr>
          <w:p>
            <w:pPr>
              <w:spacing w:line="360" w:lineRule="exact"/>
              <w:rPr>
                <w:rFonts w:hint="eastAsia" w:eastAsia="宋体"/>
                <w:sz w:val="18"/>
                <w:szCs w:val="18"/>
                <w:lang w:eastAsia="zh-CN"/>
              </w:rPr>
            </w:pPr>
            <w:r>
              <w:rPr>
                <w:rFonts w:hint="default" w:eastAsia="宋体"/>
                <w:sz w:val="15"/>
                <w:szCs w:val="15"/>
              </w:rPr>
              <w:t>电子商务企业（个人）年内上限入规的企业（个体），给予新入库企业（个体）补助持续3年的补助，第一年奖励10万元（个体奖励3万元），第二年、第三年依据成长性综合评价情况，按年度兑现与第一年相应的额度奖励</w:t>
            </w:r>
            <w:r>
              <w:rPr>
                <w:rFonts w:hint="eastAsia" w:eastAsia="宋体"/>
                <w:sz w:val="15"/>
                <w:szCs w:val="15"/>
                <w:lang w:eastAsia="zh-CN"/>
              </w:rPr>
              <w:t>；</w:t>
            </w:r>
            <w:r>
              <w:rPr>
                <w:rFonts w:hint="default" w:eastAsia="宋体"/>
                <w:sz w:val="15"/>
                <w:szCs w:val="15"/>
              </w:rPr>
              <w:t>大力扶持网货供应商</w:t>
            </w:r>
            <w:r>
              <w:rPr>
                <w:rFonts w:hint="eastAsia" w:eastAsia="宋体"/>
                <w:sz w:val="15"/>
                <w:szCs w:val="15"/>
                <w:lang w:eastAsia="zh-CN"/>
              </w:rPr>
              <w:t>，</w:t>
            </w:r>
            <w:r>
              <w:rPr>
                <w:rFonts w:hint="default" w:eastAsia="宋体"/>
                <w:sz w:val="15"/>
                <w:szCs w:val="15"/>
              </w:rPr>
              <w:t>对注册在安宁市辖区并从事电子商务加工、包装、服务的企业（个体），实现年供货线上销售额500万元以上的企业，奖励10万元</w:t>
            </w:r>
            <w:r>
              <w:rPr>
                <w:rFonts w:hint="eastAsia" w:eastAsia="宋体"/>
                <w:sz w:val="15"/>
                <w:szCs w:val="15"/>
                <w:lang w:eastAsia="zh-CN"/>
              </w:rPr>
              <w:t>；鼓励生产企业创新开发适合网络销售的新产品并上线销售，新产品单品线上年销售额超过50万元，奖励1万元；年销售额超过100万元，奖励2万元；年销售额超过200万元，奖励3万元；市内法人企业通过落户第三方电子商务企业平台，在本地开展网上交易、结算等电子商务活动，网上年零售总额达到500万元以上的，按照其实际发生的网络服务年费的30%给予奖励，奖励年限为3年，累计奖励金额最高不超过10万元，企业加入多家第三方电子商务企业平台的不重复享受；</w:t>
            </w:r>
            <w:r>
              <w:rPr>
                <w:rFonts w:hint="eastAsia" w:ascii="Times New Roman" w:hAnsi="Times New Roman" w:eastAsia="宋体" w:cs="Times New Roman"/>
                <w:sz w:val="15"/>
                <w:szCs w:val="15"/>
                <w:lang w:val="en-US" w:eastAsia="zh-CN"/>
              </w:rPr>
              <w:t>对年会员会费收入超过500万元的市内第三方电子商务服务平台，注册收费会员突破1000户、3000户的，分别按10万元、20万元给予一次性奖励。根据上级文件要求依法按程序选择综合实力强、网络体系完备、社会影响力大的大型龙头流通电商企业作为战略合作方，负责承担电子商务进农村综合示范项目建设，建成市级运营中心和市、街道、村三级网络体系，并按有关规定给予适当扶持和奖励。运营中心建设奖励、品牌推广奖励、网点建设及运营奖励。鼓励本市商贸流通企业运用大数据、云计算在国内知名第三方平台（如京东、淘宝、1号店等）建立安宁市地方特色馆，线上年销售额达到500万元以上并成功上限入统的，经商务、市场部门认定，给予一次性奖励30万元。对为本地电商企业产品互联网化提供设计、包装、信用认证、网络营销等技术服务的企业，年营业收入超过2000万元的，给予一次性奖励20万元。</w:t>
            </w:r>
          </w:p>
        </w:tc>
        <w:tc>
          <w:tcPr>
            <w:tcW w:w="864" w:type="dxa"/>
            <w:noWrap w:val="0"/>
            <w:vAlign w:val="top"/>
          </w:tcPr>
          <w:p>
            <w:pPr>
              <w:spacing w:before="168" w:line="259" w:lineRule="auto"/>
              <w:ind w:left="114" w:right="108" w:firstLine="10"/>
              <w:jc w:val="center"/>
              <w:rPr>
                <w:rFonts w:hint="default" w:ascii="Times New Roman" w:hAnsi="Times New Roman" w:eastAsia="仿宋_GB2312" w:cs="Times New Roman"/>
                <w:spacing w:val="32"/>
                <w:sz w:val="28"/>
                <w:szCs w:val="28"/>
                <w:lang w:val="en-US"/>
              </w:rPr>
            </w:pPr>
            <w:r>
              <w:rPr>
                <w:rFonts w:hint="eastAsia" w:cs="Times New Roman"/>
                <w:spacing w:val="32"/>
                <w:sz w:val="28"/>
                <w:szCs w:val="28"/>
                <w:lang w:val="en-US" w:eastAsia="zh-CN"/>
              </w:rPr>
              <w:t>三年</w:t>
            </w:r>
          </w:p>
        </w:tc>
        <w:tc>
          <w:tcPr>
            <w:tcW w:w="875" w:type="dxa"/>
            <w:noWrap w:val="0"/>
            <w:vAlign w:val="top"/>
          </w:tcPr>
          <w:p>
            <w:pPr>
              <w:spacing w:before="168" w:line="259" w:lineRule="auto"/>
              <w:ind w:left="114" w:right="108" w:firstLine="10"/>
              <w:jc w:val="center"/>
              <w:rPr>
                <w:rFonts w:hint="eastAsia" w:eastAsia="宋体"/>
                <w:sz w:val="18"/>
                <w:szCs w:val="18"/>
                <w:lang w:eastAsia="zh-CN"/>
              </w:rPr>
            </w:pPr>
            <w:r>
              <w:rPr>
                <w:rFonts w:hint="eastAsia" w:eastAsia="宋体"/>
                <w:sz w:val="18"/>
                <w:szCs w:val="18"/>
                <w:lang w:eastAsia="zh-CN"/>
              </w:rPr>
              <w:t>本政策由牵头单位负责解释如遇国家相关政策调整需予以修订的，按新修订的办法执行。</w:t>
            </w:r>
          </w:p>
          <w:p>
            <w:pPr>
              <w:spacing w:before="168" w:line="259" w:lineRule="auto"/>
              <w:ind w:left="114" w:right="108" w:firstLine="10"/>
              <w:jc w:val="center"/>
              <w:rPr>
                <w:rFonts w:hint="default" w:ascii="Times New Roman" w:hAnsi="Times New Roman" w:eastAsia="仿宋_GB2312" w:cs="Times New Roman"/>
                <w:spacing w:val="32"/>
                <w:sz w:val="28"/>
                <w:szCs w:val="28"/>
                <w:lang w:val="en-US"/>
              </w:rPr>
            </w:pPr>
          </w:p>
        </w:tc>
        <w:tc>
          <w:tcPr>
            <w:tcW w:w="977" w:type="dxa"/>
            <w:noWrap w:val="0"/>
            <w:vAlign w:val="top"/>
          </w:tcPr>
          <w:p>
            <w:pPr>
              <w:spacing w:line="254" w:lineRule="auto"/>
              <w:jc w:val="center"/>
              <w:rPr>
                <w:rFonts w:hint="default" w:ascii="Times New Roman" w:hAnsi="Times New Roman" w:eastAsia="仿宋_GB2312" w:cs="Times New Roman"/>
                <w:sz w:val="28"/>
                <w:szCs w:val="28"/>
              </w:rPr>
            </w:pPr>
          </w:p>
          <w:p>
            <w:pPr>
              <w:spacing w:line="255" w:lineRule="auto"/>
              <w:jc w:val="center"/>
              <w:rPr>
                <w:rFonts w:hint="default" w:ascii="Times New Roman" w:hAnsi="Times New Roman" w:eastAsia="仿宋_GB2312" w:cs="Times New Roman"/>
                <w:sz w:val="28"/>
                <w:szCs w:val="28"/>
              </w:rPr>
            </w:pPr>
          </w:p>
          <w:p>
            <w:pPr>
              <w:spacing w:before="65" w:line="228" w:lineRule="auto"/>
              <w:ind w:left="118"/>
              <w:jc w:val="center"/>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pacing w:val="6"/>
                <w:sz w:val="28"/>
                <w:szCs w:val="28"/>
                <w:lang w:eastAsia="zh-CN"/>
              </w:rPr>
              <w:t>市</w:t>
            </w:r>
            <w:r>
              <w:rPr>
                <w:rFonts w:hint="eastAsia" w:cs="Times New Roman"/>
                <w:spacing w:val="6"/>
                <w:sz w:val="28"/>
                <w:szCs w:val="28"/>
                <w:lang w:eastAsia="zh-CN"/>
              </w:rPr>
              <w:t>发改局</w:t>
            </w:r>
          </w:p>
        </w:tc>
        <w:tc>
          <w:tcPr>
            <w:tcW w:w="966" w:type="dxa"/>
            <w:noWrap w:val="0"/>
            <w:vAlign w:val="top"/>
          </w:tcPr>
          <w:p>
            <w:pPr>
              <w:spacing w:line="254" w:lineRule="auto"/>
              <w:jc w:val="center"/>
              <w:rPr>
                <w:rFonts w:hint="default" w:ascii="Times New Roman" w:hAnsi="Times New Roman" w:eastAsia="仿宋_GB2312" w:cs="Times New Roman"/>
                <w:sz w:val="28"/>
                <w:szCs w:val="28"/>
              </w:rPr>
            </w:pPr>
          </w:p>
          <w:p>
            <w:pPr>
              <w:spacing w:line="255" w:lineRule="auto"/>
              <w:jc w:val="center"/>
              <w:rPr>
                <w:rFonts w:hint="default" w:ascii="Times New Roman" w:hAnsi="Times New Roman" w:eastAsia="仿宋_GB2312" w:cs="Times New Roman"/>
                <w:sz w:val="28"/>
                <w:szCs w:val="28"/>
              </w:rPr>
            </w:pPr>
          </w:p>
          <w:p>
            <w:pPr>
              <w:spacing w:before="65" w:line="228" w:lineRule="auto"/>
              <w:ind w:left="119"/>
              <w:jc w:val="center"/>
              <w:rPr>
                <w:rFonts w:hint="eastAsia" w:ascii="Times New Roman" w:hAnsi="Times New Roman" w:eastAsia="仿宋_GB2312" w:cs="Times New Roman"/>
                <w:sz w:val="28"/>
                <w:szCs w:val="28"/>
                <w:lang w:eastAsia="zh-CN"/>
              </w:rPr>
            </w:pPr>
            <w:r>
              <w:rPr>
                <w:rFonts w:hint="eastAsia" w:cs="Times New Roman"/>
                <w:spacing w:val="5"/>
                <w:sz w:val="28"/>
                <w:szCs w:val="28"/>
                <w:lang w:eastAsia="zh-CN"/>
              </w:rPr>
              <w:t>商贸科</w:t>
            </w:r>
          </w:p>
        </w:tc>
        <w:tc>
          <w:tcPr>
            <w:tcW w:w="1182" w:type="dxa"/>
            <w:noWrap w:val="0"/>
            <w:vAlign w:val="top"/>
          </w:tcPr>
          <w:p>
            <w:pPr>
              <w:spacing w:line="277" w:lineRule="auto"/>
              <w:jc w:val="center"/>
              <w:rPr>
                <w:rFonts w:hint="default" w:ascii="Times New Roman" w:hAnsi="Times New Roman" w:eastAsia="仿宋_GB2312" w:cs="Times New Roman"/>
                <w:sz w:val="28"/>
                <w:szCs w:val="28"/>
              </w:rPr>
            </w:pPr>
          </w:p>
          <w:p>
            <w:pPr>
              <w:spacing w:line="278" w:lineRule="auto"/>
              <w:jc w:val="center"/>
              <w:rPr>
                <w:rFonts w:hint="default" w:ascii="Times New Roman" w:hAnsi="Times New Roman" w:eastAsia="仿宋_GB2312" w:cs="Times New Roman"/>
                <w:sz w:val="28"/>
                <w:szCs w:val="28"/>
              </w:rPr>
            </w:pPr>
          </w:p>
          <w:p>
            <w:pPr>
              <w:spacing w:before="57" w:line="192" w:lineRule="auto"/>
              <w:ind w:left="108"/>
              <w:jc w:val="center"/>
              <w:rPr>
                <w:rFonts w:hint="eastAsia" w:ascii="Times New Roman" w:hAnsi="Times New Roman" w:eastAsia="仿宋_GB2312" w:cs="Times New Roman"/>
                <w:sz w:val="28"/>
                <w:szCs w:val="28"/>
                <w:lang w:eastAsia="zh-CN"/>
              </w:rPr>
            </w:pPr>
            <w:r>
              <w:rPr>
                <w:rFonts w:hint="eastAsia" w:cs="Times New Roman"/>
                <w:spacing w:val="6"/>
                <w:sz w:val="28"/>
                <w:szCs w:val="28"/>
                <w:lang w:val="en-US" w:eastAsia="zh-CN"/>
              </w:rPr>
              <w:t>张媛媛</w:t>
            </w:r>
          </w:p>
        </w:tc>
        <w:tc>
          <w:tcPr>
            <w:tcW w:w="1595" w:type="dxa"/>
            <w:noWrap w:val="0"/>
            <w:vAlign w:val="top"/>
          </w:tcPr>
          <w:p>
            <w:pPr>
              <w:spacing w:line="423" w:lineRule="auto"/>
              <w:jc w:val="center"/>
              <w:rPr>
                <w:rFonts w:hint="default" w:ascii="Times New Roman" w:hAnsi="Times New Roman" w:eastAsia="仿宋_GB2312" w:cs="Times New Roman"/>
                <w:sz w:val="28"/>
                <w:szCs w:val="28"/>
              </w:rPr>
            </w:pPr>
          </w:p>
          <w:p>
            <w:pPr>
              <w:spacing w:before="65"/>
              <w:ind w:left="114"/>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0</w:t>
            </w:r>
            <w:r>
              <w:rPr>
                <w:rFonts w:hint="default" w:ascii="Times New Roman" w:hAnsi="Times New Roman" w:eastAsia="仿宋_GB2312" w:cs="Times New Roman"/>
                <w:spacing w:val="4"/>
                <w:sz w:val="28"/>
                <w:szCs w:val="28"/>
              </w:rPr>
              <w:t>871—</w:t>
            </w:r>
          </w:p>
          <w:p>
            <w:pPr>
              <w:spacing w:line="191" w:lineRule="auto"/>
              <w:ind w:left="108"/>
              <w:jc w:val="center"/>
              <w:rPr>
                <w:rFonts w:hint="default" w:ascii="Times New Roman" w:hAnsi="Times New Roman" w:eastAsia="仿宋_GB2312" w:cs="Times New Roman"/>
                <w:sz w:val="28"/>
                <w:szCs w:val="28"/>
                <w:lang w:val="en-US" w:eastAsia="zh-CN"/>
              </w:rPr>
            </w:pPr>
            <w:r>
              <w:rPr>
                <w:rFonts w:hint="eastAsia" w:cs="Times New Roman"/>
                <w:spacing w:val="9"/>
                <w:sz w:val="28"/>
                <w:szCs w:val="28"/>
                <w:lang w:val="en-US" w:eastAsia="zh-CN"/>
              </w:rPr>
              <w:t>68691975</w:t>
            </w:r>
          </w:p>
        </w:tc>
        <w:tc>
          <w:tcPr>
            <w:tcW w:w="1260" w:type="dxa"/>
            <w:noWrap w:val="0"/>
            <w:vAlign w:val="top"/>
          </w:tcPr>
          <w:p>
            <w:pPr>
              <w:spacing w:before="168" w:line="259" w:lineRule="auto"/>
              <w:ind w:left="114" w:right="108" w:firstLine="1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32"/>
                <w:sz w:val="28"/>
                <w:szCs w:val="28"/>
              </w:rPr>
              <w:t>(</w:t>
            </w:r>
            <w:r>
              <w:rPr>
                <w:rFonts w:hint="default" w:ascii="Times New Roman" w:hAnsi="Times New Roman" w:eastAsia="仿宋_GB2312" w:cs="Times New Roman"/>
                <w:spacing w:val="30"/>
                <w:sz w:val="28"/>
                <w:szCs w:val="28"/>
              </w:rPr>
              <w:t>其他需</w:t>
            </w:r>
            <w:r>
              <w:rPr>
                <w:rFonts w:hint="default" w:ascii="Times New Roman" w:hAnsi="Times New Roman" w:eastAsia="仿宋_GB2312" w:cs="Times New Roman"/>
                <w:spacing w:val="9"/>
                <w:sz w:val="28"/>
                <w:szCs w:val="28"/>
              </w:rPr>
              <w:t>要</w:t>
            </w:r>
            <w:r>
              <w:rPr>
                <w:rFonts w:hint="default" w:ascii="Times New Roman" w:hAnsi="Times New Roman" w:eastAsia="仿宋_GB2312" w:cs="Times New Roman"/>
                <w:spacing w:val="8"/>
                <w:sz w:val="28"/>
                <w:szCs w:val="28"/>
              </w:rPr>
              <w:t>补充的</w:t>
            </w:r>
            <w:r>
              <w:rPr>
                <w:rFonts w:hint="default" w:ascii="Times New Roman" w:hAnsi="Times New Roman" w:eastAsia="仿宋_GB2312" w:cs="Times New Roman"/>
                <w:spacing w:val="9"/>
                <w:sz w:val="28"/>
                <w:szCs w:val="28"/>
              </w:rPr>
              <w:t>解</w:t>
            </w:r>
            <w:r>
              <w:rPr>
                <w:rFonts w:hint="default" w:ascii="Times New Roman" w:hAnsi="Times New Roman" w:eastAsia="仿宋_GB2312" w:cs="Times New Roman"/>
                <w:spacing w:val="6"/>
                <w:sz w:val="28"/>
                <w:szCs w:val="28"/>
              </w:rPr>
              <w:t>读内</w:t>
            </w:r>
            <w:r>
              <w:rPr>
                <w:rFonts w:hint="default" w:ascii="Times New Roman" w:hAnsi="Times New Roman" w:eastAsia="仿宋_GB2312" w:cs="Times New Roman"/>
                <w:spacing w:val="-4"/>
                <w:sz w:val="28"/>
                <w:szCs w:val="28"/>
              </w:rPr>
              <w:t>容</w:t>
            </w:r>
            <w:r>
              <w:rPr>
                <w:rFonts w:hint="default" w:ascii="Times New Roman" w:hAnsi="Times New Roman" w:eastAsia="仿宋_GB2312" w:cs="Times New Roman"/>
                <w:spacing w:val="-2"/>
                <w:sz w:val="28"/>
                <w:szCs w:val="28"/>
              </w:rPr>
              <w:t>)</w:t>
            </w:r>
          </w:p>
        </w:tc>
      </w:tr>
    </w:tbl>
    <w:p>
      <w:pPr>
        <w:pStyle w:val="3"/>
        <w:rPr>
          <w:rFonts w:hint="eastAsia"/>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ｺﾚﾌ・Std R">
    <w:altName w:val="Yu Gothic"/>
    <w:panose1 w:val="00000000000000000000"/>
    <w:charset w:val="80"/>
    <w:family w:val="swiss"/>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3NGY0MDBkM2NhMjFiYWNjZGY3NjA5YmJlYmRmZDUifQ=="/>
  </w:docVars>
  <w:rsids>
    <w:rsidRoot w:val="15CD32C3"/>
    <w:rsid w:val="0CD363A5"/>
    <w:rsid w:val="15CD32C3"/>
    <w:rsid w:val="15F27179"/>
    <w:rsid w:val="16C875FA"/>
    <w:rsid w:val="249F33B2"/>
    <w:rsid w:val="48113719"/>
    <w:rsid w:val="54EB270F"/>
    <w:rsid w:val="5F061262"/>
    <w:rsid w:val="67174B67"/>
    <w:rsid w:val="7C02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spacing w:line="560" w:lineRule="exact"/>
      <w:ind w:firstLine="420" w:firstLineChars="200"/>
    </w:pPr>
    <w:rPr>
      <w:sz w:val="32"/>
    </w:rPr>
  </w:style>
  <w:style w:type="paragraph" w:styleId="3">
    <w:name w:val="Body Text"/>
    <w:basedOn w:val="1"/>
    <w:next w:val="4"/>
    <w:qFormat/>
    <w:uiPriority w:val="0"/>
    <w:pPr>
      <w:spacing w:before="63"/>
      <w:ind w:left="108"/>
    </w:pPr>
    <w:rPr>
      <w:rFonts w:ascii="Adobe ｺﾚﾌ・Std R" w:hAnsi="Adobe ｺﾚﾌ・Std R" w:eastAsia="Adobe ｺﾚﾌ・Std R"/>
      <w:sz w:val="32"/>
    </w:rPr>
  </w:style>
  <w:style w:type="paragraph" w:styleId="4">
    <w:name w:val="Title"/>
    <w:basedOn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footer"/>
    <w:basedOn w:val="1"/>
    <w:qFormat/>
    <w:uiPriority w:val="99"/>
    <w:pPr>
      <w:tabs>
        <w:tab w:val="center" w:pos="4153"/>
        <w:tab w:val="right" w:pos="8306"/>
      </w:tabs>
      <w:snapToGrid w:val="0"/>
      <w:jc w:val="left"/>
    </w:pPr>
    <w:rPr>
      <w:kern w:val="0"/>
      <w:sz w:val="18"/>
    </w:rPr>
  </w:style>
  <w:style w:type="character" w:styleId="8">
    <w:name w:val="page number"/>
    <w:basedOn w:val="7"/>
    <w:qFormat/>
    <w:uiPriority w:val="0"/>
    <w:rPr>
      <w:rFonts w:ascii="Calibri" w:hAnsi="Calibri" w:eastAsia="宋体" w:cs="Times New Roman"/>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1002</Words>
  <Characters>1044</Characters>
  <Lines>0</Lines>
  <Paragraphs>0</Paragraphs>
  <TotalTime>6</TotalTime>
  <ScaleCrop>false</ScaleCrop>
  <LinksUpToDate>false</LinksUpToDate>
  <CharactersWithSpaces>1048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2023-05-06T03:04:00Z</dcterms:created>
  <dc:creator>Administrator</dc:creator>
  <cp:lastModifiedBy>Administrator</cp:lastModifiedBy>
  <dcterms:modified xsi:type="dcterms:W3CDTF">2023-06-20T07:44:05Z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9F594DFD71AA441D991B62CFBA0E3417_13</vt:lpwstr>
  </property>
</Properties>
</file>