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30" w:lineRule="auto"/>
        <w:ind w:left="141"/>
        <w:rPr>
          <w:rFonts w:ascii="黑体" w:hAnsi="黑体" w:eastAsia="黑体" w:cs="黑体"/>
          <w:sz w:val="31"/>
          <w:szCs w:val="31"/>
        </w:rPr>
      </w:pPr>
      <w:r>
        <w:rPr>
          <w:rFonts w:ascii="黑体" w:hAnsi="黑体" w:eastAsia="黑体" w:cs="黑体"/>
          <w:spacing w:val="-3"/>
          <w:sz w:val="31"/>
          <w:szCs w:val="31"/>
        </w:rPr>
        <w:t>附件</w:t>
      </w:r>
    </w:p>
    <w:p>
      <w:pPr>
        <w:spacing w:before="185" w:line="210" w:lineRule="auto"/>
        <w:ind w:left="4112"/>
        <w:rPr>
          <w:rFonts w:ascii="微软雅黑" w:hAnsi="微软雅黑" w:eastAsia="微软雅黑" w:cs="微软雅黑"/>
          <w:sz w:val="32"/>
          <w:szCs w:val="32"/>
        </w:rPr>
      </w:pPr>
      <w:r>
        <w:rPr>
          <w:rFonts w:ascii="微软雅黑" w:hAnsi="微软雅黑" w:eastAsia="方正小标宋简体" w:cs="微软雅黑"/>
          <w:spacing w:val="41"/>
          <w:sz w:val="44"/>
          <w:szCs w:val="44"/>
        </w:rPr>
        <w:t>一表读懂涉企政策</w:t>
      </w:r>
    </w:p>
    <w:p>
      <w:pPr>
        <w:spacing w:line="178" w:lineRule="exact"/>
      </w:pPr>
    </w:p>
    <w:tbl>
      <w:tblPr>
        <w:tblStyle w:val="9"/>
        <w:tblpPr w:leftFromText="180" w:rightFromText="180" w:vertAnchor="text" w:horzAnchor="page" w:tblpX="1189" w:tblpY="218"/>
        <w:tblOverlap w:val="never"/>
        <w:tblW w:w="1430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2475"/>
        <w:gridCol w:w="1965"/>
        <w:gridCol w:w="945"/>
        <w:gridCol w:w="1185"/>
        <w:gridCol w:w="1380"/>
        <w:gridCol w:w="1260"/>
        <w:gridCol w:w="1575"/>
        <w:gridCol w:w="1740"/>
        <w:gridCol w:w="1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4304" w:type="dxa"/>
            <w:gridSpan w:val="10"/>
            <w:noWrap w:val="0"/>
            <w:vAlign w:val="top"/>
          </w:tcPr>
          <w:p>
            <w:pPr>
              <w:keepNext w:val="0"/>
              <w:keepLines w:val="0"/>
              <w:pageBreakBefore w:val="0"/>
              <w:widowControl w:val="0"/>
              <w:tabs>
                <w:tab w:val="left" w:pos="5870"/>
              </w:tabs>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0"/>
                <w:szCs w:val="30"/>
                <w:lang w:val="en-US" w:eastAsia="zh-CN"/>
              </w:rPr>
            </w:pPr>
            <w:r>
              <w:rPr>
                <w:rFonts w:hint="eastAsia" w:ascii="黑体" w:hAnsi="黑体" w:eastAsia="黑体" w:cs="黑体"/>
                <w:sz w:val="30"/>
                <w:szCs w:val="30"/>
              </w:rPr>
              <w:t xml:space="preserve"> 安宁市“十四五”现代服务业发展规划</w:t>
            </w:r>
            <w:r>
              <w:rPr>
                <w:rFonts w:hint="eastAsia" w:ascii="黑体" w:hAnsi="黑体" w:eastAsia="黑体" w:cs="黑体"/>
                <w:sz w:val="30"/>
                <w:szCs w:val="30"/>
                <w:lang w:eastAsia="zh-CN"/>
              </w:rPr>
              <w:t>（</w:t>
            </w:r>
            <w:r>
              <w:rPr>
                <w:rFonts w:hint="eastAsia" w:ascii="黑体" w:hAnsi="黑体" w:eastAsia="黑体" w:cs="黑体"/>
                <w:sz w:val="30"/>
                <w:szCs w:val="30"/>
              </w:rPr>
              <w:t>安政办〔2023〕25号</w:t>
            </w:r>
            <w:r>
              <w:rPr>
                <w:rFonts w:hint="eastAsia" w:ascii="黑体" w:hAnsi="黑体" w:eastAsia="黑体" w:cs="黑体"/>
                <w:sz w:val="30"/>
                <w:szCs w:val="30"/>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519" w:type="dxa"/>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40" w:lineRule="auto"/>
              <w:ind w:left="233"/>
              <w:jc w:val="center"/>
              <w:textAlignment w:val="auto"/>
              <w:rPr>
                <w:rFonts w:hint="eastAsia" w:ascii="黑体" w:hAnsi="黑体" w:eastAsia="黑体" w:cs="黑体"/>
                <w:sz w:val="32"/>
                <w:szCs w:val="32"/>
              </w:rPr>
            </w:pPr>
            <w:r>
              <w:rPr>
                <w:rFonts w:hint="eastAsia" w:ascii="黑体" w:hAnsi="黑体" w:eastAsia="黑体" w:cs="黑体"/>
                <w:spacing w:val="-7"/>
                <w:sz w:val="32"/>
                <w:szCs w:val="32"/>
              </w:rPr>
              <w:t>序</w:t>
            </w:r>
            <w:r>
              <w:rPr>
                <w:rFonts w:hint="eastAsia" w:ascii="黑体" w:hAnsi="黑体" w:eastAsia="黑体" w:cs="黑体"/>
                <w:spacing w:val="-4"/>
                <w:sz w:val="32"/>
                <w:szCs w:val="32"/>
              </w:rPr>
              <w:t xml:space="preserve"> 号</w:t>
            </w:r>
          </w:p>
        </w:tc>
        <w:tc>
          <w:tcPr>
            <w:tcW w:w="24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2"/>
              <w:jc w:val="center"/>
              <w:textAlignment w:val="auto"/>
              <w:rPr>
                <w:rFonts w:hint="eastAsia" w:ascii="黑体" w:hAnsi="黑体" w:eastAsia="黑体" w:cs="黑体"/>
                <w:sz w:val="32"/>
                <w:szCs w:val="32"/>
              </w:rPr>
            </w:pPr>
            <w:r>
              <w:rPr>
                <w:rFonts w:hint="eastAsia" w:ascii="黑体" w:hAnsi="黑体" w:eastAsia="黑体" w:cs="黑体"/>
                <w:spacing w:val="-2"/>
                <w:sz w:val="32"/>
                <w:szCs w:val="32"/>
              </w:rPr>
              <w:t>政</w:t>
            </w:r>
            <w:r>
              <w:rPr>
                <w:rFonts w:hint="eastAsia" w:ascii="黑体" w:hAnsi="黑体" w:eastAsia="黑体" w:cs="黑体"/>
                <w:spacing w:val="-1"/>
                <w:sz w:val="32"/>
                <w:szCs w:val="32"/>
              </w:rPr>
              <w:t>策具体措施</w:t>
            </w:r>
          </w:p>
        </w:tc>
        <w:tc>
          <w:tcPr>
            <w:tcW w:w="196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eastAsia" w:ascii="黑体" w:hAnsi="黑体" w:eastAsia="黑体" w:cs="黑体"/>
                <w:sz w:val="32"/>
                <w:szCs w:val="32"/>
              </w:rPr>
            </w:pPr>
            <w:r>
              <w:rPr>
                <w:rFonts w:hint="eastAsia" w:ascii="黑体" w:hAnsi="黑体" w:eastAsia="黑体" w:cs="黑体"/>
                <w:spacing w:val="-4"/>
                <w:sz w:val="32"/>
                <w:szCs w:val="32"/>
              </w:rPr>
              <w:t>细</w:t>
            </w:r>
            <w:r>
              <w:rPr>
                <w:rFonts w:hint="eastAsia" w:ascii="黑体" w:hAnsi="黑体" w:eastAsia="黑体" w:cs="黑体"/>
                <w:spacing w:val="-3"/>
                <w:sz w:val="32"/>
                <w:szCs w:val="32"/>
              </w:rPr>
              <w:t>化措施</w:t>
            </w:r>
          </w:p>
        </w:tc>
        <w:tc>
          <w:tcPr>
            <w:tcW w:w="94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5"/>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pacing w:val="-5"/>
                <w:sz w:val="32"/>
                <w:szCs w:val="32"/>
              </w:rPr>
              <w:t>有</w:t>
            </w:r>
            <w:r>
              <w:rPr>
                <w:rFonts w:hint="eastAsia" w:ascii="黑体" w:hAnsi="黑体" w:eastAsia="黑体" w:cs="黑体"/>
                <w:spacing w:val="-3"/>
                <w:sz w:val="32"/>
                <w:szCs w:val="32"/>
              </w:rPr>
              <w:t>效期</w:t>
            </w:r>
          </w:p>
        </w:tc>
        <w:tc>
          <w:tcPr>
            <w:tcW w:w="118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9"/>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pacing w:val="-8"/>
                <w:sz w:val="32"/>
                <w:szCs w:val="32"/>
              </w:rPr>
            </w:pPr>
            <w:r>
              <w:rPr>
                <w:rFonts w:hint="eastAsia" w:ascii="黑体" w:hAnsi="黑体" w:eastAsia="黑体" w:cs="黑体"/>
                <w:spacing w:val="-9"/>
                <w:sz w:val="32"/>
                <w:szCs w:val="32"/>
              </w:rPr>
              <w:t>申</w:t>
            </w:r>
            <w:r>
              <w:rPr>
                <w:rFonts w:hint="eastAsia" w:ascii="黑体" w:hAnsi="黑体" w:eastAsia="黑体" w:cs="黑体"/>
                <w:spacing w:val="-8"/>
                <w:sz w:val="32"/>
                <w:szCs w:val="32"/>
              </w:rPr>
              <w:t>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r>
              <w:rPr>
                <w:rFonts w:hint="eastAsia" w:ascii="黑体" w:hAnsi="黑体" w:eastAsia="黑体" w:cs="黑体"/>
                <w:spacing w:val="-8"/>
                <w:sz w:val="32"/>
                <w:szCs w:val="32"/>
              </w:rPr>
              <w:t>要求</w:t>
            </w:r>
          </w:p>
        </w:tc>
        <w:tc>
          <w:tcPr>
            <w:tcW w:w="138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1"/>
              <w:jc w:val="center"/>
              <w:textAlignment w:val="auto"/>
              <w:rPr>
                <w:rFonts w:hint="eastAsia" w:ascii="黑体" w:hAnsi="黑体" w:eastAsia="黑体" w:cs="黑体"/>
                <w:sz w:val="32"/>
                <w:szCs w:val="32"/>
              </w:rPr>
            </w:pPr>
            <w:r>
              <w:rPr>
                <w:rFonts w:hint="eastAsia" w:ascii="黑体" w:hAnsi="黑体" w:eastAsia="黑体" w:cs="黑体"/>
                <w:spacing w:val="-6"/>
                <w:sz w:val="32"/>
                <w:szCs w:val="32"/>
              </w:rPr>
              <w:t>责</w:t>
            </w:r>
            <w:r>
              <w:rPr>
                <w:rFonts w:hint="eastAsia" w:ascii="黑体" w:hAnsi="黑体" w:eastAsia="黑体" w:cs="黑体"/>
                <w:spacing w:val="-3"/>
                <w:sz w:val="32"/>
                <w:szCs w:val="32"/>
              </w:rPr>
              <w:t>任单位</w:t>
            </w:r>
          </w:p>
        </w:tc>
        <w:tc>
          <w:tcPr>
            <w:tcW w:w="126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2"/>
              <w:jc w:val="center"/>
              <w:textAlignment w:val="auto"/>
              <w:rPr>
                <w:rFonts w:hint="eastAsia" w:ascii="黑体" w:hAnsi="黑体" w:eastAsia="黑体" w:cs="黑体"/>
                <w:sz w:val="32"/>
                <w:szCs w:val="32"/>
              </w:rPr>
            </w:pPr>
            <w:r>
              <w:rPr>
                <w:rFonts w:hint="eastAsia" w:ascii="黑体" w:hAnsi="黑体" w:eastAsia="黑体" w:cs="黑体"/>
                <w:spacing w:val="-6"/>
                <w:sz w:val="32"/>
                <w:szCs w:val="32"/>
              </w:rPr>
              <w:t>责</w:t>
            </w:r>
            <w:r>
              <w:rPr>
                <w:rFonts w:hint="eastAsia" w:ascii="黑体" w:hAnsi="黑体" w:eastAsia="黑体" w:cs="黑体"/>
                <w:spacing w:val="-3"/>
                <w:sz w:val="32"/>
                <w:szCs w:val="32"/>
              </w:rPr>
              <w:t>任处室</w:t>
            </w:r>
          </w:p>
        </w:tc>
        <w:tc>
          <w:tcPr>
            <w:tcW w:w="157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24"/>
              <w:jc w:val="center"/>
              <w:textAlignment w:val="auto"/>
              <w:rPr>
                <w:rFonts w:hint="eastAsia" w:ascii="黑体" w:hAnsi="黑体" w:eastAsia="黑体" w:cs="黑体"/>
                <w:sz w:val="32"/>
                <w:szCs w:val="32"/>
              </w:rPr>
            </w:pPr>
            <w:r>
              <w:rPr>
                <w:rFonts w:hint="eastAsia" w:ascii="黑体" w:hAnsi="黑体" w:eastAsia="黑体" w:cs="黑体"/>
                <w:spacing w:val="-4"/>
                <w:sz w:val="32"/>
                <w:szCs w:val="32"/>
              </w:rPr>
              <w:t>具</w:t>
            </w:r>
            <w:r>
              <w:rPr>
                <w:rFonts w:hint="eastAsia" w:ascii="黑体" w:hAnsi="黑体" w:eastAsia="黑体" w:cs="黑体"/>
                <w:spacing w:val="-3"/>
                <w:sz w:val="32"/>
                <w:szCs w:val="32"/>
              </w:rPr>
              <w:t>体负责人</w:t>
            </w:r>
          </w:p>
        </w:tc>
        <w:tc>
          <w:tcPr>
            <w:tcW w:w="174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136" w:right="101" w:hanging="17"/>
              <w:jc w:val="center"/>
              <w:textAlignment w:val="auto"/>
              <w:rPr>
                <w:rFonts w:hint="eastAsia" w:ascii="黑体" w:hAnsi="黑体" w:eastAsia="黑体" w:cs="黑体"/>
                <w:sz w:val="32"/>
                <w:szCs w:val="32"/>
              </w:rPr>
            </w:pPr>
            <w:r>
              <w:rPr>
                <w:rFonts w:hint="eastAsia" w:ascii="黑体" w:hAnsi="黑体" w:eastAsia="黑体" w:cs="黑体"/>
                <w:spacing w:val="16"/>
                <w:sz w:val="32"/>
                <w:szCs w:val="32"/>
              </w:rPr>
              <w:t>联</w:t>
            </w:r>
            <w:r>
              <w:rPr>
                <w:rFonts w:hint="eastAsia" w:ascii="黑体" w:hAnsi="黑体" w:eastAsia="黑体" w:cs="黑体"/>
                <w:spacing w:val="15"/>
                <w:sz w:val="32"/>
                <w:szCs w:val="32"/>
              </w:rPr>
              <w:t>系电话</w:t>
            </w:r>
            <w:r>
              <w:rPr>
                <w:rFonts w:hint="eastAsia" w:ascii="黑体" w:hAnsi="黑体" w:eastAsia="黑体" w:cs="黑体"/>
                <w:sz w:val="32"/>
                <w:szCs w:val="32"/>
              </w:rPr>
              <w:t xml:space="preserve"> </w:t>
            </w:r>
            <w:r>
              <w:rPr>
                <w:rFonts w:hint="eastAsia" w:ascii="黑体" w:hAnsi="黑体" w:eastAsia="黑体" w:cs="黑体"/>
                <w:spacing w:val="23"/>
                <w:sz w:val="32"/>
                <w:szCs w:val="32"/>
              </w:rPr>
              <w:t>(</w:t>
            </w:r>
            <w:r>
              <w:rPr>
                <w:rFonts w:hint="eastAsia" w:ascii="黑体" w:hAnsi="黑体" w:eastAsia="黑体" w:cs="黑体"/>
                <w:spacing w:val="21"/>
                <w:sz w:val="32"/>
                <w:szCs w:val="32"/>
              </w:rPr>
              <w:t>座机)</w:t>
            </w:r>
          </w:p>
        </w:tc>
        <w:tc>
          <w:tcPr>
            <w:tcW w:w="126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117"/>
              <w:jc w:val="center"/>
              <w:textAlignment w:val="auto"/>
              <w:rPr>
                <w:rFonts w:hint="eastAsia" w:ascii="黑体" w:hAnsi="黑体" w:eastAsia="黑体" w:cs="黑体"/>
                <w:sz w:val="32"/>
                <w:szCs w:val="32"/>
              </w:rPr>
            </w:pPr>
            <w:r>
              <w:rPr>
                <w:rFonts w:hint="eastAsia" w:ascii="黑体" w:hAnsi="黑体" w:eastAsia="黑体" w:cs="黑体"/>
                <w:spacing w:val="-3"/>
                <w:sz w:val="32"/>
                <w:szCs w:val="32"/>
              </w:rPr>
              <w:t>备</w:t>
            </w:r>
            <w:r>
              <w:rPr>
                <w:rFonts w:hint="eastAsia" w:ascii="黑体" w:hAnsi="黑体" w:eastAsia="黑体" w:cs="黑体"/>
                <w:spacing w:val="-2"/>
                <w:sz w:val="32"/>
                <w:szCs w:val="32"/>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519" w:type="dxa"/>
            <w:noWrap w:val="0"/>
            <w:vAlign w:val="top"/>
          </w:tcPr>
          <w:p>
            <w:pPr>
              <w:spacing w:line="276" w:lineRule="auto"/>
              <w:rPr>
                <w:rFonts w:hint="default" w:ascii="Times New Roman" w:hAnsi="Times New Roman" w:eastAsia="仿宋_GB2312" w:cs="Times New Roman"/>
                <w:sz w:val="28"/>
                <w:szCs w:val="28"/>
              </w:rPr>
            </w:pPr>
          </w:p>
          <w:p>
            <w:pPr>
              <w:spacing w:line="276" w:lineRule="auto"/>
              <w:rPr>
                <w:rFonts w:hint="default" w:ascii="Times New Roman" w:hAnsi="Times New Roman" w:eastAsia="仿宋_GB2312" w:cs="Times New Roman"/>
                <w:sz w:val="28"/>
                <w:szCs w:val="28"/>
              </w:rPr>
            </w:pPr>
          </w:p>
          <w:p>
            <w:pPr>
              <w:spacing w:before="57" w:line="195" w:lineRule="auto"/>
              <w:ind w:left="131"/>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w:t>
            </w:r>
          </w:p>
        </w:tc>
        <w:tc>
          <w:tcPr>
            <w:tcW w:w="2475" w:type="dxa"/>
            <w:noWrap w:val="0"/>
            <w:vAlign w:val="top"/>
          </w:tcPr>
          <w:p>
            <w:pPr>
              <w:spacing w:line="360" w:lineRule="exact"/>
              <w:rPr>
                <w:rFonts w:hint="default" w:eastAsia="宋体"/>
                <w:sz w:val="18"/>
                <w:szCs w:val="18"/>
                <w:lang w:val="en-US" w:eastAsia="zh-CN"/>
              </w:rPr>
            </w:pPr>
            <w:r>
              <w:rPr>
                <w:rFonts w:hint="eastAsia" w:ascii="Times New Roman" w:hAnsi="Times New Roman" w:eastAsia="宋体" w:cs="Times New Roman"/>
                <w:sz w:val="18"/>
                <w:szCs w:val="18"/>
                <w:lang w:val="en-US" w:eastAsia="zh-CN"/>
              </w:rPr>
              <w:t>党的十九届五中全会提出，要加快发展现代服务业，推动生产性服务业向专业化和价值链高端延伸，推动各类市场主体参与服务供给，加快发展研发设计、现代物流、法律服务等服务业，推动现代服务业与先进制造业、现代农业深度融合，加快推进服务业数字化，推动生活性服务业向高品质和多样化升级，加快发展健康、养老、育幼、文化、旅游、体育、家政、物业等服务业，加强公益性、基础性服务业供给。大力发展现代服务业是稳增长、调结构、促转型、惠民生的重要举措，对于推动安宁市实现现代服务业高端化、专业化、品质化具有重要意义。为促进安宁市现代服务业实现高质量发展，打造经济社会可持续发展新引擎，根据《中共中央关于制定国民经济和社会发展第十四个五年规划和二〇三五年远景目标的建议》等文件精神，按照云南省委省政府、昆明市现代服务业发展指引等相关部署，结合安宁市现代服务业“十三五”发展基础，编制本规划。</w:t>
            </w:r>
          </w:p>
        </w:tc>
        <w:tc>
          <w:tcPr>
            <w:tcW w:w="1965" w:type="dxa"/>
            <w:noWrap w:val="0"/>
            <w:vAlign w:val="top"/>
          </w:tcPr>
          <w:p>
            <w:pPr>
              <w:spacing w:line="360" w:lineRule="exact"/>
              <w:rPr>
                <w:rFonts w:hint="eastAsia" w:eastAsia="宋体"/>
                <w:sz w:val="18"/>
                <w:szCs w:val="18"/>
                <w:lang w:eastAsia="zh-CN"/>
              </w:rPr>
            </w:pPr>
            <w:r>
              <w:rPr>
                <w:rFonts w:hint="eastAsia" w:eastAsia="宋体"/>
                <w:sz w:val="18"/>
                <w:szCs w:val="18"/>
                <w:lang w:eastAsia="zh-CN"/>
              </w:rPr>
              <w:t>第一章 “十三五”发展回顾包括发展基础、存在问题；第二章 机遇与挑战包括发展机遇、面临挑战；第三章 总体要求包括指导思想、基本原则、发展定位、主要目标；第四章 空间布局包括总体布局、空间指引；第五章 生产性服务业发展方向包括重点壮大三大生产性服务业</w:t>
            </w:r>
            <w:r>
              <w:rPr>
                <w:rFonts w:hint="eastAsia" w:eastAsia="宋体"/>
                <w:sz w:val="18"/>
                <w:szCs w:val="18"/>
                <w:lang w:eastAsia="zh-CN"/>
              </w:rPr>
              <w:tab/>
            </w:r>
            <w:r>
              <w:rPr>
                <w:rFonts w:hint="eastAsia" w:eastAsia="宋体"/>
                <w:sz w:val="18"/>
                <w:szCs w:val="18"/>
                <w:lang w:eastAsia="zh-CN"/>
              </w:rPr>
              <w:t>、培育六大新兴生产性服务业；第六章 生活性服务业发展方向包括着重发展三大生活性服务业、提高三大生活性服务业品质；第七章 主要任务包括扩大服务业有效供给、促进服务业集聚发展、强化服务业融合发展、提升服务业信息基础建设、深化服务业开放合作、深化与自贸区的对接；第八章 保障措施包括加强组织保障、创新体制机制、完善政策支持、增强要素保障。</w:t>
            </w:r>
          </w:p>
        </w:tc>
        <w:tc>
          <w:tcPr>
            <w:tcW w:w="945" w:type="dxa"/>
            <w:noWrap w:val="0"/>
            <w:vAlign w:val="top"/>
          </w:tcPr>
          <w:p>
            <w:pPr>
              <w:spacing w:before="168" w:line="259" w:lineRule="auto"/>
              <w:ind w:left="114" w:right="108" w:firstLine="10"/>
              <w:jc w:val="center"/>
              <w:rPr>
                <w:rFonts w:hint="default" w:ascii="Times New Roman" w:hAnsi="Times New Roman" w:eastAsia="仿宋_GB2312" w:cs="Times New Roman"/>
                <w:spacing w:val="32"/>
                <w:sz w:val="28"/>
                <w:szCs w:val="28"/>
                <w:lang w:val="en-US"/>
              </w:rPr>
            </w:pPr>
            <w:r>
              <w:rPr>
                <w:rFonts w:hint="eastAsia" w:cs="Times New Roman"/>
                <w:spacing w:val="32"/>
                <w:sz w:val="28"/>
                <w:szCs w:val="28"/>
                <w:lang w:val="en-US" w:eastAsia="zh-CN"/>
              </w:rPr>
              <w:t>五年</w:t>
            </w:r>
          </w:p>
        </w:tc>
        <w:tc>
          <w:tcPr>
            <w:tcW w:w="1185" w:type="dxa"/>
            <w:noWrap w:val="0"/>
            <w:vAlign w:val="top"/>
          </w:tcPr>
          <w:p>
            <w:pPr>
              <w:spacing w:before="168" w:line="259" w:lineRule="auto"/>
              <w:ind w:left="114" w:right="108" w:firstLine="10"/>
              <w:jc w:val="center"/>
              <w:rPr>
                <w:rFonts w:hint="eastAsia" w:eastAsia="宋体"/>
                <w:sz w:val="18"/>
                <w:szCs w:val="18"/>
                <w:lang w:eastAsia="zh-CN"/>
              </w:rPr>
            </w:pPr>
            <w:r>
              <w:rPr>
                <w:rFonts w:hint="eastAsia" w:eastAsia="宋体"/>
                <w:sz w:val="18"/>
                <w:szCs w:val="18"/>
                <w:lang w:eastAsia="zh-CN"/>
              </w:rPr>
              <w:t>本政策由牵头单位负责解释如遇国家相关政策调整需予以修订的，按新修订的办法执行。</w:t>
            </w:r>
          </w:p>
          <w:p>
            <w:pPr>
              <w:spacing w:before="168" w:line="259" w:lineRule="auto"/>
              <w:ind w:left="114" w:right="108" w:firstLine="10"/>
              <w:jc w:val="center"/>
              <w:rPr>
                <w:rFonts w:hint="default" w:ascii="Times New Roman" w:hAnsi="Times New Roman" w:eastAsia="仿宋_GB2312" w:cs="Times New Roman"/>
                <w:spacing w:val="32"/>
                <w:sz w:val="28"/>
                <w:szCs w:val="28"/>
                <w:lang w:val="en-US"/>
              </w:rPr>
            </w:pPr>
          </w:p>
        </w:tc>
        <w:tc>
          <w:tcPr>
            <w:tcW w:w="1380" w:type="dxa"/>
            <w:noWrap w:val="0"/>
            <w:vAlign w:val="top"/>
          </w:tcPr>
          <w:p>
            <w:pPr>
              <w:spacing w:line="254" w:lineRule="auto"/>
              <w:jc w:val="center"/>
              <w:rPr>
                <w:rFonts w:hint="default" w:ascii="Times New Roman" w:hAnsi="Times New Roman" w:eastAsia="仿宋_GB2312" w:cs="Times New Roman"/>
                <w:sz w:val="28"/>
                <w:szCs w:val="28"/>
              </w:rPr>
            </w:pPr>
          </w:p>
          <w:p>
            <w:pPr>
              <w:spacing w:line="255" w:lineRule="auto"/>
              <w:jc w:val="center"/>
              <w:rPr>
                <w:rFonts w:hint="default" w:ascii="Times New Roman" w:hAnsi="Times New Roman" w:eastAsia="仿宋_GB2312" w:cs="Times New Roman"/>
                <w:sz w:val="28"/>
                <w:szCs w:val="28"/>
              </w:rPr>
            </w:pPr>
          </w:p>
          <w:p>
            <w:pPr>
              <w:spacing w:before="65" w:line="228" w:lineRule="auto"/>
              <w:ind w:left="118"/>
              <w:jc w:val="center"/>
              <w:rPr>
                <w:rFonts w:hint="eastAsia" w:ascii="Times New Roman" w:hAnsi="Times New Roman" w:eastAsia="仿宋_GB2312" w:cs="Times New Roman"/>
                <w:sz w:val="28"/>
                <w:szCs w:val="28"/>
                <w:lang w:val="en-US" w:eastAsia="zh-CN"/>
              </w:rPr>
            </w:pPr>
            <w:r>
              <w:rPr>
                <w:rFonts w:hint="default" w:ascii="Times New Roman" w:hAnsi="Times New Roman" w:eastAsia="仿宋_GB2312" w:cs="Times New Roman"/>
                <w:spacing w:val="6"/>
                <w:sz w:val="28"/>
                <w:szCs w:val="28"/>
                <w:lang w:eastAsia="zh-CN"/>
              </w:rPr>
              <w:t>市</w:t>
            </w:r>
            <w:r>
              <w:rPr>
                <w:rFonts w:hint="eastAsia" w:cs="Times New Roman"/>
                <w:spacing w:val="6"/>
                <w:sz w:val="28"/>
                <w:szCs w:val="28"/>
                <w:lang w:eastAsia="zh-CN"/>
              </w:rPr>
              <w:t>发改局</w:t>
            </w:r>
          </w:p>
        </w:tc>
        <w:tc>
          <w:tcPr>
            <w:tcW w:w="1260" w:type="dxa"/>
            <w:noWrap w:val="0"/>
            <w:vAlign w:val="top"/>
          </w:tcPr>
          <w:p>
            <w:pPr>
              <w:spacing w:line="254" w:lineRule="auto"/>
              <w:jc w:val="center"/>
              <w:rPr>
                <w:rFonts w:hint="default" w:ascii="Times New Roman" w:hAnsi="Times New Roman" w:eastAsia="仿宋_GB2312" w:cs="Times New Roman"/>
                <w:sz w:val="28"/>
                <w:szCs w:val="28"/>
              </w:rPr>
            </w:pPr>
          </w:p>
          <w:p>
            <w:pPr>
              <w:spacing w:line="255" w:lineRule="auto"/>
              <w:jc w:val="center"/>
              <w:rPr>
                <w:rFonts w:hint="default" w:ascii="Times New Roman" w:hAnsi="Times New Roman" w:eastAsia="仿宋_GB2312" w:cs="Times New Roman"/>
                <w:sz w:val="28"/>
                <w:szCs w:val="28"/>
              </w:rPr>
            </w:pPr>
          </w:p>
          <w:p>
            <w:pPr>
              <w:spacing w:before="65" w:line="228" w:lineRule="auto"/>
              <w:ind w:left="119"/>
              <w:jc w:val="center"/>
              <w:rPr>
                <w:rFonts w:hint="eastAsia" w:ascii="Times New Roman" w:hAnsi="Times New Roman" w:eastAsia="仿宋_GB2312" w:cs="Times New Roman"/>
                <w:sz w:val="28"/>
                <w:szCs w:val="28"/>
                <w:lang w:eastAsia="zh-CN"/>
              </w:rPr>
            </w:pPr>
            <w:r>
              <w:rPr>
                <w:rFonts w:hint="eastAsia" w:cs="Times New Roman"/>
                <w:spacing w:val="5"/>
                <w:sz w:val="28"/>
                <w:szCs w:val="28"/>
                <w:lang w:eastAsia="zh-CN"/>
              </w:rPr>
              <w:t>商贸科</w:t>
            </w:r>
          </w:p>
        </w:tc>
        <w:tc>
          <w:tcPr>
            <w:tcW w:w="1575" w:type="dxa"/>
            <w:noWrap w:val="0"/>
            <w:vAlign w:val="top"/>
          </w:tcPr>
          <w:p>
            <w:pPr>
              <w:spacing w:line="277" w:lineRule="auto"/>
              <w:jc w:val="center"/>
              <w:rPr>
                <w:rFonts w:hint="default" w:ascii="Times New Roman" w:hAnsi="Times New Roman" w:eastAsia="仿宋_GB2312" w:cs="Times New Roman"/>
                <w:sz w:val="28"/>
                <w:szCs w:val="28"/>
              </w:rPr>
            </w:pPr>
          </w:p>
          <w:p>
            <w:pPr>
              <w:spacing w:line="278" w:lineRule="auto"/>
              <w:jc w:val="center"/>
              <w:rPr>
                <w:rFonts w:hint="default" w:ascii="Times New Roman" w:hAnsi="Times New Roman" w:eastAsia="仿宋_GB2312" w:cs="Times New Roman"/>
                <w:sz w:val="28"/>
                <w:szCs w:val="28"/>
              </w:rPr>
            </w:pPr>
          </w:p>
          <w:p>
            <w:pPr>
              <w:spacing w:before="57" w:line="192" w:lineRule="auto"/>
              <w:ind w:left="108"/>
              <w:jc w:val="center"/>
              <w:rPr>
                <w:rFonts w:hint="eastAsia" w:ascii="Times New Roman" w:hAnsi="Times New Roman" w:eastAsia="仿宋_GB2312" w:cs="Times New Roman"/>
                <w:sz w:val="28"/>
                <w:szCs w:val="28"/>
                <w:lang w:eastAsia="zh-CN"/>
              </w:rPr>
            </w:pPr>
            <w:r>
              <w:rPr>
                <w:rFonts w:hint="eastAsia" w:cs="Times New Roman"/>
                <w:spacing w:val="6"/>
                <w:sz w:val="28"/>
                <w:szCs w:val="28"/>
                <w:lang w:val="en-US" w:eastAsia="zh-CN"/>
              </w:rPr>
              <w:t>张媛媛</w:t>
            </w:r>
          </w:p>
        </w:tc>
        <w:tc>
          <w:tcPr>
            <w:tcW w:w="1740" w:type="dxa"/>
            <w:noWrap w:val="0"/>
            <w:vAlign w:val="top"/>
          </w:tcPr>
          <w:p>
            <w:pPr>
              <w:spacing w:line="423" w:lineRule="auto"/>
              <w:jc w:val="center"/>
              <w:rPr>
                <w:rFonts w:hint="default" w:ascii="Times New Roman" w:hAnsi="Times New Roman" w:eastAsia="仿宋_GB2312" w:cs="Times New Roman"/>
                <w:sz w:val="28"/>
                <w:szCs w:val="28"/>
              </w:rPr>
            </w:pPr>
          </w:p>
          <w:p>
            <w:pPr>
              <w:spacing w:before="65"/>
              <w:ind w:left="114"/>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5"/>
                <w:sz w:val="28"/>
                <w:szCs w:val="28"/>
              </w:rPr>
              <w:t>0</w:t>
            </w:r>
            <w:r>
              <w:rPr>
                <w:rFonts w:hint="default" w:ascii="Times New Roman" w:hAnsi="Times New Roman" w:eastAsia="仿宋_GB2312" w:cs="Times New Roman"/>
                <w:spacing w:val="4"/>
                <w:sz w:val="28"/>
                <w:szCs w:val="28"/>
              </w:rPr>
              <w:t>871—</w:t>
            </w:r>
          </w:p>
          <w:p>
            <w:pPr>
              <w:spacing w:line="191" w:lineRule="auto"/>
              <w:ind w:left="108"/>
              <w:jc w:val="center"/>
              <w:rPr>
                <w:rFonts w:hint="default" w:ascii="Times New Roman" w:hAnsi="Times New Roman" w:eastAsia="仿宋_GB2312" w:cs="Times New Roman"/>
                <w:sz w:val="28"/>
                <w:szCs w:val="28"/>
                <w:lang w:val="en-US" w:eastAsia="zh-CN"/>
              </w:rPr>
            </w:pPr>
            <w:r>
              <w:rPr>
                <w:rFonts w:hint="eastAsia" w:cs="Times New Roman"/>
                <w:spacing w:val="9"/>
                <w:sz w:val="28"/>
                <w:szCs w:val="28"/>
                <w:lang w:val="en-US" w:eastAsia="zh-CN"/>
              </w:rPr>
              <w:t>68691975</w:t>
            </w:r>
          </w:p>
        </w:tc>
        <w:tc>
          <w:tcPr>
            <w:tcW w:w="1260" w:type="dxa"/>
            <w:noWrap w:val="0"/>
            <w:vAlign w:val="top"/>
          </w:tcPr>
          <w:p>
            <w:pPr>
              <w:spacing w:before="168" w:line="259" w:lineRule="auto"/>
              <w:ind w:left="114" w:right="108" w:firstLine="10"/>
              <w:jc w:val="center"/>
              <w:rPr>
                <w:rFonts w:hint="default" w:ascii="Times New Roman" w:hAnsi="Times New Roman" w:eastAsia="仿宋_GB2312" w:cs="Times New Roman"/>
                <w:sz w:val="28"/>
                <w:szCs w:val="28"/>
              </w:rPr>
            </w:pPr>
            <w:r>
              <w:rPr>
                <w:rFonts w:hint="default" w:ascii="Times New Roman" w:hAnsi="Times New Roman" w:eastAsia="仿宋_GB2312" w:cs="Times New Roman"/>
                <w:spacing w:val="32"/>
                <w:sz w:val="28"/>
                <w:szCs w:val="28"/>
              </w:rPr>
              <w:t>(</w:t>
            </w:r>
            <w:r>
              <w:rPr>
                <w:rFonts w:hint="default" w:ascii="Times New Roman" w:hAnsi="Times New Roman" w:eastAsia="仿宋_GB2312" w:cs="Times New Roman"/>
                <w:spacing w:val="30"/>
                <w:sz w:val="28"/>
                <w:szCs w:val="28"/>
              </w:rPr>
              <w:t>其他需</w:t>
            </w:r>
            <w:r>
              <w:rPr>
                <w:rFonts w:hint="default" w:ascii="Times New Roman" w:hAnsi="Times New Roman" w:eastAsia="仿宋_GB2312" w:cs="Times New Roman"/>
                <w:spacing w:val="9"/>
                <w:sz w:val="28"/>
                <w:szCs w:val="28"/>
              </w:rPr>
              <w:t>要</w:t>
            </w:r>
            <w:r>
              <w:rPr>
                <w:rFonts w:hint="default" w:ascii="Times New Roman" w:hAnsi="Times New Roman" w:eastAsia="仿宋_GB2312" w:cs="Times New Roman"/>
                <w:spacing w:val="8"/>
                <w:sz w:val="28"/>
                <w:szCs w:val="28"/>
              </w:rPr>
              <w:t>补充的</w:t>
            </w:r>
            <w:r>
              <w:rPr>
                <w:rFonts w:hint="default" w:ascii="Times New Roman" w:hAnsi="Times New Roman" w:eastAsia="仿宋_GB2312" w:cs="Times New Roman"/>
                <w:spacing w:val="9"/>
                <w:sz w:val="28"/>
                <w:szCs w:val="28"/>
              </w:rPr>
              <w:t>解</w:t>
            </w:r>
            <w:r>
              <w:rPr>
                <w:rFonts w:hint="default" w:ascii="Times New Roman" w:hAnsi="Times New Roman" w:eastAsia="仿宋_GB2312" w:cs="Times New Roman"/>
                <w:spacing w:val="6"/>
                <w:sz w:val="28"/>
                <w:szCs w:val="28"/>
              </w:rPr>
              <w:t>读内</w:t>
            </w:r>
            <w:r>
              <w:rPr>
                <w:rFonts w:hint="default" w:ascii="Times New Roman" w:hAnsi="Times New Roman" w:eastAsia="仿宋_GB2312" w:cs="Times New Roman"/>
                <w:spacing w:val="-4"/>
                <w:sz w:val="28"/>
                <w:szCs w:val="28"/>
              </w:rPr>
              <w:t>容</w:t>
            </w:r>
            <w:r>
              <w:rPr>
                <w:rFonts w:hint="default" w:ascii="Times New Roman" w:hAnsi="Times New Roman" w:eastAsia="仿宋_GB2312" w:cs="Times New Roman"/>
                <w:spacing w:val="-2"/>
                <w:sz w:val="28"/>
                <w:szCs w:val="28"/>
              </w:rPr>
              <w:t>)</w:t>
            </w:r>
          </w:p>
        </w:tc>
      </w:tr>
    </w:tbl>
    <w:p>
      <w:pPr>
        <w:rPr>
          <w:rFonts w:hint="default" w:ascii="Times New Roman" w:hAnsi="Times New Roman" w:cs="Times New Roman"/>
          <w:sz w:val="21"/>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ｺﾚﾌ・Std R">
    <w:altName w:val="Yu Gothic"/>
    <w:panose1 w:val="00000000000000000000"/>
    <w:charset w:val="80"/>
    <w:family w:val="swiss"/>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3NGY0MDBkM2NhMjFiYWNjZGY3NjA5YmJlYmRmZDUifQ=="/>
  </w:docVars>
  <w:rsids>
    <w:rsidRoot w:val="15CD32C3"/>
    <w:rsid w:val="0CD363A5"/>
    <w:rsid w:val="15CD32C3"/>
    <w:rsid w:val="15F27179"/>
    <w:rsid w:val="1D4110DC"/>
    <w:rsid w:val="249F33B2"/>
    <w:rsid w:val="3D692230"/>
    <w:rsid w:val="48113719"/>
    <w:rsid w:val="4DFE41F6"/>
    <w:rsid w:val="509D7A85"/>
    <w:rsid w:val="5F061262"/>
    <w:rsid w:val="67174B67"/>
    <w:rsid w:val="7C0277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spacing w:line="560" w:lineRule="exact"/>
      <w:ind w:firstLine="420" w:firstLineChars="200"/>
    </w:pPr>
    <w:rPr>
      <w:sz w:val="32"/>
    </w:rPr>
  </w:style>
  <w:style w:type="paragraph" w:styleId="3">
    <w:name w:val="Body Text"/>
    <w:basedOn w:val="1"/>
    <w:next w:val="4"/>
    <w:qFormat/>
    <w:uiPriority w:val="0"/>
    <w:pPr>
      <w:spacing w:before="63"/>
      <w:ind w:left="108"/>
    </w:pPr>
    <w:rPr>
      <w:rFonts w:ascii="Adobe ｺﾚﾌ・Std R" w:hAnsi="Adobe ｺﾚﾌ・Std R" w:eastAsia="Adobe ｺﾚﾌ・Std R"/>
      <w:sz w:val="32"/>
    </w:rPr>
  </w:style>
  <w:style w:type="paragraph" w:styleId="4">
    <w:name w:val="Title"/>
    <w:basedOn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99"/>
    <w:pPr>
      <w:tabs>
        <w:tab w:val="center" w:pos="4153"/>
        <w:tab w:val="right" w:pos="8306"/>
      </w:tabs>
      <w:snapToGrid w:val="0"/>
      <w:jc w:val="left"/>
    </w:pPr>
    <w:rPr>
      <w:kern w:val="0"/>
      <w:sz w:val="18"/>
    </w:rPr>
  </w:style>
  <w:style w:type="character" w:styleId="8">
    <w:name w:val="page number"/>
    <w:basedOn w:val="7"/>
    <w:qFormat/>
    <w:uiPriority w:val="0"/>
    <w:rPr>
      <w:rFonts w:ascii="Calibri" w:hAnsi="Calibri" w:eastAsia="宋体" w:cs="Times New Roman"/>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809</Words>
  <Characters>824</Characters>
  <Lines>0</Lines>
  <Paragraphs>0</Paragraphs>
  <TotalTime>10</TotalTime>
  <ScaleCrop>false</ScaleCrop>
  <LinksUpToDate>false</LinksUpToDate>
  <CharactersWithSpaces>836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2023-05-06T03:04:00Z</dcterms:created>
  <dc:creator>Administrator</dc:creator>
  <cp:lastModifiedBy>Administrator</cp:lastModifiedBy>
  <dcterms:modified xsi:type="dcterms:W3CDTF">2023-06-20T09:10:38Z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22310BB4C4B84E668C23F1948208C063</vt:lpwstr>
  </property>
</Properties>
</file>