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2023年安宁市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eastAsia="zh-CN"/>
        </w:rPr>
        <w:t>尾矿库</w:t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安全生产包保责任人一览表</w:t>
      </w:r>
    </w:p>
    <w:tbl>
      <w:tblPr>
        <w:tblStyle w:val="5"/>
        <w:tblW w:w="12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904"/>
        <w:gridCol w:w="427"/>
        <w:gridCol w:w="427"/>
        <w:gridCol w:w="1452"/>
        <w:gridCol w:w="3522"/>
        <w:gridCol w:w="939"/>
        <w:gridCol w:w="337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安全包保责任人及监管人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napToGrid w:val="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昆明云能化工有限公司“双十”工程弃渣场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四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安宁市连然街道江浸厂村黑土厂村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政府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连然街道办事处包保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马良兵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连然街道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党工委书记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连然街道办事处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相伟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连然街道办事处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崔敏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云南弘祥化工有限公司秧田箐磷石膏渣场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安宁市温泉街道官庄村委会后甸大村秧田箐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温泉街道办事处包保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樊魏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温泉街道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温泉街道办事处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柴正益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温泉街道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办事处人武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杨宗祥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云南祥丰金麦化工有限公司吴家箐磷石膏渣场1号渣库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安宁市禄脿街道庄科村委会吴家村吴家箐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苏晓喆‬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朱牧楠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杨利荣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云南祥丰金麦化工有限公司吴家箐磷石膏渣场2号渣库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安宁市禄脿街道庄科村委会吴家村吴家箐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苏晓喆‬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朱牧楠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杨利荣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云南祥丰金麦化工有限公司吴家箐磷石膏渣场3号渣库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安宁市禄脿街道庄科村委会吴家村吴家箐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苏晓喆‬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朱牧楠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杨利荣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云南祥丰金麦化工有限公司吴家箐磷石膏渣场尾矿干堆场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安宁市禄脿街道庄科村委会吴家村吴家箐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苏晓喆‬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禄脿街道办事处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朱牧楠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禄脿街道办事处副主任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杨利荣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云南天安化工有限公司杨家箐磷石膏1号堆场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二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安宁市青龙街道白塔村委会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昆明市人民政府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陈伟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昆明市委常委、常务副市长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昆明市人民政府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周晓贤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昆明市应急局党委书记、局长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青龙街道办事处包保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耿炀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青龙街道办事处主任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青龙街道办事处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孙存峰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青龙街道办事处人武部部长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曾家其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云南天安化工有限公司杨家箐磷石膏2号堆场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二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安宁市青龙街道白塔村委会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昆明市人民政府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陈伟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昆明市委常委、常务副市长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昆明市人民政府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周晓贤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昆明市应急局党委书记、局长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青龙街道办事处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耿炀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青龙街道办事处主任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青龙街道办事处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孙存峰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青龙街道办事处人武部部长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曾家其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云南磷化集团有限公司安宁矿业分公司马屋箐尾矿库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尾矿库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  <w:t>安宁市县街街道下元良村委会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政府包保责任人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安宁市人民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政府安全监管责任人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杨瑾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安宁市应急局党委书记、局长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县街街道办事处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赵碧成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县街街道办事处主任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县街街道办事处</w:t>
            </w: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安全监管责任人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杨青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县街街道办事处副主任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库长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康鹏鹏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napToGrid w:val="0"/>
                <w:kern w:val="0"/>
                <w:sz w:val="24"/>
                <w:szCs w:val="24"/>
              </w:rPr>
              <w:t>总经理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840" w:rightChars="4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/>
    <w:p/>
    <w:sectPr>
      <w:footerReference r:id="rId3" w:type="default"/>
      <w:pgSz w:w="16838" w:h="11906" w:orient="landscape"/>
      <w:pgMar w:top="1587" w:right="2098" w:bottom="1474" w:left="1984" w:header="850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1B1B5162"/>
    <w:rsid w:val="47BD5DF3"/>
    <w:rsid w:val="4D2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_GB2312" w:hAnsi="仿宋_GB2312" w:eastAsia="宋体" w:cs="仿宋_GB2312"/>
      <w:kern w:val="0"/>
      <w:sz w:val="21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3400</Words>
  <Characters>3423</Characters>
  <Lines>0</Lines>
  <Paragraphs>0</Paragraphs>
  <TotalTime>1</TotalTime>
  <ScaleCrop>false</ScaleCrop>
  <LinksUpToDate>false</LinksUpToDate>
  <CharactersWithSpaces>3427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2023-07-05T01:33:00Z</dcterms:created>
  <dc:creator>km</dc:creator>
  <cp:lastModifiedBy>km</cp:lastModifiedBy>
  <dcterms:modified xsi:type="dcterms:W3CDTF">2023-07-05T01:40:36Z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DFB443A96A244EAE95EE59E69CB088AD_12</vt:lpwstr>
  </property>
</Properties>
</file>