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napToGrid/>
        <w:spacing w:line="240" w:lineRule="auto"/>
        <w:ind w:firstLine="0" w:firstLineChars="0"/>
        <w:jc w:val="right"/>
        <w:rPr>
          <w:rFonts w:eastAsia="黑体"/>
          <w:b/>
          <w:bCs/>
          <w:w w:val="130"/>
          <w:sz w:val="72"/>
          <w:szCs w:val="72"/>
        </w:rPr>
      </w:pPr>
      <w:r>
        <w:rPr>
          <w:rFonts w:eastAsia="黑体"/>
          <w:b/>
          <w:bCs/>
          <w:w w:val="130"/>
          <w:sz w:val="72"/>
          <w:szCs w:val="72"/>
        </w:rPr>
        <w:t>Q/KMSTHJ</w:t>
      </w:r>
    </w:p>
    <w:p>
      <w:pPr>
        <w:adjustRightInd/>
        <w:snapToGrid/>
        <w:spacing w:line="240" w:lineRule="auto"/>
        <w:ind w:firstLine="0" w:firstLineChars="0"/>
        <w:jc w:val="distribute"/>
        <w:rPr>
          <w:rFonts w:ascii="黑体" w:hAnsi="黑体" w:eastAsia="黑体" w:cs="黑体"/>
          <w:sz w:val="48"/>
          <w:szCs w:val="48"/>
        </w:rPr>
      </w:pPr>
    </w:p>
    <w:p>
      <w:pPr>
        <w:adjustRightInd/>
        <w:snapToGrid/>
        <w:spacing w:line="240" w:lineRule="auto"/>
        <w:ind w:firstLine="0" w:firstLineChars="0"/>
        <w:jc w:val="distribute"/>
        <w:rPr>
          <w:rFonts w:ascii="黑体" w:hAnsi="黑体" w:eastAsia="黑体" w:cs="黑体"/>
          <w:sz w:val="48"/>
          <w:szCs w:val="48"/>
        </w:rPr>
      </w:pPr>
      <w:bookmarkStart w:id="0" w:name="_Toc25032"/>
      <w:bookmarkStart w:id="1" w:name="_Toc13767"/>
      <w:bookmarkStart w:id="2" w:name="_Toc31265"/>
      <w:bookmarkStart w:id="3" w:name="_Toc1171"/>
      <w:r>
        <w:rPr>
          <w:rFonts w:hint="eastAsia" w:ascii="黑体" w:hAnsi="黑体" w:eastAsia="黑体" w:cs="黑体"/>
          <w:sz w:val="48"/>
          <w:szCs w:val="48"/>
        </w:rPr>
        <w:t>昆明市生态环境局</w:t>
      </w:r>
      <w:bookmarkEnd w:id="0"/>
      <w:bookmarkEnd w:id="1"/>
      <w:bookmarkEnd w:id="2"/>
      <w:bookmarkEnd w:id="3"/>
    </w:p>
    <w:p>
      <w:pPr>
        <w:pBdr>
          <w:top w:val="none" w:color="auto" w:sz="0" w:space="1"/>
          <w:left w:val="none" w:color="auto" w:sz="0" w:space="4"/>
          <w:bottom w:val="single" w:color="auto" w:sz="8" w:space="1"/>
          <w:right w:val="none" w:color="auto" w:sz="0" w:space="4"/>
        </w:pBdr>
        <w:adjustRightInd/>
        <w:snapToGrid/>
        <w:spacing w:before="240" w:beforeLines="100" w:after="120" w:afterLines="50" w:line="360" w:lineRule="auto"/>
        <w:ind w:firstLine="0" w:firstLineChars="0"/>
        <w:jc w:val="right"/>
        <w:rPr>
          <w:rFonts w:ascii="黑体" w:hAnsi="黑体" w:eastAsia="黑体" w:cs="黑体"/>
          <w:szCs w:val="20"/>
        </w:rPr>
      </w:pPr>
      <w:r>
        <w:rPr>
          <w:rFonts w:eastAsia="黑体"/>
          <w:szCs w:val="20"/>
        </w:rPr>
        <w:t>Q/BSZN</w:t>
      </w:r>
      <w:r>
        <w:rPr>
          <w:rFonts w:hint="eastAsia" w:ascii="黑体" w:hAnsi="黑体" w:eastAsia="黑体" w:cs="黑体"/>
          <w:szCs w:val="20"/>
        </w:rPr>
        <w:t>1100186000—20</w:t>
      </w:r>
      <w:r>
        <w:rPr>
          <w:rFonts w:ascii="黑体" w:hAnsi="黑体" w:eastAsia="黑体" w:cs="黑体"/>
          <w:szCs w:val="20"/>
        </w:rPr>
        <w:t>23</w:t>
      </w: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rPr>
          <w:sz w:val="32"/>
        </w:rPr>
      </w:pPr>
    </w:p>
    <w:p>
      <w:pPr>
        <w:adjustRightInd/>
        <w:snapToGrid/>
        <w:spacing w:line="360" w:lineRule="auto"/>
        <w:ind w:firstLine="0" w:firstLineChars="0"/>
        <w:jc w:val="center"/>
        <w:textAlignment w:val="center"/>
        <w:rPr>
          <w:rFonts w:ascii="方正小标宋_GBK" w:eastAsia="方正小标宋_GBK" w:cs="黑体"/>
          <w:sz w:val="52"/>
          <w:szCs w:val="52"/>
        </w:rPr>
      </w:pPr>
      <w:bookmarkStart w:id="4" w:name="_Toc27339"/>
      <w:bookmarkStart w:id="5" w:name="_Toc23480"/>
      <w:bookmarkStart w:id="6" w:name="_Toc733"/>
      <w:bookmarkStart w:id="7" w:name="_Toc18618"/>
      <w:r>
        <w:rPr>
          <w:rFonts w:hint="eastAsia" w:ascii="方正小标宋_GBK" w:eastAsia="方正小标宋_GBK" w:cs="黑体"/>
          <w:sz w:val="52"/>
          <w:szCs w:val="52"/>
        </w:rPr>
        <w:t>昆明市建设项目环境影响评价文件</w:t>
      </w:r>
      <w:bookmarkEnd w:id="4"/>
      <w:bookmarkEnd w:id="5"/>
      <w:bookmarkEnd w:id="6"/>
      <w:bookmarkEnd w:id="7"/>
    </w:p>
    <w:p>
      <w:pPr>
        <w:adjustRightInd/>
        <w:snapToGrid/>
        <w:spacing w:line="360" w:lineRule="auto"/>
        <w:ind w:firstLine="0" w:firstLineChars="0"/>
        <w:jc w:val="center"/>
        <w:rPr>
          <w:rFonts w:ascii="方正小标宋_GBK" w:eastAsia="方正小标宋_GBK" w:cs="黑体"/>
          <w:sz w:val="52"/>
          <w:szCs w:val="52"/>
        </w:rPr>
      </w:pPr>
      <w:bookmarkStart w:id="8" w:name="_Toc15331"/>
      <w:bookmarkStart w:id="9" w:name="_Toc12122"/>
      <w:bookmarkStart w:id="10" w:name="_Toc32435"/>
      <w:bookmarkStart w:id="11" w:name="_Toc2095"/>
      <w:r>
        <w:rPr>
          <w:rFonts w:hint="eastAsia" w:ascii="方正小标宋_GBK" w:eastAsia="方正小标宋_GBK" w:cs="黑体"/>
          <w:sz w:val="52"/>
          <w:szCs w:val="52"/>
        </w:rPr>
        <w:t>审批办事指南</w:t>
      </w:r>
      <w:bookmarkEnd w:id="8"/>
      <w:bookmarkEnd w:id="9"/>
      <w:bookmarkEnd w:id="10"/>
      <w:bookmarkEnd w:id="11"/>
    </w:p>
    <w:p>
      <w:pPr>
        <w:spacing w:line="360" w:lineRule="auto"/>
        <w:ind w:firstLine="0" w:firstLineChars="0"/>
        <w:jc w:val="center"/>
        <w:rPr>
          <w:sz w:val="32"/>
        </w:rPr>
      </w:pPr>
    </w:p>
    <w:p>
      <w:pPr>
        <w:spacing w:line="360" w:lineRule="auto"/>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ind w:firstLine="0" w:firstLineChars="0"/>
        <w:jc w:val="center"/>
        <w:rPr>
          <w:sz w:val="32"/>
        </w:rPr>
      </w:pPr>
    </w:p>
    <w:p>
      <w:pPr>
        <w:pBdr>
          <w:bottom w:val="single" w:color="auto" w:sz="8" w:space="0"/>
        </w:pBdr>
        <w:adjustRightInd/>
        <w:snapToGrid/>
        <w:ind w:firstLine="0" w:firstLineChars="0"/>
        <w:rPr>
          <w:sz w:val="32"/>
        </w:rPr>
      </w:pPr>
      <w:bookmarkStart w:id="12" w:name="_Toc2796"/>
      <w:bookmarkStart w:id="13" w:name="_Toc3270"/>
      <w:bookmarkStart w:id="14" w:name="_Toc28148"/>
      <w:bookmarkStart w:id="15" w:name="_Toc3780"/>
      <w:r>
        <w:rPr>
          <w:rFonts w:hint="eastAsia" w:ascii="黑体" w:hAnsi="黑体" w:eastAsia="黑体" w:cs="黑体"/>
          <w:szCs w:val="20"/>
        </w:rPr>
        <w:t>2023-0</w:t>
      </w:r>
      <w:r>
        <w:rPr>
          <w:rFonts w:ascii="黑体" w:hAnsi="黑体" w:eastAsia="黑体" w:cs="黑体"/>
          <w:szCs w:val="20"/>
        </w:rPr>
        <w:t>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 xml:space="preserve">发布                               </w:t>
      </w:r>
      <w:r>
        <w:rPr>
          <w:rFonts w:ascii="黑体" w:hAnsi="黑体" w:eastAsia="黑体" w:cs="黑体"/>
          <w:szCs w:val="20"/>
        </w:rPr>
        <w:t xml:space="preserve">   </w:t>
      </w:r>
      <w:r>
        <w:rPr>
          <w:rFonts w:hint="eastAsia" w:ascii="黑体" w:hAnsi="黑体" w:eastAsia="黑体" w:cs="黑体"/>
          <w:szCs w:val="20"/>
        </w:rPr>
        <w:t>2023-</w:t>
      </w:r>
      <w:r>
        <w:rPr>
          <w:rFonts w:ascii="黑体" w:hAnsi="黑体" w:eastAsia="黑体" w:cs="黑体"/>
          <w:szCs w:val="20"/>
        </w:rPr>
        <w:t>07</w:t>
      </w:r>
      <w:r>
        <w:rPr>
          <w:rFonts w:hint="eastAsia" w:ascii="黑体" w:hAnsi="黑体" w:eastAsia="黑体" w:cs="黑体"/>
          <w:szCs w:val="20"/>
        </w:rPr>
        <w:t>-</w:t>
      </w:r>
      <w:r>
        <w:rPr>
          <w:rFonts w:ascii="黑体" w:hAnsi="黑体" w:eastAsia="黑体" w:cs="黑体"/>
          <w:szCs w:val="20"/>
        </w:rPr>
        <w:t>01</w:t>
      </w:r>
      <w:r>
        <w:rPr>
          <w:rFonts w:hint="eastAsia" w:ascii="黑体" w:hAnsi="黑体" w:eastAsia="黑体" w:cs="黑体"/>
          <w:szCs w:val="20"/>
        </w:rPr>
        <w:t>实施</w:t>
      </w:r>
      <w:bookmarkEnd w:id="12"/>
      <w:bookmarkEnd w:id="13"/>
      <w:bookmarkEnd w:id="14"/>
      <w:bookmarkEnd w:id="15"/>
    </w:p>
    <w:p>
      <w:pPr>
        <w:pBdr>
          <w:bottom w:val="single" w:color="auto" w:sz="8" w:space="0"/>
        </w:pBdr>
        <w:spacing w:before="120" w:after="120"/>
        <w:ind w:firstLine="640" w:firstLineChars="0"/>
        <w:sectPr>
          <w:headerReference r:id="rId7" w:type="first"/>
          <w:footerReference r:id="rId10" w:type="first"/>
          <w:headerReference r:id="rId5" w:type="default"/>
          <w:footerReference r:id="rId8" w:type="default"/>
          <w:headerReference r:id="rId6" w:type="even"/>
          <w:footerReference r:id="rId9" w:type="even"/>
          <w:pgSz w:w="11907" w:h="16840"/>
          <w:pgMar w:top="2098" w:right="1474" w:bottom="1985" w:left="1588" w:header="851" w:footer="1587" w:gutter="0"/>
          <w:pgNumType w:fmt="numberInDash"/>
          <w:cols w:space="425" w:num="1"/>
          <w:docGrid w:linePitch="381" w:charSpace="0"/>
        </w:sectPr>
      </w:pPr>
    </w:p>
    <w:p>
      <w:pPr>
        <w:snapToGrid/>
        <w:ind w:firstLine="0" w:firstLineChars="0"/>
        <w:jc w:val="center"/>
        <w:outlineLvl w:val="0"/>
      </w:pPr>
      <w:r>
        <w:rPr>
          <w:rFonts w:hint="eastAsia" w:ascii="黑体" w:hAnsi="黑体" w:eastAsia="黑体" w:cs="黑体"/>
          <w:sz w:val="44"/>
          <w:szCs w:val="44"/>
        </w:rPr>
        <w:t>目录</w:t>
      </w:r>
      <w:r>
        <w:rPr>
          <w:rFonts w:hint="eastAsia"/>
        </w:rPr>
        <w:fldChar w:fldCharType="begin"/>
      </w:r>
      <w:r>
        <w:rPr>
          <w:rFonts w:hint="eastAsia"/>
        </w:rPr>
        <w:instrText xml:space="preserve">TOC \o "1-3" \h \u </w:instrText>
      </w:r>
      <w:r>
        <w:rPr>
          <w:rFonts w:hint="eastAsia"/>
        </w:rPr>
        <w:fldChar w:fldCharType="separate"/>
      </w:r>
    </w:p>
    <w:p>
      <w:pPr>
        <w:pStyle w:val="10"/>
        <w:tabs>
          <w:tab w:val="right" w:leader="dot" w:pos="8838"/>
        </w:tabs>
        <w:ind w:firstLine="0" w:firstLineChars="0"/>
        <w:rPr>
          <w:b/>
          <w:bCs/>
        </w:rPr>
      </w:pPr>
      <w:r>
        <w:fldChar w:fldCharType="begin"/>
      </w:r>
      <w:r>
        <w:instrText xml:space="preserve"> HYPERLINK \l "_Toc17099" </w:instrText>
      </w:r>
      <w:r>
        <w:fldChar w:fldCharType="separate"/>
      </w:r>
      <w:r>
        <w:rPr>
          <w:rFonts w:hint="eastAsia"/>
          <w:b/>
          <w:bCs/>
        </w:rPr>
        <w:t>一、受理范围</w:t>
      </w:r>
      <w:r>
        <w:rPr>
          <w:b/>
          <w:bCs/>
        </w:rPr>
        <w:tab/>
      </w:r>
      <w:r>
        <w:rPr>
          <w:b/>
          <w:bCs/>
        </w:rPr>
        <w:fldChar w:fldCharType="begin"/>
      </w:r>
      <w:r>
        <w:rPr>
          <w:b/>
          <w:bCs/>
        </w:rPr>
        <w:instrText xml:space="preserve"> PAGEREF _Toc17099 \h </w:instrText>
      </w:r>
      <w:r>
        <w:rPr>
          <w:b/>
          <w:bCs/>
        </w:rPr>
        <w:fldChar w:fldCharType="separate"/>
      </w:r>
      <w:r>
        <w:rPr>
          <w:b/>
          <w:bCs/>
        </w:rPr>
        <w:t>1</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"_Toc18964" </w:instrText>
      </w:r>
      <w:r>
        <w:fldChar w:fldCharType="separate"/>
      </w:r>
      <w:r>
        <w:rPr>
          <w:rFonts w:hint="eastAsia"/>
        </w:rPr>
        <w:t>（一）申请内容</w:t>
      </w:r>
      <w:r>
        <w:tab/>
      </w:r>
      <w:r>
        <w:fldChar w:fldCharType="begin"/>
      </w:r>
      <w:r>
        <w:instrText xml:space="preserve"> PAGEREF _Toc18964 \h </w:instrText>
      </w:r>
      <w:r>
        <w:fldChar w:fldCharType="separate"/>
      </w:r>
      <w:r>
        <w:t>1</w:t>
      </w:r>
      <w:r>
        <w:fldChar w:fldCharType="end"/>
      </w:r>
      <w:r>
        <w:fldChar w:fldCharType="end"/>
      </w:r>
    </w:p>
    <w:p>
      <w:pPr>
        <w:pStyle w:val="11"/>
        <w:tabs>
          <w:tab w:val="right" w:leader="dot" w:pos="8838"/>
        </w:tabs>
        <w:ind w:left="560" w:firstLine="0" w:firstLineChars="0"/>
      </w:pPr>
      <w:r>
        <w:fldChar w:fldCharType="begin"/>
      </w:r>
      <w:r>
        <w:instrText xml:space="preserve"> HYPERLINK \l "_Toc2776" </w:instrText>
      </w:r>
      <w:r>
        <w:fldChar w:fldCharType="separate"/>
      </w:r>
      <w:r>
        <w:rPr>
          <w:rFonts w:hint="eastAsia"/>
        </w:rPr>
        <w:t>（二）申请人范围及申请条件</w:t>
      </w:r>
      <w:r>
        <w:tab/>
      </w:r>
      <w:r>
        <w:fldChar w:fldCharType="begin"/>
      </w:r>
      <w:r>
        <w:instrText xml:space="preserve"> PAGEREF _Toc2776 \h </w:instrText>
      </w:r>
      <w:r>
        <w:fldChar w:fldCharType="separate"/>
      </w:r>
      <w:r>
        <w:t>1</w:t>
      </w:r>
      <w:r>
        <w:fldChar w:fldCharType="end"/>
      </w:r>
      <w:r>
        <w:fldChar w:fldCharType="end"/>
      </w:r>
    </w:p>
    <w:p>
      <w:pPr>
        <w:pStyle w:val="11"/>
        <w:tabs>
          <w:tab w:val="right" w:leader="dot" w:pos="8838"/>
        </w:tabs>
        <w:ind w:left="560" w:firstLine="0" w:firstLineChars="0"/>
      </w:pPr>
      <w:r>
        <w:fldChar w:fldCharType="begin"/>
      </w:r>
      <w:r>
        <w:instrText xml:space="preserve"> HYPERLINK \l "_Toc26914" </w:instrText>
      </w:r>
      <w:r>
        <w:fldChar w:fldCharType="separate"/>
      </w:r>
      <w:r>
        <w:rPr>
          <w:rFonts w:hint="eastAsia"/>
        </w:rPr>
        <w:t>（三）不予受理的法定情形</w:t>
      </w:r>
      <w:r>
        <w:tab/>
      </w:r>
      <w:r>
        <w:fldChar w:fldCharType="begin"/>
      </w:r>
      <w:r>
        <w:instrText xml:space="preserve"> PAGEREF _Toc26914 \h </w:instrText>
      </w:r>
      <w:r>
        <w:fldChar w:fldCharType="separate"/>
      </w:r>
      <w:r>
        <w:t>2</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"_Toc16180" </w:instrText>
      </w:r>
      <w:r>
        <w:fldChar w:fldCharType="separate"/>
      </w:r>
      <w:r>
        <w:rPr>
          <w:rFonts w:hint="eastAsia"/>
          <w:b/>
          <w:bCs/>
        </w:rPr>
        <w:t>二、设定及办理依据</w:t>
      </w:r>
      <w:r>
        <w:rPr>
          <w:b/>
          <w:bCs/>
        </w:rPr>
        <w:tab/>
      </w:r>
      <w:r>
        <w:rPr>
          <w:b/>
          <w:bCs/>
        </w:rPr>
        <w:fldChar w:fldCharType="begin"/>
      </w:r>
      <w:r>
        <w:rPr>
          <w:b/>
          <w:bCs/>
        </w:rPr>
        <w:instrText xml:space="preserve"> PAGEREF _Toc16180 \h </w:instrText>
      </w:r>
      <w:r>
        <w:rPr>
          <w:b/>
          <w:bCs/>
        </w:rPr>
        <w:fldChar w:fldCharType="separate"/>
      </w:r>
      <w:r>
        <w:rPr>
          <w:b/>
          <w:bCs/>
        </w:rPr>
        <w:t>2</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"_Toc12828" </w:instrText>
      </w:r>
      <w:r>
        <w:fldChar w:fldCharType="separate"/>
      </w:r>
      <w:r>
        <w:rPr>
          <w:rFonts w:hint="eastAsia"/>
        </w:rPr>
        <w:t>（一）设定依据</w:t>
      </w:r>
      <w:r>
        <w:tab/>
      </w:r>
      <w:r>
        <w:fldChar w:fldCharType="begin"/>
      </w:r>
      <w:r>
        <w:instrText xml:space="preserve"> PAGEREF _Toc12828 \h </w:instrText>
      </w:r>
      <w:r>
        <w:fldChar w:fldCharType="separate"/>
      </w:r>
      <w:r>
        <w:t>2</w:t>
      </w:r>
      <w:r>
        <w:fldChar w:fldCharType="end"/>
      </w:r>
      <w:r>
        <w:fldChar w:fldCharType="end"/>
      </w:r>
    </w:p>
    <w:p>
      <w:pPr>
        <w:pStyle w:val="11"/>
        <w:tabs>
          <w:tab w:val="right" w:leader="dot" w:pos="8838"/>
        </w:tabs>
        <w:ind w:left="560" w:firstLine="0" w:firstLineChars="0"/>
      </w:pPr>
      <w:r>
        <w:fldChar w:fldCharType="begin"/>
      </w:r>
      <w:r>
        <w:instrText xml:space="preserve"> HYPERLINK \l "_Toc25149" </w:instrText>
      </w:r>
      <w:r>
        <w:fldChar w:fldCharType="separate"/>
      </w:r>
      <w:r>
        <w:rPr>
          <w:rFonts w:hint="eastAsia"/>
        </w:rPr>
        <w:t>（二）办理依据</w:t>
      </w:r>
      <w:r>
        <w:tab/>
      </w:r>
      <w:r>
        <w:fldChar w:fldCharType="begin"/>
      </w:r>
      <w:r>
        <w:instrText xml:space="preserve"> PAGEREF _Toc25149 \h </w:instrText>
      </w:r>
      <w:r>
        <w:fldChar w:fldCharType="separate"/>
      </w:r>
      <w:r>
        <w:t>2</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"_Toc16058" </w:instrText>
      </w:r>
      <w:r>
        <w:fldChar w:fldCharType="separate"/>
      </w:r>
      <w:r>
        <w:rPr>
          <w:rFonts w:hint="eastAsia"/>
          <w:b/>
          <w:bCs/>
        </w:rPr>
        <w:t>三、实施机关</w:t>
      </w:r>
      <w:r>
        <w:rPr>
          <w:b/>
          <w:bCs/>
        </w:rPr>
        <w:tab/>
      </w:r>
      <w:r>
        <w:rPr>
          <w:b/>
          <w:bCs/>
        </w:rPr>
        <w:fldChar w:fldCharType="begin"/>
      </w:r>
      <w:r>
        <w:rPr>
          <w:b/>
          <w:bCs/>
        </w:rPr>
        <w:instrText xml:space="preserve"> PAGEREF _Toc16058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"_Toc3158" </w:instrText>
      </w:r>
      <w:r>
        <w:fldChar w:fldCharType="separate"/>
      </w:r>
      <w:r>
        <w:rPr>
          <w:rFonts w:hint="eastAsia"/>
          <w:b/>
          <w:bCs/>
        </w:rPr>
        <w:t>四、办理深度</w:t>
      </w:r>
      <w:r>
        <w:rPr>
          <w:b/>
          <w:bCs/>
        </w:rPr>
        <w:tab/>
      </w:r>
      <w:r>
        <w:rPr>
          <w:b/>
          <w:bCs/>
        </w:rPr>
        <w:fldChar w:fldCharType="begin"/>
      </w:r>
      <w:r>
        <w:rPr>
          <w:b/>
          <w:bCs/>
        </w:rPr>
        <w:instrText xml:space="preserve"> PAGEREF _Toc3158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"_Toc15670" </w:instrText>
      </w:r>
      <w:r>
        <w:fldChar w:fldCharType="separate"/>
      </w:r>
      <w:r>
        <w:rPr>
          <w:rFonts w:hint="eastAsia"/>
          <w:b/>
          <w:bCs/>
        </w:rPr>
        <w:t>五、办件类型</w:t>
      </w:r>
      <w:r>
        <w:rPr>
          <w:b/>
          <w:bCs/>
        </w:rPr>
        <w:tab/>
      </w:r>
      <w:r>
        <w:rPr>
          <w:b/>
          <w:bCs/>
        </w:rPr>
        <w:fldChar w:fldCharType="begin"/>
      </w:r>
      <w:r>
        <w:rPr>
          <w:b/>
          <w:bCs/>
        </w:rPr>
        <w:instrText xml:space="preserve"> PAGEREF _Toc15670 \h </w:instrText>
      </w:r>
      <w:r>
        <w:rPr>
          <w:b/>
          <w:bCs/>
        </w:rPr>
        <w:fldChar w:fldCharType="separate"/>
      </w:r>
      <w:r>
        <w:rPr>
          <w:b/>
          <w:bCs/>
        </w:rPr>
        <w:t>3</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"_Toc21673" </w:instrText>
      </w:r>
      <w:r>
        <w:fldChar w:fldCharType="separate"/>
      </w:r>
      <w:r>
        <w:rPr>
          <w:rFonts w:hint="eastAsia"/>
          <w:b/>
          <w:bCs/>
        </w:rPr>
        <w:t>六、许可条件</w:t>
      </w:r>
      <w:r>
        <w:rPr>
          <w:b/>
          <w:bCs/>
        </w:rPr>
        <w:tab/>
      </w:r>
      <w:r>
        <w:rPr>
          <w:b/>
          <w:bCs/>
        </w:rPr>
        <w:fldChar w:fldCharType="begin"/>
      </w:r>
      <w:r>
        <w:rPr>
          <w:b/>
          <w:bCs/>
        </w:rPr>
        <w:instrText xml:space="preserve"> PAGEREF _Toc21673 \h </w:instrText>
      </w:r>
      <w:r>
        <w:rPr>
          <w:b/>
          <w:bCs/>
        </w:rPr>
        <w:fldChar w:fldCharType="separate"/>
      </w:r>
      <w:r>
        <w:rPr>
          <w:b/>
          <w:bCs/>
        </w:rPr>
        <w:t>3</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"_Toc27269" </w:instrText>
      </w:r>
      <w:r>
        <w:fldChar w:fldCharType="separate"/>
      </w:r>
      <w:r>
        <w:rPr>
          <w:rFonts w:hint="eastAsia"/>
        </w:rPr>
        <w:t>（一）同时满足以下条件予以许可</w:t>
      </w:r>
      <w:r>
        <w:tab/>
      </w:r>
      <w:r>
        <w:fldChar w:fldCharType="begin"/>
      </w:r>
      <w:r>
        <w:instrText xml:space="preserve"> PAGEREF _Toc27269 \h </w:instrText>
      </w:r>
      <w:r>
        <w:fldChar w:fldCharType="separate"/>
      </w:r>
      <w:r>
        <w:t>3</w:t>
      </w:r>
      <w:r>
        <w:fldChar w:fldCharType="end"/>
      </w:r>
      <w:r>
        <w:fldChar w:fldCharType="end"/>
      </w:r>
    </w:p>
    <w:p>
      <w:pPr>
        <w:pStyle w:val="11"/>
        <w:tabs>
          <w:tab w:val="right" w:leader="dot" w:pos="8838"/>
        </w:tabs>
        <w:ind w:left="560" w:firstLine="0" w:firstLineChars="0"/>
      </w:pPr>
      <w:r>
        <w:fldChar w:fldCharType="begin"/>
      </w:r>
      <w:r>
        <w:instrText xml:space="preserve"> HYPERLINK \l "_Toc17668" </w:instrText>
      </w:r>
      <w:r>
        <w:fldChar w:fldCharType="separate"/>
      </w:r>
      <w:r>
        <w:rPr>
          <w:rFonts w:hint="eastAsia"/>
        </w:rPr>
        <w:t>（二）具有下列情形之一的，不予许可</w:t>
      </w:r>
      <w:r>
        <w:tab/>
      </w:r>
      <w:r>
        <w:fldChar w:fldCharType="begin"/>
      </w:r>
      <w:r>
        <w:instrText xml:space="preserve"> PAGEREF _Toc17668 \h </w:instrText>
      </w:r>
      <w:r>
        <w:fldChar w:fldCharType="separate"/>
      </w:r>
      <w:r>
        <w:t>4</w:t>
      </w:r>
      <w:r>
        <w:fldChar w:fldCharType="end"/>
      </w:r>
      <w:r>
        <w:fldChar w:fldCharType="end"/>
      </w:r>
    </w:p>
    <w:p>
      <w:pPr>
        <w:pStyle w:val="10"/>
        <w:tabs>
          <w:tab w:val="right" w:leader="dot" w:pos="8838"/>
        </w:tabs>
        <w:ind w:firstLine="0" w:firstLineChars="0"/>
        <w:rPr>
          <w:b/>
          <w:bCs/>
        </w:rPr>
      </w:pPr>
      <w:r>
        <w:fldChar w:fldCharType="begin"/>
      </w:r>
      <w:r>
        <w:instrText xml:space="preserve"> HYPERLINK \l "_Toc3904" </w:instrText>
      </w:r>
      <w:r>
        <w:fldChar w:fldCharType="separate"/>
      </w:r>
      <w:r>
        <w:rPr>
          <w:rFonts w:hint="eastAsia"/>
          <w:b/>
          <w:bCs/>
        </w:rPr>
        <w:t>七、政策、技术、数量限制</w:t>
      </w:r>
      <w:r>
        <w:rPr>
          <w:b/>
          <w:bCs/>
        </w:rPr>
        <w:tab/>
      </w:r>
      <w:r>
        <w:rPr>
          <w:b/>
          <w:bCs/>
        </w:rPr>
        <w:fldChar w:fldCharType="begin"/>
      </w:r>
      <w:r>
        <w:rPr>
          <w:b/>
          <w:bCs/>
        </w:rPr>
        <w:instrText xml:space="preserve"> PAGEREF _Toc3904 \h </w:instrText>
      </w:r>
      <w:r>
        <w:rPr>
          <w:b/>
          <w:bCs/>
        </w:rPr>
        <w:fldChar w:fldCharType="separate"/>
      </w:r>
      <w:r>
        <w:rPr>
          <w:b/>
          <w:bCs/>
        </w:rPr>
        <w:t>4</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"_Toc22932" </w:instrText>
      </w:r>
      <w:r>
        <w:fldChar w:fldCharType="separate"/>
      </w:r>
      <w:r>
        <w:rPr>
          <w:rFonts w:hint="eastAsia"/>
          <w:b/>
          <w:bCs/>
        </w:rPr>
        <w:t>八、申请材料</w:t>
      </w:r>
      <w:r>
        <w:rPr>
          <w:b/>
          <w:bCs/>
        </w:rPr>
        <w:tab/>
      </w:r>
      <w:r>
        <w:rPr>
          <w:b/>
          <w:bCs/>
        </w:rPr>
        <w:fldChar w:fldCharType="begin"/>
      </w:r>
      <w:r>
        <w:rPr>
          <w:b/>
          <w:bCs/>
        </w:rPr>
        <w:instrText xml:space="preserve"> PAGEREF _Toc22932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"_Toc7405" </w:instrText>
      </w:r>
      <w:r>
        <w:fldChar w:fldCharType="separate"/>
      </w:r>
      <w:r>
        <w:rPr>
          <w:rFonts w:hint="eastAsia"/>
          <w:b/>
          <w:bCs/>
        </w:rPr>
        <w:t>九、办结时限</w:t>
      </w:r>
      <w:r>
        <w:rPr>
          <w:b/>
          <w:bCs/>
        </w:rPr>
        <w:tab/>
      </w:r>
      <w:r>
        <w:rPr>
          <w:b/>
          <w:bCs/>
        </w:rPr>
        <w:fldChar w:fldCharType="begin"/>
      </w:r>
      <w:r>
        <w:rPr>
          <w:b/>
          <w:bCs/>
        </w:rPr>
        <w:instrText xml:space="preserve"> PAGEREF _Toc7405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"_Toc21392" </w:instrText>
      </w:r>
      <w:r>
        <w:fldChar w:fldCharType="separate"/>
      </w:r>
      <w:r>
        <w:rPr>
          <w:rFonts w:hint="eastAsia"/>
          <w:b/>
          <w:bCs/>
        </w:rPr>
        <w:t>十、许可收费及依据</w:t>
      </w:r>
      <w:r>
        <w:rPr>
          <w:b/>
          <w:bCs/>
        </w:rPr>
        <w:tab/>
      </w:r>
      <w:r>
        <w:rPr>
          <w:b/>
          <w:bCs/>
        </w:rPr>
        <w:fldChar w:fldCharType="begin"/>
      </w:r>
      <w:r>
        <w:rPr>
          <w:b/>
          <w:bCs/>
        </w:rPr>
        <w:instrText xml:space="preserve"> PAGEREF _Toc21392 \h </w:instrText>
      </w:r>
      <w:r>
        <w:rPr>
          <w:b/>
          <w:bCs/>
        </w:rPr>
        <w:fldChar w:fldCharType="separate"/>
      </w:r>
      <w:r>
        <w:rPr>
          <w:b/>
          <w:bCs/>
        </w:rPr>
        <w:t>5</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"_Toc13968" </w:instrText>
      </w:r>
      <w:r>
        <w:fldChar w:fldCharType="separate"/>
      </w:r>
      <w:r>
        <w:rPr>
          <w:rFonts w:hint="eastAsia"/>
          <w:b/>
          <w:bCs/>
        </w:rPr>
        <w:t>十一、中介服务要求</w:t>
      </w:r>
      <w:r>
        <w:rPr>
          <w:b/>
          <w:bCs/>
        </w:rPr>
        <w:tab/>
      </w:r>
      <w:r>
        <w:rPr>
          <w:b/>
          <w:bCs/>
        </w:rPr>
        <w:fldChar w:fldCharType="begin"/>
      </w:r>
      <w:r>
        <w:rPr>
          <w:b/>
          <w:bCs/>
        </w:rPr>
        <w:instrText xml:space="preserve"> PAGEREF _Toc13968 \h </w:instrText>
      </w:r>
      <w:r>
        <w:rPr>
          <w:b/>
          <w:bCs/>
        </w:rPr>
        <w:fldChar w:fldCharType="separate"/>
      </w:r>
      <w:r>
        <w:rPr>
          <w:b/>
          <w:bCs/>
        </w:rPr>
        <w:t>5</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"_Toc7690" </w:instrText>
      </w:r>
      <w:r>
        <w:fldChar w:fldCharType="separate"/>
      </w:r>
      <w:r>
        <w:rPr>
          <w:rFonts w:hint="eastAsia"/>
        </w:rPr>
        <w:t>（一）中介服务事项名称</w:t>
      </w:r>
      <w:r>
        <w:tab/>
      </w:r>
      <w:r>
        <w:fldChar w:fldCharType="begin"/>
      </w:r>
      <w:r>
        <w:instrText xml:space="preserve"> PAGEREF _Toc7690 \h </w:instrText>
      </w:r>
      <w:r>
        <w:fldChar w:fldCharType="separate"/>
      </w:r>
      <w:r>
        <w:t>5</w:t>
      </w:r>
      <w:r>
        <w:fldChar w:fldCharType="end"/>
      </w:r>
      <w:r>
        <w:fldChar w:fldCharType="end"/>
      </w:r>
    </w:p>
    <w:p>
      <w:pPr>
        <w:pStyle w:val="11"/>
        <w:tabs>
          <w:tab w:val="right" w:leader="dot" w:pos="8838"/>
        </w:tabs>
        <w:ind w:left="560" w:firstLine="0" w:firstLineChars="0"/>
      </w:pPr>
      <w:r>
        <w:fldChar w:fldCharType="begin"/>
      </w:r>
      <w:r>
        <w:instrText xml:space="preserve"> HYPERLINK \l "_Toc1695" </w:instrText>
      </w:r>
      <w:r>
        <w:fldChar w:fldCharType="separate"/>
      </w:r>
      <w:r>
        <w:rPr>
          <w:rFonts w:hint="eastAsia"/>
        </w:rPr>
        <w:t>（二）实施依据</w:t>
      </w:r>
      <w:r>
        <w:tab/>
      </w:r>
      <w:r>
        <w:fldChar w:fldCharType="begin"/>
      </w:r>
      <w:r>
        <w:instrText xml:space="preserve"> PAGEREF _Toc1695 \h </w:instrText>
      </w:r>
      <w:r>
        <w:fldChar w:fldCharType="separate"/>
      </w:r>
      <w:r>
        <w:t>5</w:t>
      </w:r>
      <w:r>
        <w:fldChar w:fldCharType="end"/>
      </w:r>
      <w:r>
        <w:fldChar w:fldCharType="end"/>
      </w:r>
    </w:p>
    <w:p>
      <w:pPr>
        <w:pStyle w:val="10"/>
        <w:tabs>
          <w:tab w:val="right" w:leader="dot" w:pos="8838"/>
        </w:tabs>
        <w:ind w:firstLine="0" w:firstLineChars="0"/>
        <w:rPr>
          <w:b/>
          <w:bCs/>
        </w:rPr>
      </w:pPr>
      <w:r>
        <w:fldChar w:fldCharType="begin"/>
      </w:r>
      <w:r>
        <w:instrText xml:space="preserve"> HYPERLINK \l "_Toc16004" </w:instrText>
      </w:r>
      <w:r>
        <w:fldChar w:fldCharType="separate"/>
      </w:r>
      <w:r>
        <w:rPr>
          <w:rFonts w:hint="eastAsia"/>
          <w:b/>
          <w:bCs/>
        </w:rPr>
        <w:t>十二、资质条件</w:t>
      </w:r>
      <w:r>
        <w:rPr>
          <w:b/>
          <w:bCs/>
        </w:rPr>
        <w:tab/>
      </w:r>
      <w:r>
        <w:rPr>
          <w:b/>
          <w:bCs/>
        </w:rPr>
        <w:fldChar w:fldCharType="begin"/>
      </w:r>
      <w:r>
        <w:rPr>
          <w:b/>
          <w:bCs/>
        </w:rPr>
        <w:instrText xml:space="preserve"> PAGEREF _Toc16004 \h </w:instrText>
      </w:r>
      <w:r>
        <w:rPr>
          <w:b/>
          <w:bCs/>
        </w:rPr>
        <w:fldChar w:fldCharType="separate"/>
      </w:r>
      <w:r>
        <w:rPr>
          <w:b/>
          <w:bCs/>
        </w:rPr>
        <w:t>6</w:t>
      </w:r>
      <w:r>
        <w:rPr>
          <w:b/>
          <w:bCs/>
        </w:rPr>
        <w:fldChar w:fldCharType="end"/>
      </w:r>
      <w:r>
        <w:rPr>
          <w:b/>
          <w:bCs/>
        </w:rPr>
        <w:fldChar w:fldCharType="end"/>
      </w:r>
    </w:p>
    <w:p>
      <w:pPr>
        <w:pStyle w:val="10"/>
        <w:tabs>
          <w:tab w:val="right" w:leader="dot" w:pos="8838"/>
        </w:tabs>
        <w:ind w:firstLine="0" w:firstLineChars="0"/>
        <w:rPr>
          <w:b/>
          <w:bCs/>
        </w:rPr>
      </w:pPr>
      <w:r>
        <w:fldChar w:fldCharType="begin"/>
      </w:r>
      <w:r>
        <w:instrText xml:space="preserve"> HYPERLINK \l "_Toc5594" </w:instrText>
      </w:r>
      <w:r>
        <w:fldChar w:fldCharType="separate"/>
      </w:r>
      <w:r>
        <w:rPr>
          <w:rFonts w:hint="eastAsia"/>
          <w:b/>
          <w:bCs/>
        </w:rPr>
        <w:t>十三、办理流程</w:t>
      </w:r>
      <w:r>
        <w:rPr>
          <w:b/>
          <w:bCs/>
        </w:rPr>
        <w:tab/>
      </w:r>
      <w:r>
        <w:rPr>
          <w:b/>
          <w:bCs/>
        </w:rPr>
        <w:fldChar w:fldCharType="begin"/>
      </w:r>
      <w:r>
        <w:rPr>
          <w:b/>
          <w:bCs/>
        </w:rPr>
        <w:instrText xml:space="preserve"> PAGEREF _Toc5594 \h </w:instrText>
      </w:r>
      <w:r>
        <w:rPr>
          <w:b/>
          <w:bCs/>
        </w:rPr>
        <w:fldChar w:fldCharType="separate"/>
      </w:r>
      <w:r>
        <w:rPr>
          <w:b/>
          <w:bCs/>
        </w:rPr>
        <w:t>6</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"_Toc22270" </w:instrText>
      </w:r>
      <w:r>
        <w:fldChar w:fldCharType="separate"/>
      </w:r>
      <w:r>
        <w:rPr>
          <w:rFonts w:hint="eastAsia"/>
        </w:rPr>
        <w:t>（一）申请</w:t>
      </w:r>
      <w:r>
        <w:tab/>
      </w:r>
      <w:r>
        <w:fldChar w:fldCharType="begin"/>
      </w:r>
      <w:r>
        <w:instrText xml:space="preserve"> PAGEREF _Toc22270 \h </w:instrText>
      </w:r>
      <w:r>
        <w:fldChar w:fldCharType="separate"/>
      </w:r>
      <w:r>
        <w:t>6</w:t>
      </w:r>
      <w:r>
        <w:fldChar w:fldCharType="end"/>
      </w:r>
      <w:r>
        <w:fldChar w:fldCharType="end"/>
      </w:r>
    </w:p>
    <w:p>
      <w:pPr>
        <w:pStyle w:val="11"/>
        <w:tabs>
          <w:tab w:val="right" w:leader="dot" w:pos="8838"/>
        </w:tabs>
        <w:ind w:left="560" w:firstLine="0" w:firstLineChars="0"/>
      </w:pPr>
      <w:r>
        <w:fldChar w:fldCharType="begin"/>
      </w:r>
      <w:r>
        <w:instrText xml:space="preserve"> HYPERLINK \l "_Toc12687" </w:instrText>
      </w:r>
      <w:r>
        <w:fldChar w:fldCharType="separate"/>
      </w:r>
      <w:r>
        <w:rPr>
          <w:rFonts w:hint="eastAsia"/>
        </w:rPr>
        <w:t>（二）受理</w:t>
      </w:r>
      <w:r>
        <w:tab/>
      </w:r>
      <w:r>
        <w:fldChar w:fldCharType="begin"/>
      </w:r>
      <w:r>
        <w:instrText xml:space="preserve"> PAGEREF _Toc12687 \h </w:instrText>
      </w:r>
      <w:r>
        <w:fldChar w:fldCharType="separate"/>
      </w:r>
      <w:r>
        <w:t>6</w:t>
      </w:r>
      <w:r>
        <w:fldChar w:fldCharType="end"/>
      </w:r>
      <w:r>
        <w:fldChar w:fldCharType="end"/>
      </w:r>
    </w:p>
    <w:p>
      <w:pPr>
        <w:pStyle w:val="11"/>
        <w:tabs>
          <w:tab w:val="right" w:leader="dot" w:pos="8838"/>
        </w:tabs>
        <w:ind w:left="560" w:firstLine="0" w:firstLineChars="0"/>
      </w:pPr>
      <w:r>
        <w:fldChar w:fldCharType="begin"/>
      </w:r>
      <w:r>
        <w:instrText xml:space="preserve"> HYPERLINK \l "_Toc11666" </w:instrText>
      </w:r>
      <w:r>
        <w:fldChar w:fldCharType="separate"/>
      </w:r>
      <w:r>
        <w:rPr>
          <w:rFonts w:hint="eastAsia"/>
        </w:rPr>
        <w:t>（三）审查</w:t>
      </w:r>
      <w:r>
        <w:tab/>
      </w:r>
      <w:r>
        <w:fldChar w:fldCharType="begin"/>
      </w:r>
      <w:r>
        <w:instrText xml:space="preserve"> PAGEREF _Toc11666 \h </w:instrText>
      </w:r>
      <w:r>
        <w:fldChar w:fldCharType="separate"/>
      </w:r>
      <w:r>
        <w:t>7</w:t>
      </w:r>
      <w:r>
        <w:fldChar w:fldCharType="end"/>
      </w:r>
      <w:r>
        <w:fldChar w:fldCharType="end"/>
      </w:r>
    </w:p>
    <w:p>
      <w:pPr>
        <w:pStyle w:val="11"/>
        <w:tabs>
          <w:tab w:val="right" w:leader="dot" w:pos="8838"/>
        </w:tabs>
        <w:ind w:left="560" w:firstLine="0" w:firstLineChars="0"/>
      </w:pPr>
      <w:r>
        <w:fldChar w:fldCharType="begin"/>
      </w:r>
      <w:r>
        <w:instrText xml:space="preserve"> HYPERLINK \l "_Toc9555" </w:instrText>
      </w:r>
      <w:r>
        <w:fldChar w:fldCharType="separate"/>
      </w:r>
      <w:r>
        <w:rPr>
          <w:rFonts w:hint="eastAsia"/>
        </w:rPr>
        <w:t>（四）许可决定及送达方式</w:t>
      </w:r>
      <w:r>
        <w:tab/>
      </w:r>
      <w:r>
        <w:fldChar w:fldCharType="begin"/>
      </w:r>
      <w:r>
        <w:instrText xml:space="preserve"> PAGEREF _Toc9555 \h </w:instrText>
      </w:r>
      <w:r>
        <w:fldChar w:fldCharType="separate"/>
      </w:r>
      <w:r>
        <w:t>7</w:t>
      </w:r>
      <w:r>
        <w:fldChar w:fldCharType="end"/>
      </w:r>
      <w:r>
        <w:fldChar w:fldCharType="end"/>
      </w:r>
    </w:p>
    <w:p>
      <w:pPr>
        <w:pStyle w:val="7"/>
        <w:tabs>
          <w:tab w:val="right" w:leader="dot" w:pos="8838"/>
        </w:tabs>
        <w:ind w:left="1120" w:firstLine="0" w:firstLineChars="0"/>
      </w:pPr>
      <w:r>
        <w:fldChar w:fldCharType="begin"/>
      </w:r>
      <w:r>
        <w:instrText xml:space="preserve"> HYPERLINK \l "_Toc3552" </w:instrText>
      </w:r>
      <w:r>
        <w:fldChar w:fldCharType="separate"/>
      </w:r>
      <w:r>
        <w:t>1.</w:t>
      </w:r>
      <w:r>
        <w:rPr>
          <w:rFonts w:hint="eastAsia"/>
        </w:rPr>
        <w:t>办理结果</w:t>
      </w:r>
      <w:r>
        <w:tab/>
      </w:r>
      <w:r>
        <w:fldChar w:fldCharType="begin"/>
      </w:r>
      <w:r>
        <w:instrText xml:space="preserve"> PAGEREF _Toc3552 \h </w:instrText>
      </w:r>
      <w:r>
        <w:fldChar w:fldCharType="separate"/>
      </w:r>
      <w:r>
        <w:t>7</w:t>
      </w:r>
      <w:r>
        <w:fldChar w:fldCharType="end"/>
      </w:r>
      <w:r>
        <w:fldChar w:fldCharType="end"/>
      </w:r>
    </w:p>
    <w:p>
      <w:pPr>
        <w:pStyle w:val="7"/>
        <w:tabs>
          <w:tab w:val="right" w:leader="dot" w:pos="8838"/>
        </w:tabs>
        <w:ind w:left="1120" w:firstLine="0" w:firstLineChars="0"/>
      </w:pPr>
      <w:r>
        <w:fldChar w:fldCharType="begin"/>
      </w:r>
      <w:r>
        <w:instrText xml:space="preserve"> HYPERLINK \l "_Toc27452" </w:instrText>
      </w:r>
      <w:r>
        <w:fldChar w:fldCharType="separate"/>
      </w:r>
      <w:r>
        <w:t>2.</w:t>
      </w:r>
      <w:r>
        <w:rPr>
          <w:rFonts w:hint="eastAsia"/>
        </w:rPr>
        <w:t>送达方式</w:t>
      </w:r>
      <w:r>
        <w:tab/>
      </w:r>
      <w:r>
        <w:fldChar w:fldCharType="begin"/>
      </w:r>
      <w:r>
        <w:instrText xml:space="preserve"> PAGEREF _Toc27452 \h </w:instrText>
      </w:r>
      <w:r>
        <w:fldChar w:fldCharType="separate"/>
      </w:r>
      <w:r>
        <w:t>8</w:t>
      </w:r>
      <w:r>
        <w:fldChar w:fldCharType="end"/>
      </w:r>
      <w:r>
        <w:fldChar w:fldCharType="end"/>
      </w:r>
    </w:p>
    <w:p>
      <w:pPr>
        <w:pStyle w:val="10"/>
        <w:tabs>
          <w:tab w:val="right" w:leader="dot" w:pos="8838"/>
        </w:tabs>
        <w:ind w:firstLine="0" w:firstLineChars="0"/>
        <w:rPr>
          <w:b/>
          <w:bCs/>
        </w:rPr>
      </w:pPr>
      <w:r>
        <w:fldChar w:fldCharType="begin"/>
      </w:r>
      <w:r>
        <w:instrText xml:space="preserve"> HYPERLINK \l "_Toc15054" </w:instrText>
      </w:r>
      <w:r>
        <w:fldChar w:fldCharType="separate"/>
      </w:r>
      <w:r>
        <w:rPr>
          <w:rFonts w:hint="eastAsia"/>
          <w:b/>
          <w:bCs/>
        </w:rPr>
        <w:t>十四、许可服务</w:t>
      </w:r>
      <w:r>
        <w:rPr>
          <w:b/>
          <w:bCs/>
        </w:rPr>
        <w:tab/>
      </w:r>
      <w:r>
        <w:rPr>
          <w:b/>
          <w:bCs/>
        </w:rPr>
        <w:fldChar w:fldCharType="begin"/>
      </w:r>
      <w:r>
        <w:rPr>
          <w:b/>
          <w:bCs/>
        </w:rPr>
        <w:instrText xml:space="preserve"> PAGEREF _Toc15054 \h </w:instrText>
      </w:r>
      <w:r>
        <w:rPr>
          <w:b/>
          <w:bCs/>
        </w:rPr>
        <w:fldChar w:fldCharType="separate"/>
      </w:r>
      <w:r>
        <w:rPr>
          <w:b/>
          <w:bCs/>
        </w:rPr>
        <w:t>8</w:t>
      </w:r>
      <w:r>
        <w:rPr>
          <w:b/>
          <w:bCs/>
        </w:rPr>
        <w:fldChar w:fldCharType="end"/>
      </w:r>
      <w:r>
        <w:rPr>
          <w:b/>
          <w:bCs/>
        </w:rPr>
        <w:fldChar w:fldCharType="end"/>
      </w:r>
    </w:p>
    <w:p>
      <w:pPr>
        <w:pStyle w:val="11"/>
        <w:tabs>
          <w:tab w:val="right" w:leader="dot" w:pos="8838"/>
        </w:tabs>
        <w:ind w:left="560" w:firstLine="0" w:firstLineChars="0"/>
      </w:pPr>
      <w:r>
        <w:fldChar w:fldCharType="begin"/>
      </w:r>
      <w:r>
        <w:instrText xml:space="preserve"> HYPERLINK \l "_Toc20246" </w:instrText>
      </w:r>
      <w:r>
        <w:fldChar w:fldCharType="separate"/>
      </w:r>
      <w:r>
        <w:rPr>
          <w:rFonts w:hint="eastAsia"/>
        </w:rPr>
        <w:t>（一）咨询</w:t>
      </w:r>
      <w:r>
        <w:tab/>
      </w:r>
      <w:r>
        <w:fldChar w:fldCharType="begin"/>
      </w:r>
      <w:r>
        <w:instrText xml:space="preserve"> PAGEREF _Toc20246 \h </w:instrText>
      </w:r>
      <w:r>
        <w:fldChar w:fldCharType="separate"/>
      </w:r>
      <w:r>
        <w:t>8</w:t>
      </w:r>
      <w:r>
        <w:fldChar w:fldCharType="end"/>
      </w:r>
      <w:r>
        <w:fldChar w:fldCharType="end"/>
      </w:r>
    </w:p>
    <w:p>
      <w:pPr>
        <w:pStyle w:val="7"/>
        <w:tabs>
          <w:tab w:val="right" w:leader="dot" w:pos="8838"/>
        </w:tabs>
        <w:ind w:left="1120" w:firstLine="0" w:firstLineChars="0"/>
      </w:pPr>
      <w:r>
        <w:fldChar w:fldCharType="begin"/>
      </w:r>
      <w:r>
        <w:instrText xml:space="preserve"> HYPERLINK \l "_Toc7026" </w:instrText>
      </w:r>
      <w:r>
        <w:fldChar w:fldCharType="separate"/>
      </w:r>
      <w:r>
        <w:rPr>
          <w:rFonts w:eastAsia="Times New Roman"/>
        </w:rPr>
        <w:t>1.</w:t>
      </w:r>
      <w:r>
        <w:rPr>
          <w:rFonts w:hint="eastAsia"/>
        </w:rPr>
        <w:t>咨询方式</w:t>
      </w:r>
      <w:r>
        <w:tab/>
      </w:r>
      <w:r>
        <w:fldChar w:fldCharType="begin"/>
      </w:r>
      <w:r>
        <w:instrText xml:space="preserve"> PAGEREF _Toc7026 \h </w:instrText>
      </w:r>
      <w:r>
        <w:fldChar w:fldCharType="separate"/>
      </w:r>
      <w:r>
        <w:t>8</w:t>
      </w:r>
      <w:r>
        <w:fldChar w:fldCharType="end"/>
      </w:r>
      <w:r>
        <w:fldChar w:fldCharType="end"/>
      </w:r>
    </w:p>
    <w:p>
      <w:pPr>
        <w:pStyle w:val="7"/>
        <w:tabs>
          <w:tab w:val="right" w:leader="dot" w:pos="8838"/>
        </w:tabs>
        <w:ind w:left="1120" w:firstLine="0" w:firstLineChars="0"/>
      </w:pPr>
      <w:r>
        <w:fldChar w:fldCharType="begin"/>
      </w:r>
      <w:r>
        <w:instrText xml:space="preserve"> HYPERLINK \l "_Toc9269" </w:instrText>
      </w:r>
      <w:r>
        <w:fldChar w:fldCharType="separate"/>
      </w:r>
      <w:r>
        <w:rPr>
          <w:rFonts w:eastAsia="Times New Roman"/>
        </w:rPr>
        <w:t>2.</w:t>
      </w:r>
      <w:r>
        <w:rPr>
          <w:rFonts w:hint="eastAsia"/>
        </w:rPr>
        <w:t>咨询回复</w:t>
      </w:r>
      <w:r>
        <w:tab/>
      </w:r>
      <w:r>
        <w:fldChar w:fldCharType="begin"/>
      </w:r>
      <w:r>
        <w:instrText xml:space="preserve"> PAGEREF _Toc9269 \h </w:instrText>
      </w:r>
      <w:r>
        <w:fldChar w:fldCharType="separate"/>
      </w:r>
      <w:r>
        <w:t>8</w:t>
      </w:r>
      <w:r>
        <w:fldChar w:fldCharType="end"/>
      </w:r>
      <w:r>
        <w:fldChar w:fldCharType="end"/>
      </w:r>
    </w:p>
    <w:p>
      <w:pPr>
        <w:pStyle w:val="11"/>
        <w:tabs>
          <w:tab w:val="right" w:leader="dot" w:pos="8838"/>
        </w:tabs>
        <w:ind w:left="560" w:firstLine="0" w:firstLineChars="0"/>
      </w:pPr>
      <w:r>
        <w:fldChar w:fldCharType="begin"/>
      </w:r>
      <w:r>
        <w:instrText xml:space="preserve"> HYPERLINK \l "_Toc25627" </w:instrText>
      </w:r>
      <w:r>
        <w:fldChar w:fldCharType="separate"/>
      </w:r>
      <w:r>
        <w:rPr>
          <w:rFonts w:hint="eastAsia"/>
        </w:rPr>
        <w:t>（二）办理进程查询</w:t>
      </w:r>
      <w:r>
        <w:tab/>
      </w:r>
      <w:r>
        <w:fldChar w:fldCharType="begin"/>
      </w:r>
      <w:r>
        <w:instrText xml:space="preserve"> PAGEREF _Toc25627 \h </w:instrText>
      </w:r>
      <w:r>
        <w:fldChar w:fldCharType="separate"/>
      </w:r>
      <w:r>
        <w:t>9</w:t>
      </w:r>
      <w:r>
        <w:fldChar w:fldCharType="end"/>
      </w:r>
      <w:r>
        <w:fldChar w:fldCharType="end"/>
      </w:r>
    </w:p>
    <w:p>
      <w:pPr>
        <w:pStyle w:val="11"/>
        <w:tabs>
          <w:tab w:val="right" w:leader="dot" w:pos="8838"/>
        </w:tabs>
        <w:ind w:left="560" w:firstLine="0" w:firstLineChars="0"/>
      </w:pPr>
      <w:r>
        <w:fldChar w:fldCharType="begin"/>
      </w:r>
      <w:r>
        <w:instrText xml:space="preserve"> HYPERLINK \l "_Toc27335" </w:instrText>
      </w:r>
      <w:r>
        <w:fldChar w:fldCharType="separate"/>
      </w:r>
      <w:r>
        <w:rPr>
          <w:rFonts w:hint="eastAsia"/>
        </w:rPr>
        <w:t>（三）监督投诉</w:t>
      </w:r>
      <w:r>
        <w:tab/>
      </w:r>
      <w:r>
        <w:fldChar w:fldCharType="begin"/>
      </w:r>
      <w:r>
        <w:instrText xml:space="preserve"> PAGEREF _Toc27335 \h </w:instrText>
      </w:r>
      <w:r>
        <w:fldChar w:fldCharType="separate"/>
      </w:r>
      <w:r>
        <w:t>9</w:t>
      </w:r>
      <w:r>
        <w:fldChar w:fldCharType="end"/>
      </w:r>
      <w:r>
        <w:fldChar w:fldCharType="end"/>
      </w:r>
    </w:p>
    <w:p>
      <w:pPr>
        <w:pStyle w:val="7"/>
        <w:tabs>
          <w:tab w:val="right" w:leader="dot" w:pos="8838"/>
        </w:tabs>
        <w:ind w:left="1120" w:firstLine="0" w:firstLineChars="0"/>
      </w:pPr>
      <w:r>
        <w:fldChar w:fldCharType="begin"/>
      </w:r>
      <w:r>
        <w:instrText xml:space="preserve"> HYPERLINK \l "_Toc17623" </w:instrText>
      </w:r>
      <w:r>
        <w:fldChar w:fldCharType="separate"/>
      </w:r>
      <w:r>
        <w:rPr>
          <w:rFonts w:hint="eastAsia"/>
        </w:rPr>
        <w:t>1.昆明市生态环境局纪委</w:t>
      </w:r>
      <w:r>
        <w:tab/>
      </w:r>
      <w:r>
        <w:fldChar w:fldCharType="begin"/>
      </w:r>
      <w:r>
        <w:instrText xml:space="preserve"> PAGEREF _Toc17623 \h </w:instrText>
      </w:r>
      <w:r>
        <w:fldChar w:fldCharType="separate"/>
      </w:r>
      <w:r>
        <w:t>9</w:t>
      </w:r>
      <w:r>
        <w:fldChar w:fldCharType="end"/>
      </w:r>
      <w:r>
        <w:fldChar w:fldCharType="end"/>
      </w:r>
    </w:p>
    <w:p>
      <w:pPr>
        <w:pStyle w:val="7"/>
        <w:tabs>
          <w:tab w:val="right" w:leader="dot" w:pos="8838"/>
        </w:tabs>
        <w:ind w:left="1120" w:firstLine="0" w:firstLineChars="0"/>
      </w:pPr>
      <w:r>
        <w:fldChar w:fldCharType="begin"/>
      </w:r>
      <w:r>
        <w:instrText xml:space="preserve"> HYPERLINK \l "_Toc26844" </w:instrText>
      </w:r>
      <w:r>
        <w:fldChar w:fldCharType="separate"/>
      </w:r>
      <w:r>
        <w:rPr>
          <w:rFonts w:hint="eastAsia"/>
        </w:rPr>
        <w:t>2.网上投诉</w:t>
      </w:r>
      <w:r>
        <w:tab/>
      </w:r>
      <w:r>
        <w:fldChar w:fldCharType="begin"/>
      </w:r>
      <w:r>
        <w:instrText xml:space="preserve"> PAGEREF _Toc26844 \h </w:instrText>
      </w:r>
      <w:r>
        <w:fldChar w:fldCharType="separate"/>
      </w:r>
      <w:r>
        <w:t>9</w:t>
      </w:r>
      <w:r>
        <w:fldChar w:fldCharType="end"/>
      </w:r>
      <w:r>
        <w:fldChar w:fldCharType="end"/>
      </w:r>
    </w:p>
    <w:p>
      <w:pPr>
        <w:pStyle w:val="11"/>
        <w:tabs>
          <w:tab w:val="right" w:leader="dot" w:pos="8838"/>
        </w:tabs>
        <w:ind w:left="560" w:firstLine="0" w:firstLineChars="0"/>
      </w:pPr>
      <w:r>
        <w:fldChar w:fldCharType="begin"/>
      </w:r>
      <w:r>
        <w:instrText xml:space="preserve"> HYPERLINK \l "_Toc12515" </w:instrText>
      </w:r>
      <w:r>
        <w:fldChar w:fldCharType="separate"/>
      </w:r>
      <w:r>
        <w:rPr>
          <w:rFonts w:hint="eastAsia"/>
        </w:rPr>
        <w:t>（四）行政复议或行政诉讼</w:t>
      </w:r>
      <w:r>
        <w:tab/>
      </w:r>
      <w:r>
        <w:fldChar w:fldCharType="begin"/>
      </w:r>
      <w:r>
        <w:instrText xml:space="preserve"> PAGEREF _Toc12515 \h </w:instrText>
      </w:r>
      <w:r>
        <w:fldChar w:fldCharType="separate"/>
      </w:r>
      <w:r>
        <w:t>9</w:t>
      </w:r>
      <w:r>
        <w:fldChar w:fldCharType="end"/>
      </w:r>
      <w:r>
        <w:fldChar w:fldCharType="end"/>
      </w:r>
    </w:p>
    <w:p>
      <w:pPr>
        <w:snapToGrid/>
        <w:ind w:firstLine="0" w:firstLineChars="0"/>
      </w:pPr>
      <w:r>
        <w:rPr>
          <w:rFonts w:hint="eastAsia"/>
        </w:rPr>
        <w:fldChar w:fldCharType="end"/>
      </w:r>
    </w:p>
    <w:p>
      <w:pPr>
        <w:ind w:left="1680" w:leftChars="200" w:hanging="1120" w:hangingChars="400"/>
      </w:pPr>
      <w:r>
        <w:rPr>
          <w:rFonts w:hint="eastAsia"/>
        </w:rPr>
        <w:t>附件：</w:t>
      </w:r>
      <w:r>
        <w:t>1</w:t>
      </w:r>
      <w:r>
        <w:rPr>
          <w:rFonts w:hint="eastAsia"/>
        </w:rPr>
        <w:t>.昆明市生态环境局关于发布《昆明市生态环境局建设项目环境影响评价文件分级审批目录（2022年本）》的通知</w:t>
      </w:r>
    </w:p>
    <w:p>
      <w:pPr>
        <w:ind w:left="1680" w:leftChars="500" w:hanging="280" w:hangingChars="100"/>
      </w:pPr>
      <w:bookmarkStart w:id="16" w:name="_Toc15354"/>
      <w:r>
        <w:rPr>
          <w:rFonts w:hint="eastAsia"/>
        </w:rPr>
        <w:t>2.昆明市生态环境局关于印发《强化重大投资项目环保审批服务保障措施》的通知</w:t>
      </w:r>
      <w:bookmarkEnd w:id="16"/>
    </w:p>
    <w:p>
      <w:pPr>
        <w:ind w:firstLine="1400" w:firstLineChars="500"/>
      </w:pPr>
      <w:bookmarkStart w:id="17" w:name="_Toc28554"/>
      <w:r>
        <w:rPr>
          <w:rFonts w:hint="eastAsia"/>
        </w:rPr>
        <w:t>3.建设项目影响评价文件审批办事流程</w:t>
      </w:r>
      <w:bookmarkEnd w:id="17"/>
    </w:p>
    <w:p>
      <w:pPr>
        <w:ind w:firstLine="1400" w:firstLineChars="500"/>
      </w:pPr>
      <w:bookmarkStart w:id="18" w:name="_Toc25843"/>
      <w:r>
        <w:rPr>
          <w:rFonts w:hint="eastAsia"/>
        </w:rPr>
        <w:t>4.</w:t>
      </w:r>
      <w:r>
        <w:fldChar w:fldCharType="begin"/>
      </w:r>
      <w:r>
        <w:instrText xml:space="preserve"> HYPERLINK "关于建设项目环评报批申请函.docx" </w:instrText>
      </w:r>
      <w:r>
        <w:fldChar w:fldCharType="separate"/>
      </w:r>
      <w:r>
        <w:rPr>
          <w:rFonts w:hint="eastAsia"/>
        </w:rPr>
        <w:t>建设项目环境影响评价文件报批申请表</w:t>
      </w:r>
      <w:r>
        <w:rPr>
          <w:rFonts w:hint="eastAsia"/>
        </w:rPr>
        <w:fldChar w:fldCharType="end"/>
      </w:r>
      <w:r>
        <w:rPr>
          <w:rFonts w:hint="eastAsia"/>
        </w:rPr>
        <w:t>及填写说明</w:t>
      </w:r>
      <w:bookmarkEnd w:id="18"/>
    </w:p>
    <w:p>
      <w:pPr>
        <w:ind w:firstLine="1400" w:firstLineChars="500"/>
      </w:pPr>
      <w:bookmarkStart w:id="19" w:name="_Toc734"/>
      <w:r>
        <w:rPr>
          <w:rFonts w:hint="eastAsia"/>
        </w:rPr>
        <w:t>5.昆明市生态环境局</w:t>
      </w:r>
      <w:r>
        <w:rPr>
          <w:rFonts w:hint="eastAsia"/>
          <w:lang w:eastAsia="zh-CN"/>
        </w:rPr>
        <w:t>安宁分局</w:t>
      </w:r>
      <w:r>
        <w:rPr>
          <w:rFonts w:hint="eastAsia"/>
        </w:rPr>
        <w:t>行政许可受理通知单</w:t>
      </w:r>
      <w:bookmarkEnd w:id="19"/>
    </w:p>
    <w:p>
      <w:pPr>
        <w:ind w:firstLine="1400" w:firstLineChars="500"/>
      </w:pPr>
      <w:bookmarkStart w:id="20" w:name="_Toc25435"/>
      <w:r>
        <w:rPr>
          <w:rFonts w:hint="eastAsia"/>
        </w:rPr>
        <w:t>6.昆明市生态环境局</w:t>
      </w:r>
      <w:r>
        <w:rPr>
          <w:rFonts w:hint="eastAsia"/>
          <w:lang w:eastAsia="zh-CN"/>
        </w:rPr>
        <w:t>安宁分局</w:t>
      </w:r>
      <w:r>
        <w:rPr>
          <w:rFonts w:hint="eastAsia"/>
        </w:rPr>
        <w:t>行政许可不予受理通知单</w:t>
      </w:r>
      <w:bookmarkEnd w:id="20"/>
    </w:p>
    <w:p>
      <w:pPr>
        <w:ind w:firstLine="1400" w:firstLineChars="500"/>
      </w:pPr>
      <w:bookmarkStart w:id="21" w:name="_Toc13590"/>
      <w:r>
        <w:rPr>
          <w:rFonts w:hint="eastAsia"/>
        </w:rPr>
        <w:t>7.昆明市生态环境局</w:t>
      </w:r>
      <w:r>
        <w:rPr>
          <w:rFonts w:hint="eastAsia"/>
          <w:lang w:eastAsia="zh-CN"/>
        </w:rPr>
        <w:t>安宁分局</w:t>
      </w:r>
      <w:r>
        <w:rPr>
          <w:rFonts w:hint="eastAsia"/>
        </w:rPr>
        <w:t>行政许可申请材料补正通知单</w:t>
      </w:r>
      <w:bookmarkEnd w:id="21"/>
    </w:p>
    <w:p>
      <w:pPr>
        <w:ind w:firstLine="1400" w:firstLineChars="500"/>
      </w:pPr>
      <w:bookmarkStart w:id="22" w:name="_Toc16515"/>
      <w:r>
        <w:rPr>
          <w:rFonts w:hint="eastAsia"/>
        </w:rPr>
        <w:t>8.昆明市生态环境局</w:t>
      </w:r>
      <w:r>
        <w:rPr>
          <w:rFonts w:hint="eastAsia"/>
          <w:lang w:eastAsia="zh-CN"/>
        </w:rPr>
        <w:t>安宁分局</w:t>
      </w:r>
      <w:r>
        <w:rPr>
          <w:rFonts w:hint="eastAsia"/>
        </w:rPr>
        <w:t>行政许可送达回证</w:t>
      </w:r>
      <w:bookmarkEnd w:id="22"/>
    </w:p>
    <w:p>
      <w:pPr>
        <w:adjustRightInd/>
        <w:snapToGrid/>
        <w:ind w:firstLine="0" w:firstLineChars="0"/>
        <w:jc w:val="center"/>
        <w:rPr>
          <w:rFonts w:ascii="黑体" w:hAnsi="黑体" w:eastAsia="黑体" w:cs="黑体"/>
          <w:sz w:val="44"/>
          <w:szCs w:val="44"/>
        </w:rPr>
        <w:sectPr>
          <w:footerReference r:id="rId12" w:type="first"/>
          <w:footerReference r:id="rId11" w:type="default"/>
          <w:pgSz w:w="11900" w:h="16830"/>
          <w:pgMar w:top="2098" w:right="1474" w:bottom="1985" w:left="1588" w:header="851" w:footer="992" w:gutter="0"/>
          <w:pgNumType w:fmt="upperRoman" w:start="1"/>
          <w:cols w:space="720" w:num="1"/>
          <w:titlePg/>
          <w:docGrid w:linePitch="381" w:charSpace="0"/>
        </w:sectPr>
      </w:pPr>
    </w:p>
    <w:p>
      <w:pPr>
        <w:adjustRightInd/>
        <w:snapToGrid/>
        <w:ind w:firstLine="0" w:firstLineChars="0"/>
        <w:jc w:val="center"/>
        <w:outlineLvl w:val="0"/>
        <w:rPr>
          <w:rFonts w:ascii="方正小标宋_GBK" w:hAnsi="黑体" w:eastAsia="方正小标宋_GBK"/>
          <w:sz w:val="36"/>
          <w:szCs w:val="36"/>
        </w:rPr>
      </w:pPr>
      <w:bookmarkStart w:id="23" w:name="_Toc130124911"/>
      <w:bookmarkStart w:id="24" w:name="_Toc31620"/>
      <w:bookmarkStart w:id="25" w:name="_Toc19923"/>
      <w:bookmarkStart w:id="26" w:name="_Toc130125872"/>
      <w:r>
        <w:rPr>
          <w:rFonts w:hint="eastAsia" w:ascii="方正小标宋_GBK" w:hAnsi="黑体" w:eastAsia="方正小标宋_GBK" w:cs="黑体"/>
          <w:sz w:val="44"/>
          <w:szCs w:val="44"/>
        </w:rPr>
        <w:t>建设项目环境影响评价文件审批办事指南</w:t>
      </w:r>
      <w:bookmarkEnd w:id="23"/>
      <w:bookmarkEnd w:id="24"/>
      <w:bookmarkEnd w:id="25"/>
      <w:bookmarkEnd w:id="26"/>
    </w:p>
    <w:p>
      <w:pPr>
        <w:ind w:firstLine="0" w:firstLineChars="0"/>
        <w:jc w:val="center"/>
        <w:rPr>
          <w:rFonts w:ascii="黑体" w:hAnsi="黑体" w:eastAsia="黑体"/>
          <w:sz w:val="36"/>
          <w:szCs w:val="36"/>
        </w:rPr>
      </w:pPr>
    </w:p>
    <w:p>
      <w:pPr>
        <w:pStyle w:val="2"/>
        <w:ind w:firstLine="560"/>
      </w:pPr>
      <w:bookmarkStart w:id="27" w:name="_Toc17099"/>
      <w:bookmarkStart w:id="28" w:name="_Toc6147"/>
      <w:r>
        <w:rPr>
          <w:rFonts w:hint="eastAsia"/>
        </w:rPr>
        <w:t>一、受理范围</w:t>
      </w:r>
      <w:bookmarkEnd w:id="27"/>
      <w:bookmarkEnd w:id="28"/>
    </w:p>
    <w:p>
      <w:pPr>
        <w:pStyle w:val="3"/>
        <w:ind w:firstLine="560"/>
      </w:pPr>
      <w:bookmarkStart w:id="29" w:name="_Toc8832"/>
      <w:bookmarkStart w:id="30" w:name="_Toc18964"/>
      <w:r>
        <w:rPr>
          <w:rFonts w:hint="eastAsia"/>
        </w:rPr>
        <w:t>（一）申请内容</w:t>
      </w:r>
      <w:bookmarkEnd w:id="29"/>
      <w:bookmarkEnd w:id="30"/>
    </w:p>
    <w:p>
      <w:pPr>
        <w:adjustRightInd/>
        <w:snapToGrid/>
        <w:ind w:firstLine="560"/>
      </w:pPr>
      <w:r>
        <w:rPr>
          <w:rFonts w:hint="eastAsia"/>
        </w:rPr>
        <w:t>建设项目环境影响评价文件审批（报告书</w:t>
      </w:r>
      <w:r>
        <w:t>/</w:t>
      </w:r>
      <w:r>
        <w:rPr>
          <w:rFonts w:hint="eastAsia"/>
        </w:rPr>
        <w:t>报告表）。</w:t>
      </w:r>
    </w:p>
    <w:p>
      <w:pPr>
        <w:pStyle w:val="3"/>
        <w:ind w:firstLine="560"/>
      </w:pPr>
      <w:bookmarkStart w:id="31" w:name="_Toc22738"/>
      <w:bookmarkStart w:id="32" w:name="_Toc2776"/>
      <w:r>
        <w:rPr>
          <w:rFonts w:hint="eastAsia"/>
        </w:rPr>
        <w:t>（二）申请人范围及申请条件</w:t>
      </w:r>
      <w:bookmarkEnd w:id="31"/>
      <w:bookmarkEnd w:id="32"/>
    </w:p>
    <w:p>
      <w:pPr>
        <w:ind w:firstLine="560"/>
        <w:rPr>
          <w:color w:val="auto"/>
        </w:rPr>
      </w:pPr>
      <w:r>
        <w:rPr>
          <w:rFonts w:hint="eastAsia"/>
          <w:color w:val="auto"/>
          <w:lang w:val="en-US" w:eastAsia="zh-CN"/>
        </w:rPr>
        <w:t>1</w:t>
      </w:r>
      <w:r>
        <w:rPr>
          <w:rFonts w:hint="eastAsia"/>
          <w:color w:val="auto"/>
        </w:rPr>
        <w:t>.在</w:t>
      </w:r>
      <w:r>
        <w:rPr>
          <w:rFonts w:hint="eastAsia"/>
          <w:color w:val="auto"/>
          <w:lang w:eastAsia="zh-CN"/>
        </w:rPr>
        <w:t>安宁</w:t>
      </w:r>
      <w:r>
        <w:rPr>
          <w:rFonts w:hint="eastAsia"/>
          <w:color w:val="auto"/>
        </w:rPr>
        <w:t>市辖区内建设列入《昆明市生态环境局审批环境影响评价文件</w:t>
      </w:r>
      <w:r>
        <w:rPr>
          <w:rFonts w:hint="eastAsia"/>
          <w:color w:val="auto"/>
          <w:lang w:eastAsia="zh-CN"/>
        </w:rPr>
        <w:t>分级审批目录</w:t>
      </w:r>
      <w:r>
        <w:rPr>
          <w:rFonts w:hint="eastAsia"/>
          <w:color w:val="auto"/>
        </w:rPr>
        <w:t>（2022年本）》中Ⅱ类建设项目及《昆明市生态环境局关于印发〈强化重大投资项目环保审批服务保障措施〉的通知》（昆生环通〔2023〕7号）中的220千伏（含）以下输变电辐射类项目的建设单位向昆明市生态环境局</w:t>
      </w:r>
      <w:r>
        <w:rPr>
          <w:rFonts w:hint="eastAsia"/>
          <w:color w:val="auto"/>
          <w:lang w:eastAsia="zh-CN"/>
        </w:rPr>
        <w:t>安宁</w:t>
      </w:r>
      <w:r>
        <w:rPr>
          <w:rFonts w:hint="eastAsia"/>
          <w:color w:val="auto"/>
        </w:rPr>
        <w:t>分局申请办理。</w:t>
      </w:r>
    </w:p>
    <w:p>
      <w:pPr>
        <w:pStyle w:val="3"/>
        <w:ind w:firstLine="560"/>
        <w:rPr>
          <w:color w:val="auto"/>
        </w:rPr>
      </w:pPr>
      <w:bookmarkStart w:id="33" w:name="_Toc6957"/>
      <w:bookmarkStart w:id="34" w:name="_Toc26914"/>
      <w:r>
        <w:rPr>
          <w:rFonts w:hint="eastAsia"/>
          <w:color w:val="auto"/>
        </w:rPr>
        <w:t>（三）不予受理的法定情形</w:t>
      </w:r>
      <w:bookmarkEnd w:id="33"/>
      <w:bookmarkEnd w:id="34"/>
    </w:p>
    <w:p>
      <w:pPr>
        <w:ind w:firstLine="560"/>
        <w:rPr>
          <w:color w:val="auto"/>
        </w:rPr>
      </w:pPr>
      <w:r>
        <w:rPr>
          <w:color w:val="auto"/>
        </w:rPr>
        <w:t>1</w:t>
      </w:r>
      <w:r>
        <w:rPr>
          <w:rFonts w:hint="eastAsia"/>
          <w:color w:val="auto"/>
        </w:rPr>
        <w:t>.列入《生态环境部审批环境影响评价文件的建设项目目录（2</w:t>
      </w:r>
      <w:r>
        <w:rPr>
          <w:color w:val="auto"/>
        </w:rPr>
        <w:t>019</w:t>
      </w:r>
      <w:r>
        <w:rPr>
          <w:rFonts w:hint="eastAsia"/>
          <w:color w:val="auto"/>
        </w:rPr>
        <w:t>年本）》、法律、法规规定及生态环境部明确由省生态环境厅负责审批的建设项目</w:t>
      </w:r>
      <w:r>
        <w:rPr>
          <w:rFonts w:hint="eastAsia"/>
          <w:color w:val="auto"/>
          <w:lang w:eastAsia="zh-CN"/>
        </w:rPr>
        <w:t>以及列入</w:t>
      </w:r>
      <w:r>
        <w:rPr>
          <w:rFonts w:hint="eastAsia"/>
          <w:color w:val="auto"/>
        </w:rPr>
        <w:t>《昆明市生态环境局审批环境影响评价文件</w:t>
      </w:r>
      <w:r>
        <w:rPr>
          <w:rFonts w:hint="eastAsia"/>
          <w:color w:val="auto"/>
          <w:lang w:eastAsia="zh-CN"/>
        </w:rPr>
        <w:t>分级审批目录</w:t>
      </w:r>
      <w:r>
        <w:rPr>
          <w:rFonts w:hint="eastAsia"/>
          <w:color w:val="auto"/>
        </w:rPr>
        <w:t>（2022年本）》中Ⅰ类建设项目</w:t>
      </w:r>
      <w:r>
        <w:rPr>
          <w:rFonts w:hint="eastAsia"/>
          <w:color w:val="auto"/>
          <w:lang w:eastAsia="zh-CN"/>
        </w:rPr>
        <w:t>由昆明市生态环境局负责审批的</w:t>
      </w:r>
      <w:r>
        <w:rPr>
          <w:rFonts w:hint="eastAsia"/>
          <w:color w:val="auto"/>
        </w:rPr>
        <w:t>建设单位；</w:t>
      </w:r>
    </w:p>
    <w:p>
      <w:pPr>
        <w:ind w:firstLine="560"/>
      </w:pPr>
      <w:r>
        <w:t>2</w:t>
      </w:r>
      <w:r>
        <w:rPr>
          <w:rFonts w:hint="eastAsia"/>
        </w:rPr>
        <w:t>.</w:t>
      </w:r>
      <w:r>
        <w:t>由列入《建设项目环境影响报告书（表）编制监督管理办法》规定的限期整改名单或者</w:t>
      </w:r>
      <w:r>
        <w:rPr>
          <w:rFonts w:ascii="宋体" w:hAnsi="宋体"/>
        </w:rPr>
        <w:t>“黑名单”</w:t>
      </w:r>
      <w:r>
        <w:t>的编制单位或人员编制的</w:t>
      </w:r>
      <w:r>
        <w:rPr>
          <w:rFonts w:hint="eastAsia"/>
        </w:rPr>
        <w:t>环境影响报告书/报告表；</w:t>
      </w:r>
    </w:p>
    <w:p>
      <w:pPr>
        <w:ind w:firstLine="560"/>
      </w:pPr>
      <w:r>
        <w:t>3</w:t>
      </w:r>
      <w:r>
        <w:rPr>
          <w:rFonts w:hint="eastAsia"/>
        </w:rPr>
        <w:t>.实施限批的区域或企业属于限批情形的；</w:t>
      </w:r>
    </w:p>
    <w:p>
      <w:pPr>
        <w:ind w:firstLine="560"/>
      </w:pPr>
      <w:r>
        <w:t>4</w:t>
      </w:r>
      <w:r>
        <w:rPr>
          <w:rFonts w:hint="eastAsia"/>
        </w:rPr>
        <w:t>.有未批先建行为，未依法实施行政处罚，未按处罚要求整改到位的；</w:t>
      </w:r>
    </w:p>
    <w:p>
      <w:pPr>
        <w:ind w:firstLine="560"/>
        <w:rPr>
          <w:rFonts w:eastAsia="Times New Roman"/>
        </w:rPr>
      </w:pPr>
      <w:r>
        <w:rPr>
          <w:rFonts w:hint="eastAsia"/>
          <w:kern w:val="0"/>
        </w:rPr>
        <w:t>5.申请材料不齐全或者不符合规定</w:t>
      </w:r>
      <w:r>
        <w:rPr>
          <w:rFonts w:hint="eastAsia"/>
        </w:rPr>
        <w:t>。</w:t>
      </w:r>
    </w:p>
    <w:p>
      <w:pPr>
        <w:pStyle w:val="2"/>
        <w:ind w:firstLine="560"/>
      </w:pPr>
      <w:bookmarkStart w:id="35" w:name="_Toc12309"/>
      <w:bookmarkStart w:id="36" w:name="_Toc16180"/>
      <w:r>
        <w:rPr>
          <w:rFonts w:hint="eastAsia"/>
        </w:rPr>
        <w:t>二、设定及办理依据</w:t>
      </w:r>
      <w:bookmarkEnd w:id="35"/>
      <w:bookmarkEnd w:id="36"/>
    </w:p>
    <w:p>
      <w:pPr>
        <w:pStyle w:val="3"/>
        <w:ind w:firstLine="560"/>
      </w:pPr>
      <w:bookmarkStart w:id="37" w:name="_Toc12828"/>
      <w:bookmarkStart w:id="38" w:name="_Toc31138"/>
      <w:r>
        <w:rPr>
          <w:rFonts w:hint="eastAsia"/>
        </w:rPr>
        <w:t>（一）设定依据</w:t>
      </w:r>
      <w:bookmarkEnd w:id="37"/>
      <w:bookmarkEnd w:id="38"/>
    </w:p>
    <w:p>
      <w:pPr>
        <w:ind w:firstLine="560"/>
        <w:rPr>
          <w:szCs w:val="24"/>
        </w:rPr>
      </w:pPr>
      <w:r>
        <w:rPr>
          <w:rFonts w:ascii="宋体" w:hAnsi="宋体" w:cs="宋体"/>
          <w:szCs w:val="24"/>
        </w:rPr>
        <w:t>1</w:t>
      </w:r>
      <w:r>
        <w:rPr>
          <w:rFonts w:hint="eastAsia" w:ascii="宋体" w:hAnsi="宋体" w:cs="宋体"/>
          <w:szCs w:val="24"/>
        </w:rPr>
        <w:t>.《中华人民共和国环境保护法》第十九条；</w:t>
      </w:r>
    </w:p>
    <w:p>
      <w:pPr>
        <w:ind w:firstLine="560"/>
        <w:rPr>
          <w:rFonts w:ascii="宋体"/>
          <w:szCs w:val="24"/>
        </w:rPr>
      </w:pPr>
      <w:r>
        <w:rPr>
          <w:szCs w:val="24"/>
        </w:rPr>
        <w:t>2.</w:t>
      </w:r>
      <w:r>
        <w:rPr>
          <w:rFonts w:hint="eastAsia" w:ascii="宋体" w:hAnsi="宋体" w:cs="宋体"/>
          <w:szCs w:val="24"/>
        </w:rPr>
        <w:t>《中华人民共和国环境影响评价法》第二十二条、第二十三条、第二十四条、第二十七条；</w:t>
      </w:r>
    </w:p>
    <w:p>
      <w:pPr>
        <w:ind w:firstLine="560"/>
        <w:rPr>
          <w:rFonts w:eastAsia="Times New Roman"/>
          <w:szCs w:val="24"/>
        </w:rPr>
      </w:pPr>
      <w:r>
        <w:rPr>
          <w:rFonts w:ascii="宋体" w:hAnsi="宋体" w:cs="宋体"/>
          <w:szCs w:val="24"/>
        </w:rPr>
        <w:t>3</w:t>
      </w:r>
      <w:r>
        <w:rPr>
          <w:rFonts w:ascii="宋体" w:cs="宋体"/>
          <w:szCs w:val="24"/>
        </w:rPr>
        <w:t>.</w:t>
      </w:r>
      <w:r>
        <w:rPr>
          <w:rFonts w:hint="eastAsia" w:ascii="宋体" w:hAnsi="宋体" w:cs="宋体"/>
          <w:szCs w:val="24"/>
        </w:rPr>
        <w:t>《中华人民共和国放射性污染防治法》第二十九条、三十四条。</w:t>
      </w:r>
    </w:p>
    <w:p>
      <w:pPr>
        <w:pStyle w:val="3"/>
        <w:ind w:firstLine="560"/>
      </w:pPr>
      <w:bookmarkStart w:id="39" w:name="_Toc28574"/>
      <w:bookmarkStart w:id="40" w:name="_Toc25149"/>
      <w:r>
        <w:rPr>
          <w:rFonts w:hint="eastAsia"/>
        </w:rPr>
        <w:t>（二）办理依据</w:t>
      </w:r>
      <w:bookmarkEnd w:id="39"/>
      <w:bookmarkEnd w:id="40"/>
    </w:p>
    <w:p>
      <w:pPr>
        <w:ind w:firstLine="560"/>
        <w:rPr>
          <w:rFonts w:ascii="宋体"/>
          <w:szCs w:val="24"/>
        </w:rPr>
      </w:pPr>
      <w:r>
        <w:rPr>
          <w:rFonts w:ascii="宋体" w:hAnsi="宋体" w:cs="宋体"/>
          <w:szCs w:val="24"/>
        </w:rPr>
        <w:t>1</w:t>
      </w:r>
      <w:r>
        <w:rPr>
          <w:rFonts w:ascii="宋体" w:cs="宋体"/>
          <w:szCs w:val="24"/>
        </w:rPr>
        <w:t>.</w:t>
      </w:r>
      <w:r>
        <w:rPr>
          <w:rFonts w:hint="eastAsia" w:ascii="宋体" w:hAnsi="宋体" w:cs="宋体"/>
          <w:szCs w:val="24"/>
        </w:rPr>
        <w:t>《建设项目环境保护管理条例》第六条、第九条、第十条、第十一条、第十二条；</w:t>
      </w:r>
    </w:p>
    <w:p>
      <w:pPr>
        <w:ind w:firstLine="560"/>
        <w:rPr>
          <w:rFonts w:ascii="宋体"/>
          <w:szCs w:val="24"/>
        </w:rPr>
      </w:pPr>
      <w:r>
        <w:rPr>
          <w:rFonts w:ascii="宋体" w:hAnsi="宋体" w:cs="宋体"/>
          <w:szCs w:val="24"/>
        </w:rPr>
        <w:t>2</w:t>
      </w:r>
      <w:r>
        <w:rPr>
          <w:rFonts w:ascii="宋体" w:cs="宋体"/>
          <w:szCs w:val="24"/>
        </w:rPr>
        <w:t>.</w:t>
      </w:r>
      <w:r>
        <w:rPr>
          <w:rFonts w:hint="eastAsia" w:ascii="宋体" w:hAnsi="宋体" w:cs="宋体"/>
          <w:szCs w:val="24"/>
        </w:rPr>
        <w:t>《建设项目环境影响评价分类管理名录（2021年版）》（生态环境部部令 第16号）第三条至第六条；</w:t>
      </w:r>
    </w:p>
    <w:p>
      <w:pPr>
        <w:ind w:firstLine="560"/>
        <w:rPr>
          <w:rFonts w:ascii="宋体"/>
          <w:szCs w:val="24"/>
        </w:rPr>
      </w:pPr>
      <w:r>
        <w:rPr>
          <w:rFonts w:ascii="宋体" w:hAnsi="宋体" w:cs="宋体"/>
          <w:szCs w:val="24"/>
        </w:rPr>
        <w:t>3</w:t>
      </w:r>
      <w:r>
        <w:rPr>
          <w:rFonts w:ascii="宋体" w:cs="宋体"/>
          <w:szCs w:val="24"/>
        </w:rPr>
        <w:t>.</w:t>
      </w:r>
      <w:r>
        <w:rPr>
          <w:rFonts w:hint="eastAsia" w:ascii="宋体" w:hAnsi="宋体" w:cs="宋体"/>
          <w:szCs w:val="24"/>
        </w:rPr>
        <w:t>《建设项目环境影响评价文件分级审批规定》第六条至第九条；</w:t>
      </w:r>
    </w:p>
    <w:p>
      <w:pPr>
        <w:ind w:firstLine="560"/>
        <w:rPr>
          <w:rFonts w:ascii="宋体"/>
          <w:szCs w:val="24"/>
        </w:rPr>
      </w:pPr>
      <w:r>
        <w:rPr>
          <w:rFonts w:ascii="宋体" w:hAnsi="宋体" w:cs="宋体"/>
          <w:szCs w:val="24"/>
        </w:rPr>
        <w:t>4</w:t>
      </w:r>
      <w:r>
        <w:rPr>
          <w:rFonts w:ascii="宋体" w:cs="宋体"/>
          <w:szCs w:val="24"/>
        </w:rPr>
        <w:t>.</w:t>
      </w:r>
      <w:r>
        <w:rPr>
          <w:rFonts w:hint="eastAsia" w:ascii="宋体" w:hAnsi="宋体" w:cs="宋体"/>
          <w:szCs w:val="24"/>
        </w:rPr>
        <w:t>《建设项目环境影响评价政府信息公开指南（试行）》；</w:t>
      </w:r>
    </w:p>
    <w:p>
      <w:pPr>
        <w:ind w:firstLine="560"/>
        <w:rPr>
          <w:rFonts w:ascii="宋体" w:hAnsi="宋体" w:cs="宋体"/>
          <w:szCs w:val="24"/>
        </w:rPr>
      </w:pPr>
      <w:r>
        <w:rPr>
          <w:rFonts w:ascii="宋体" w:hAnsi="宋体" w:cs="宋体"/>
          <w:color w:val="000000"/>
          <w:szCs w:val="24"/>
        </w:rPr>
        <w:t>5</w:t>
      </w:r>
      <w:r>
        <w:rPr>
          <w:rFonts w:ascii="宋体" w:cs="宋体"/>
          <w:color w:val="000000"/>
          <w:szCs w:val="24"/>
        </w:rPr>
        <w:t>.</w:t>
      </w:r>
      <w:r>
        <w:rPr>
          <w:rFonts w:hint="eastAsia" w:ascii="宋体" w:hAnsi="宋体" w:cs="宋体"/>
          <w:color w:val="000000"/>
          <w:szCs w:val="24"/>
        </w:rPr>
        <w:t>《环境影响评价公众参与办法》</w:t>
      </w:r>
      <w:r>
        <w:rPr>
          <w:rFonts w:hint="eastAsia" w:ascii="宋体" w:hAnsi="宋体" w:cs="宋体"/>
          <w:szCs w:val="24"/>
        </w:rPr>
        <w:t>（生态环境部令 第</w:t>
      </w:r>
      <w:r>
        <w:rPr>
          <w:rFonts w:ascii="宋体" w:hAnsi="宋体" w:cs="宋体"/>
          <w:szCs w:val="24"/>
        </w:rPr>
        <w:t>4</w:t>
      </w:r>
      <w:r>
        <w:rPr>
          <w:rFonts w:hint="eastAsia" w:ascii="宋体" w:hAnsi="宋体" w:cs="宋体"/>
          <w:szCs w:val="24"/>
        </w:rPr>
        <w:t>号）；</w:t>
      </w:r>
    </w:p>
    <w:p>
      <w:pPr>
        <w:ind w:firstLine="560"/>
        <w:rPr>
          <w:rFonts w:ascii="宋体" w:hAnsi="宋体" w:cs="宋体"/>
          <w:color w:val="000000"/>
          <w:szCs w:val="24"/>
        </w:rPr>
      </w:pPr>
      <w:r>
        <w:rPr>
          <w:rFonts w:ascii="宋体" w:hAnsi="宋体" w:cs="宋体"/>
          <w:color w:val="000000"/>
          <w:szCs w:val="24"/>
        </w:rPr>
        <w:t>6.</w:t>
      </w:r>
      <w:r>
        <w:rPr>
          <w:rFonts w:hint="eastAsia" w:ascii="宋体" w:hAnsi="宋体" w:cs="宋体"/>
          <w:color w:val="000000"/>
          <w:szCs w:val="24"/>
        </w:rPr>
        <w:t>《云南省生态环境厅关于在新型冠状病毒感染的肺炎疫情防控期间做好建设项目环评审批服务工作的通知》（云环通〔2020〕11号）；</w:t>
      </w:r>
    </w:p>
    <w:p>
      <w:pPr>
        <w:ind w:firstLine="560"/>
        <w:rPr>
          <w:rFonts w:ascii="宋体" w:hAnsi="宋体" w:cs="宋体"/>
          <w:color w:val="000000"/>
          <w:szCs w:val="24"/>
        </w:rPr>
      </w:pPr>
      <w:r>
        <w:rPr>
          <w:rFonts w:hint="eastAsia" w:ascii="宋体" w:hAnsi="宋体" w:cs="宋体"/>
          <w:color w:val="000000"/>
          <w:szCs w:val="24"/>
        </w:rPr>
        <w:t>7.《云南省生态环境厅关于印发云南省生猪养殖建设项目环评审批告知承诺制试点实施方案》的通知（云环通〔2020〕14号）；</w:t>
      </w:r>
    </w:p>
    <w:p>
      <w:pPr>
        <w:ind w:firstLine="560"/>
        <w:rPr>
          <w:rFonts w:ascii="宋体" w:hAnsi="宋体" w:cs="宋体"/>
          <w:szCs w:val="24"/>
        </w:rPr>
      </w:pPr>
      <w:r>
        <w:rPr>
          <w:rFonts w:hint="eastAsia" w:ascii="宋体" w:hAnsi="宋体" w:cs="宋体"/>
          <w:color w:val="000000"/>
          <w:szCs w:val="24"/>
          <w:lang w:val="en"/>
        </w:rPr>
        <w:t>8</w:t>
      </w:r>
      <w:r>
        <w:rPr>
          <w:rFonts w:ascii="宋体" w:hAnsi="宋体" w:cs="宋体"/>
          <w:color w:val="000000"/>
          <w:szCs w:val="24"/>
          <w:lang w:val="en"/>
        </w:rPr>
        <w:t>.</w:t>
      </w:r>
      <w:r>
        <w:rPr>
          <w:rFonts w:hint="eastAsia" w:ascii="宋体" w:hAnsi="宋体" w:cs="宋体"/>
          <w:color w:val="000000"/>
          <w:szCs w:val="24"/>
        </w:rPr>
        <w:t>《云南省生态环境厅关于印发云南省生态环境系统应对疫情影响支</w:t>
      </w:r>
      <w:r>
        <w:rPr>
          <w:rFonts w:hint="eastAsia" w:ascii="宋体" w:hAnsi="宋体" w:cs="宋体"/>
          <w:szCs w:val="24"/>
        </w:rPr>
        <w:t>持服务全省经济社会发展的若干措施的通知》（云环通〔2020〕24号）。</w:t>
      </w:r>
    </w:p>
    <w:p>
      <w:pPr>
        <w:pStyle w:val="2"/>
        <w:ind w:firstLine="560"/>
        <w:rPr>
          <w:color w:val="auto"/>
        </w:rPr>
      </w:pPr>
      <w:bookmarkStart w:id="41" w:name="_Toc16058"/>
      <w:bookmarkStart w:id="42" w:name="_Toc4974"/>
      <w:r>
        <w:rPr>
          <w:rFonts w:hint="eastAsia"/>
          <w:color w:val="auto"/>
        </w:rPr>
        <w:t>三、实施机关</w:t>
      </w:r>
      <w:bookmarkEnd w:id="41"/>
      <w:bookmarkEnd w:id="42"/>
    </w:p>
    <w:p>
      <w:pPr>
        <w:ind w:firstLine="560"/>
        <w:jc w:val="left"/>
        <w:rPr>
          <w:rFonts w:cs="宋体"/>
          <w:color w:val="auto"/>
          <w:szCs w:val="24"/>
        </w:rPr>
      </w:pPr>
      <w:r>
        <w:rPr>
          <w:rFonts w:hint="eastAsia" w:ascii="宋体" w:hAnsi="宋体" w:cs="宋体"/>
          <w:color w:val="auto"/>
          <w:szCs w:val="24"/>
        </w:rPr>
        <w:t>昆明市生态环境局</w:t>
      </w:r>
      <w:r>
        <w:rPr>
          <w:rFonts w:hint="eastAsia" w:ascii="宋体" w:hAnsi="宋体" w:cs="宋体"/>
          <w:color w:val="auto"/>
          <w:szCs w:val="24"/>
          <w:lang w:eastAsia="zh-CN"/>
        </w:rPr>
        <w:t>安宁分局</w:t>
      </w:r>
      <w:r>
        <w:rPr>
          <w:rFonts w:hint="eastAsia" w:cs="宋体"/>
          <w:color w:val="auto"/>
          <w:szCs w:val="24"/>
        </w:rPr>
        <w:t>。</w:t>
      </w:r>
    </w:p>
    <w:p>
      <w:pPr>
        <w:pStyle w:val="2"/>
        <w:ind w:firstLine="560"/>
        <w:rPr>
          <w:color w:val="auto"/>
        </w:rPr>
      </w:pPr>
      <w:bookmarkStart w:id="43" w:name="_Toc3158"/>
      <w:r>
        <w:rPr>
          <w:rFonts w:hint="eastAsia"/>
          <w:color w:val="auto"/>
        </w:rPr>
        <w:t>四、办理深度</w:t>
      </w:r>
      <w:bookmarkEnd w:id="43"/>
    </w:p>
    <w:p>
      <w:pPr>
        <w:ind w:firstLine="560"/>
        <w:jc w:val="left"/>
        <w:rPr>
          <w:rFonts w:cs="宋体"/>
          <w:szCs w:val="24"/>
        </w:rPr>
      </w:pPr>
      <w:r>
        <w:rPr>
          <w:rFonts w:hint="eastAsia" w:cs="宋体"/>
          <w:szCs w:val="24"/>
        </w:rPr>
        <w:t>网上办理深度：四级（全程网办）。</w:t>
      </w:r>
    </w:p>
    <w:p>
      <w:pPr>
        <w:pStyle w:val="2"/>
        <w:ind w:firstLine="560"/>
      </w:pPr>
      <w:bookmarkStart w:id="44" w:name="_Toc23967"/>
      <w:bookmarkStart w:id="45" w:name="_Toc15670"/>
      <w:r>
        <w:rPr>
          <w:rFonts w:hint="eastAsia"/>
        </w:rPr>
        <w:t>五、办件类型</w:t>
      </w:r>
      <w:bookmarkEnd w:id="44"/>
      <w:bookmarkEnd w:id="45"/>
    </w:p>
    <w:p>
      <w:pPr>
        <w:ind w:firstLine="560"/>
        <w:rPr>
          <w:rFonts w:eastAsia="Times New Roman"/>
        </w:rPr>
      </w:pPr>
      <w:r>
        <w:rPr>
          <w:rFonts w:hint="eastAsia"/>
        </w:rPr>
        <w:t>承诺件。</w:t>
      </w:r>
    </w:p>
    <w:p>
      <w:pPr>
        <w:pStyle w:val="2"/>
        <w:ind w:firstLine="560"/>
      </w:pPr>
      <w:bookmarkStart w:id="46" w:name="_Toc21673"/>
      <w:bookmarkStart w:id="47" w:name="_Toc18777"/>
      <w:r>
        <w:rPr>
          <w:rFonts w:hint="eastAsia"/>
        </w:rPr>
        <w:t>六、许可条件</w:t>
      </w:r>
      <w:bookmarkEnd w:id="46"/>
      <w:bookmarkEnd w:id="47"/>
    </w:p>
    <w:p>
      <w:pPr>
        <w:pStyle w:val="3"/>
        <w:ind w:firstLine="560"/>
      </w:pPr>
      <w:bookmarkStart w:id="48" w:name="_Toc9654"/>
      <w:bookmarkStart w:id="49" w:name="_Toc27269"/>
      <w:r>
        <w:rPr>
          <w:rFonts w:hint="eastAsia"/>
        </w:rPr>
        <w:t>（一）同时满足以下条件予以许可</w:t>
      </w:r>
      <w:bookmarkEnd w:id="48"/>
      <w:bookmarkEnd w:id="49"/>
    </w:p>
    <w:p>
      <w:pPr>
        <w:ind w:firstLine="560"/>
        <w:rPr>
          <w:rFonts w:ascii="宋体"/>
          <w:szCs w:val="24"/>
        </w:rPr>
      </w:pPr>
      <w:r>
        <w:rPr>
          <w:rFonts w:eastAsia="Times New Roman"/>
          <w:szCs w:val="24"/>
        </w:rPr>
        <w:t>1.</w:t>
      </w:r>
      <w:r>
        <w:rPr>
          <w:rFonts w:hint="eastAsia" w:ascii="宋体" w:hAnsi="宋体" w:cs="宋体"/>
          <w:szCs w:val="24"/>
        </w:rPr>
        <w:t>建设项目符合国家、云南省及昆明市法律、法规、规章、标准规定的各项环境保护要求；</w:t>
      </w:r>
    </w:p>
    <w:p>
      <w:pPr>
        <w:ind w:firstLine="560"/>
        <w:rPr>
          <w:rFonts w:ascii="宋体"/>
          <w:szCs w:val="24"/>
        </w:rPr>
      </w:pPr>
      <w:r>
        <w:rPr>
          <w:rFonts w:eastAsia="Times New Roman"/>
          <w:szCs w:val="24"/>
        </w:rPr>
        <w:t>2.</w:t>
      </w:r>
      <w:r>
        <w:rPr>
          <w:rFonts w:hint="eastAsia" w:ascii="宋体" w:hAnsi="宋体" w:cs="宋体"/>
          <w:szCs w:val="24"/>
        </w:rPr>
        <w:t>建设项目选址、选线、布局符合区域、流域规划，城市总体规划等相关法定规划及有关规划环评要求；</w:t>
      </w:r>
    </w:p>
    <w:p>
      <w:pPr>
        <w:ind w:firstLine="560"/>
        <w:rPr>
          <w:rFonts w:ascii="宋体"/>
          <w:szCs w:val="24"/>
        </w:rPr>
      </w:pPr>
      <w:r>
        <w:rPr>
          <w:szCs w:val="24"/>
        </w:rPr>
        <w:t>3</w:t>
      </w:r>
      <w:r>
        <w:rPr>
          <w:rFonts w:eastAsia="Times New Roman"/>
          <w:szCs w:val="24"/>
        </w:rPr>
        <w:t>.</w:t>
      </w:r>
      <w:r>
        <w:rPr>
          <w:rFonts w:hint="eastAsia" w:ascii="宋体" w:hAnsi="宋体" w:cs="宋体"/>
          <w:szCs w:val="24"/>
        </w:rPr>
        <w:t>项目所在区域环境质量满足相应环境质量标准和生态功能要求，或者采取措施后能满足区域环境质量改善目标管理要求；</w:t>
      </w:r>
    </w:p>
    <w:p>
      <w:pPr>
        <w:ind w:firstLine="560"/>
        <w:rPr>
          <w:rFonts w:ascii="宋体"/>
          <w:szCs w:val="24"/>
        </w:rPr>
      </w:pPr>
      <w:r>
        <w:rPr>
          <w:szCs w:val="24"/>
        </w:rPr>
        <w:t>4</w:t>
      </w:r>
      <w:r>
        <w:rPr>
          <w:rFonts w:eastAsia="Times New Roman"/>
          <w:szCs w:val="24"/>
        </w:rPr>
        <w:t>.</w:t>
      </w:r>
      <w:r>
        <w:rPr>
          <w:rFonts w:hint="eastAsia" w:ascii="宋体" w:hAnsi="宋体" w:cs="宋体"/>
          <w:szCs w:val="24"/>
        </w:rPr>
        <w:t>拟采取的污染防治措施能确保污染物排放达到国家和地方规定的排放标准，满足污染物总量控制要求；涉及可能产生放射性污染的，拟采取的防治措施能有效预防和控制放射性污染；</w:t>
      </w:r>
    </w:p>
    <w:p>
      <w:pPr>
        <w:ind w:firstLine="560"/>
        <w:rPr>
          <w:rFonts w:ascii="宋体"/>
          <w:szCs w:val="24"/>
        </w:rPr>
      </w:pPr>
      <w:r>
        <w:rPr>
          <w:szCs w:val="24"/>
        </w:rPr>
        <w:t>5</w:t>
      </w:r>
      <w:r>
        <w:rPr>
          <w:rFonts w:eastAsia="Times New Roman"/>
          <w:szCs w:val="24"/>
        </w:rPr>
        <w:t>.</w:t>
      </w:r>
      <w:r>
        <w:rPr>
          <w:rFonts w:hint="eastAsia" w:ascii="宋体" w:hAnsi="宋体" w:cs="宋体"/>
          <w:szCs w:val="24"/>
        </w:rPr>
        <w:t>拟采取的生态保护措施能有效预防和控制生态破坏：</w:t>
      </w:r>
    </w:p>
    <w:p>
      <w:pPr>
        <w:ind w:firstLine="560"/>
        <w:rPr>
          <w:rFonts w:eastAsia="Times New Roman"/>
          <w:szCs w:val="24"/>
        </w:rPr>
      </w:pPr>
      <w:r>
        <w:rPr>
          <w:szCs w:val="24"/>
        </w:rPr>
        <w:t>6.</w:t>
      </w:r>
      <w:r>
        <w:rPr>
          <w:rFonts w:hint="eastAsia" w:ascii="宋体" w:hAnsi="宋体" w:cs="宋体"/>
          <w:szCs w:val="24"/>
        </w:rPr>
        <w:t>公众参与程序符合环境影响评价公众参与相关规定要求。</w:t>
      </w:r>
    </w:p>
    <w:p>
      <w:pPr>
        <w:pStyle w:val="3"/>
        <w:ind w:firstLine="560"/>
      </w:pPr>
      <w:bookmarkStart w:id="50" w:name="_Toc30388"/>
      <w:bookmarkStart w:id="51" w:name="_Toc17668"/>
      <w:r>
        <w:rPr>
          <w:rFonts w:hint="eastAsia"/>
        </w:rPr>
        <w:t>（二）具有下列情形之一的，不予许可</w:t>
      </w:r>
      <w:bookmarkEnd w:id="50"/>
      <w:bookmarkEnd w:id="51"/>
    </w:p>
    <w:p>
      <w:pPr>
        <w:ind w:firstLine="560"/>
        <w:rPr>
          <w:rFonts w:eastAsia="Times New Roman"/>
        </w:rPr>
      </w:pPr>
      <w:r>
        <w:rPr>
          <w:rFonts w:eastAsia="Times New Roman"/>
        </w:rPr>
        <w:t>1.</w:t>
      </w:r>
      <w:r>
        <w:rPr>
          <w:rFonts w:hint="eastAsia"/>
        </w:rPr>
        <w:t>建设项目类型及其选址、布局、规模等不符合环境保护法律法规和相关法定规划；</w:t>
      </w:r>
    </w:p>
    <w:p>
      <w:pPr>
        <w:ind w:firstLine="560"/>
        <w:rPr>
          <w:rFonts w:eastAsia="Times New Roman"/>
        </w:rPr>
      </w:pPr>
      <w:r>
        <w:rPr>
          <w:rFonts w:eastAsia="Times New Roman"/>
        </w:rPr>
        <w:t>2.</w:t>
      </w:r>
      <w:r>
        <w:rPr>
          <w:rFonts w:hint="eastAsia"/>
        </w:rPr>
        <w:t>所在区域环境质量未达到国家或者地方环境质量标准，且建设项目拟采取的措施不能满足区域环境质量改善目标管理要求；</w:t>
      </w:r>
    </w:p>
    <w:p>
      <w:pPr>
        <w:ind w:firstLine="560"/>
        <w:rPr>
          <w:rFonts w:eastAsia="Times New Roman"/>
        </w:rPr>
      </w:pPr>
      <w:r>
        <w:rPr>
          <w:rFonts w:eastAsia="Times New Roman"/>
        </w:rPr>
        <w:t>3.</w:t>
      </w:r>
      <w:r>
        <w:rPr>
          <w:rFonts w:hint="eastAsia"/>
        </w:rPr>
        <w:t>建设项目采取的污染防治措施无法确保污染物排放达到国家和地方排放标准，或者未采取必要措施预防和控制生态破坏；</w:t>
      </w:r>
    </w:p>
    <w:p>
      <w:pPr>
        <w:ind w:firstLine="560"/>
      </w:pPr>
      <w:r>
        <w:rPr>
          <w:rFonts w:eastAsia="Times New Roman"/>
        </w:rPr>
        <w:t>4.</w:t>
      </w:r>
      <w:r>
        <w:rPr>
          <w:rFonts w:hint="eastAsia"/>
        </w:rPr>
        <w:t>改建、扩建和技术改造项目，未针对项目原有环境污染和生态破坏提出有效防治措施；</w:t>
      </w:r>
    </w:p>
    <w:p>
      <w:pPr>
        <w:ind w:firstLine="560"/>
      </w:pPr>
      <w:r>
        <w:rPr>
          <w:rFonts w:eastAsia="Times New Roman"/>
        </w:rPr>
        <w:t>5.</w:t>
      </w:r>
      <w:r>
        <w:rPr>
          <w:rFonts w:hint="eastAsia"/>
        </w:rPr>
        <w:t>建设项目的环境影响报告书、环境影响报告表的基础资料数据明显不实，内容存在重大缺陷、遗漏，或者环境影响评价结论不明确、不合理；</w:t>
      </w:r>
    </w:p>
    <w:p>
      <w:pPr>
        <w:ind w:firstLine="560"/>
        <w:rPr>
          <w:rFonts w:eastAsia="Times New Roman"/>
        </w:rPr>
      </w:pPr>
      <w:r>
        <w:t>6.</w:t>
      </w:r>
      <w:r>
        <w:rPr>
          <w:rFonts w:hint="eastAsia"/>
        </w:rPr>
        <w:t>法律、法规、规章等规定的其他不予许可的情形。</w:t>
      </w:r>
    </w:p>
    <w:p>
      <w:pPr>
        <w:pStyle w:val="2"/>
        <w:ind w:firstLine="560"/>
      </w:pPr>
      <w:bookmarkStart w:id="52" w:name="_Toc17263"/>
      <w:bookmarkStart w:id="53" w:name="_Toc3904"/>
      <w:r>
        <w:rPr>
          <w:rFonts w:hint="eastAsia"/>
        </w:rPr>
        <w:t>七、政策、技术、数量限制</w:t>
      </w:r>
      <w:bookmarkEnd w:id="52"/>
      <w:bookmarkEnd w:id="53"/>
    </w:p>
    <w:p>
      <w:pPr>
        <w:ind w:firstLine="560"/>
        <w:rPr>
          <w:rFonts w:eastAsia="Times New Roman"/>
        </w:rPr>
      </w:pPr>
      <w:r>
        <w:rPr>
          <w:rFonts w:hint="eastAsia"/>
        </w:rPr>
        <w:t>本行政许可无数量限制。</w:t>
      </w:r>
    </w:p>
    <w:p>
      <w:pPr>
        <w:pStyle w:val="2"/>
        <w:ind w:firstLine="840" w:firstLineChars="300"/>
      </w:pPr>
      <w:bookmarkStart w:id="54" w:name="_Toc2127"/>
      <w:bookmarkStart w:id="55" w:name="_Toc22932"/>
      <w:r>
        <w:rPr>
          <w:rFonts w:hint="eastAsia"/>
        </w:rPr>
        <w:t>八、申请材料</w:t>
      </w:r>
      <w:bookmarkEnd w:id="54"/>
      <w:bookmarkEnd w:id="55"/>
    </w:p>
    <w:p>
      <w:pPr>
        <w:tabs>
          <w:tab w:val="center" w:pos="4201"/>
          <w:tab w:val="right" w:leader="dot" w:pos="9298"/>
        </w:tabs>
        <w:ind w:firstLine="0" w:firstLineChars="0"/>
        <w:jc w:val="center"/>
        <w:rPr>
          <w:rFonts w:ascii="黑体" w:hAnsi="黑体" w:eastAsia="黑体"/>
        </w:rPr>
      </w:pPr>
      <w:bookmarkStart w:id="56" w:name="_Toc14825"/>
      <w:r>
        <w:rPr>
          <w:rFonts w:hint="eastAsia" w:ascii="黑体" w:hAnsi="黑体" w:eastAsia="黑体" w:cs="黑体"/>
        </w:rPr>
        <w:t>建设项目环境影响评价文件（正常审批/告知承诺审批）申请材料</w:t>
      </w:r>
      <w:bookmarkEnd w:id="56"/>
    </w:p>
    <w:tbl>
      <w:tblPr>
        <w:tblStyle w:val="14"/>
        <w:tblW w:w="5000" w:type="pct"/>
        <w:jc w:val="center"/>
        <w:tblLayout w:type="autofit"/>
        <w:tblCellMar>
          <w:top w:w="0" w:type="dxa"/>
          <w:left w:w="10" w:type="dxa"/>
          <w:bottom w:w="0" w:type="dxa"/>
          <w:right w:w="10" w:type="dxa"/>
        </w:tblCellMar>
      </w:tblPr>
      <w:tblGrid>
        <w:gridCol w:w="560"/>
        <w:gridCol w:w="2046"/>
        <w:gridCol w:w="1490"/>
        <w:gridCol w:w="1948"/>
        <w:gridCol w:w="1487"/>
        <w:gridCol w:w="1523"/>
      </w:tblGrid>
      <w:tr>
        <w:tblPrEx>
          <w:tblCellMar>
            <w:top w:w="0" w:type="dxa"/>
            <w:left w:w="10" w:type="dxa"/>
            <w:bottom w:w="0" w:type="dxa"/>
            <w:right w:w="10" w:type="dxa"/>
          </w:tblCellMar>
        </w:tblPrEx>
        <w:trPr>
          <w:trHeight w:val="450" w:hRule="atLeast"/>
          <w:jc w:val="center"/>
        </w:trPr>
        <w:tc>
          <w:tcPr>
            <w:tcW w:w="309" w:type="pct"/>
            <w:tcBorders>
              <w:top w:val="single" w:color="auto" w:sz="8" w:space="0"/>
              <w:left w:val="single" w:color="auto" w:sz="8"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序号</w:t>
            </w:r>
          </w:p>
        </w:tc>
        <w:tc>
          <w:tcPr>
            <w:tcW w:w="1130"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材料名称</w:t>
            </w:r>
          </w:p>
        </w:tc>
        <w:tc>
          <w:tcPr>
            <w:tcW w:w="823"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材料形式</w:t>
            </w:r>
          </w:p>
        </w:tc>
        <w:tc>
          <w:tcPr>
            <w:tcW w:w="1076"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份数</w:t>
            </w:r>
          </w:p>
        </w:tc>
        <w:tc>
          <w:tcPr>
            <w:tcW w:w="821" w:type="pct"/>
            <w:tcBorders>
              <w:top w:val="single" w:color="auto" w:sz="8" w:space="0"/>
              <w:left w:val="single" w:color="000000" w:sz="4" w:space="0"/>
              <w:bottom w:val="single" w:color="000000"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材料来源</w:t>
            </w:r>
          </w:p>
        </w:tc>
        <w:tc>
          <w:tcPr>
            <w:tcW w:w="841" w:type="pct"/>
            <w:tcBorders>
              <w:top w:val="single" w:color="auto" w:sz="8" w:space="0"/>
              <w:left w:val="single" w:color="000000" w:sz="4" w:space="0"/>
              <w:bottom w:val="single" w:color="000000" w:sz="8"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rFonts w:ascii="黑体" w:hAnsi="黑体" w:eastAsia="黑体"/>
                <w:sz w:val="24"/>
                <w:szCs w:val="22"/>
              </w:rPr>
            </w:pPr>
            <w:r>
              <w:rPr>
                <w:rFonts w:hint="eastAsia" w:ascii="黑体" w:hAnsi="黑体" w:eastAsia="黑体" w:cs="宋体"/>
                <w:sz w:val="24"/>
                <w:szCs w:val="22"/>
              </w:rPr>
              <w:t>其他要求</w:t>
            </w:r>
          </w:p>
        </w:tc>
      </w:tr>
      <w:tr>
        <w:tblPrEx>
          <w:tblCellMar>
            <w:top w:w="0" w:type="dxa"/>
            <w:left w:w="10" w:type="dxa"/>
            <w:bottom w:w="0" w:type="dxa"/>
            <w:right w:w="10" w:type="dxa"/>
          </w:tblCellMar>
        </w:tblPrEx>
        <w:trPr>
          <w:trHeight w:val="942" w:hRule="atLeast"/>
          <w:jc w:val="center"/>
        </w:trPr>
        <w:tc>
          <w:tcPr>
            <w:tcW w:w="309" w:type="pct"/>
            <w:tcBorders>
              <w:top w:val="single" w:color="000000" w:sz="8" w:space="0"/>
              <w:left w:val="single" w:color="auto" w:sz="8"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1</w:t>
            </w:r>
          </w:p>
        </w:tc>
        <w:tc>
          <w:tcPr>
            <w:tcW w:w="1130"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建设项目环境影响评价文件报批申请</w:t>
            </w:r>
          </w:p>
        </w:tc>
        <w:tc>
          <w:tcPr>
            <w:tcW w:w="823"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原件</w:t>
            </w:r>
          </w:p>
        </w:tc>
        <w:tc>
          <w:tcPr>
            <w:tcW w:w="1076"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1份</w:t>
            </w:r>
          </w:p>
        </w:tc>
        <w:tc>
          <w:tcPr>
            <w:tcW w:w="821" w:type="pct"/>
            <w:tcBorders>
              <w:top w:val="single" w:color="000000" w:sz="8" w:space="0"/>
              <w:left w:val="single" w:color="000000" w:sz="4" w:space="0"/>
              <w:bottom w:val="single" w:color="000000" w:sz="4"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申请人自备</w:t>
            </w:r>
          </w:p>
        </w:tc>
        <w:tc>
          <w:tcPr>
            <w:tcW w:w="841" w:type="pct"/>
            <w:tcBorders>
              <w:top w:val="single" w:color="000000" w:sz="8" w:space="0"/>
              <w:left w:val="single" w:color="000000" w:sz="4" w:space="0"/>
              <w:bottom w:val="single" w:color="000000" w:sz="4"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p>
        </w:tc>
      </w:tr>
      <w:tr>
        <w:tblPrEx>
          <w:tblCellMar>
            <w:top w:w="0" w:type="dxa"/>
            <w:left w:w="10" w:type="dxa"/>
            <w:bottom w:w="0" w:type="dxa"/>
            <w:right w:w="10" w:type="dxa"/>
          </w:tblCellMar>
        </w:tblPrEx>
        <w:trPr>
          <w:trHeight w:val="1755" w:hRule="atLeast"/>
          <w:jc w:val="center"/>
        </w:trPr>
        <w:tc>
          <w:tcPr>
            <w:tcW w:w="309" w:type="pct"/>
            <w:tcBorders>
              <w:top w:val="single" w:color="000000" w:sz="4" w:space="0"/>
              <w:left w:val="single" w:color="auto" w:sz="8"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2</w:t>
            </w:r>
          </w:p>
        </w:tc>
        <w:tc>
          <w:tcPr>
            <w:tcW w:w="1130"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建设项目环境影响评价文件</w:t>
            </w:r>
          </w:p>
        </w:tc>
        <w:tc>
          <w:tcPr>
            <w:tcW w:w="823"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原件及PDF格式电子版</w:t>
            </w:r>
          </w:p>
        </w:tc>
        <w:tc>
          <w:tcPr>
            <w:tcW w:w="1076"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纸质2份，电子1份</w:t>
            </w:r>
          </w:p>
        </w:tc>
        <w:tc>
          <w:tcPr>
            <w:tcW w:w="821" w:type="pct"/>
            <w:tcBorders>
              <w:top w:val="single" w:color="000000" w:sz="4" w:space="0"/>
              <w:left w:val="single" w:color="000000" w:sz="4" w:space="0"/>
              <w:bottom w:val="single" w:color="auto" w:sz="8" w:space="0"/>
              <w:right w:val="single" w:color="000000" w:sz="4" w:space="0"/>
            </w:tcBorders>
            <w:shd w:val="clear" w:color="auto" w:fill="auto"/>
            <w:tcMar>
              <w:left w:w="108" w:type="dxa"/>
              <w:right w:w="108" w:type="dxa"/>
            </w:tcMar>
            <w:vAlign w:val="center"/>
          </w:tcPr>
          <w:p>
            <w:pPr>
              <w:tabs>
                <w:tab w:val="center" w:pos="857"/>
              </w:tabs>
              <w:spacing w:line="240" w:lineRule="auto"/>
              <w:ind w:firstLine="0" w:firstLineChars="0"/>
              <w:jc w:val="center"/>
              <w:rPr>
                <w:sz w:val="24"/>
                <w:szCs w:val="24"/>
              </w:rPr>
            </w:pPr>
            <w:r>
              <w:rPr>
                <w:sz w:val="24"/>
                <w:szCs w:val="24"/>
              </w:rPr>
              <w:t>申请人自备</w:t>
            </w:r>
          </w:p>
        </w:tc>
        <w:tc>
          <w:tcPr>
            <w:tcW w:w="841" w:type="pct"/>
            <w:tcBorders>
              <w:top w:val="single" w:color="000000" w:sz="4" w:space="0"/>
              <w:left w:val="single" w:color="000000" w:sz="4" w:space="0"/>
              <w:bottom w:val="single" w:color="auto" w:sz="8" w:space="0"/>
              <w:right w:val="single" w:color="auto" w:sz="8" w:space="0"/>
            </w:tcBorders>
            <w:shd w:val="clear" w:color="auto" w:fill="auto"/>
            <w:tcMar>
              <w:left w:w="108" w:type="dxa"/>
              <w:right w:w="108" w:type="dxa"/>
            </w:tcMar>
            <w:vAlign w:val="center"/>
          </w:tcPr>
          <w:p>
            <w:pPr>
              <w:tabs>
                <w:tab w:val="center" w:pos="4201"/>
                <w:tab w:val="right" w:leader="dot" w:pos="9298"/>
              </w:tabs>
              <w:spacing w:line="240" w:lineRule="auto"/>
              <w:ind w:firstLine="0" w:firstLineChars="0"/>
              <w:jc w:val="center"/>
              <w:rPr>
                <w:sz w:val="24"/>
                <w:szCs w:val="24"/>
              </w:rPr>
            </w:pPr>
            <w:r>
              <w:rPr>
                <w:sz w:val="24"/>
                <w:szCs w:val="24"/>
              </w:rPr>
              <w:t>环境影响报告书附</w:t>
            </w:r>
            <w:r>
              <w:rPr>
                <w:rFonts w:hint="eastAsia"/>
                <w:sz w:val="24"/>
                <w:szCs w:val="24"/>
              </w:rPr>
              <w:t>“</w:t>
            </w:r>
            <w:r>
              <w:rPr>
                <w:sz w:val="24"/>
                <w:szCs w:val="24"/>
              </w:rPr>
              <w:t>公众参与说明</w:t>
            </w:r>
            <w:r>
              <w:rPr>
                <w:rFonts w:hint="eastAsia"/>
                <w:sz w:val="24"/>
                <w:szCs w:val="24"/>
              </w:rPr>
              <w:t>”</w:t>
            </w:r>
            <w:r>
              <w:rPr>
                <w:sz w:val="24"/>
                <w:szCs w:val="24"/>
              </w:rPr>
              <w:t>。</w:t>
            </w:r>
          </w:p>
        </w:tc>
      </w:tr>
    </w:tbl>
    <w:p>
      <w:pPr>
        <w:ind w:firstLine="560"/>
      </w:pPr>
    </w:p>
    <w:p>
      <w:pPr>
        <w:pStyle w:val="2"/>
        <w:ind w:firstLine="560"/>
      </w:pPr>
      <w:bookmarkStart w:id="57" w:name="_Toc24603"/>
      <w:bookmarkStart w:id="58" w:name="_Toc7405"/>
      <w:r>
        <w:rPr>
          <w:rFonts w:hint="eastAsia"/>
        </w:rPr>
        <w:t>九、办结时限</w:t>
      </w:r>
      <w:bookmarkEnd w:id="57"/>
      <w:bookmarkEnd w:id="58"/>
    </w:p>
    <w:p>
      <w:pPr>
        <w:ind w:firstLine="560"/>
        <w:rPr>
          <w:rFonts w:eastAsia="Times New Roman"/>
        </w:rPr>
      </w:pPr>
      <w:r>
        <w:rPr>
          <w:rFonts w:hint="eastAsia"/>
        </w:rPr>
        <w:t>法定办结时限：</w:t>
      </w:r>
      <w:r>
        <w:rPr>
          <w:rFonts w:eastAsia="Times New Roman"/>
        </w:rPr>
        <w:t>60/</w:t>
      </w:r>
      <w:r>
        <w:t>3</w:t>
      </w:r>
      <w:r>
        <w:rPr>
          <w:rFonts w:eastAsia="Times New Roman"/>
        </w:rPr>
        <w:t>0</w:t>
      </w:r>
      <w:r>
        <w:rPr>
          <w:rFonts w:hint="eastAsia"/>
        </w:rPr>
        <w:t>日（报告书</w:t>
      </w:r>
      <w:r>
        <w:rPr>
          <w:rFonts w:eastAsia="Times New Roman"/>
        </w:rPr>
        <w:t>/</w:t>
      </w:r>
      <w:r>
        <w:rPr>
          <w:rFonts w:hint="eastAsia"/>
        </w:rPr>
        <w:t>报告表）。</w:t>
      </w:r>
    </w:p>
    <w:p>
      <w:pPr>
        <w:ind w:firstLine="560"/>
        <w:rPr>
          <w:rFonts w:eastAsia="Times New Roman"/>
        </w:rPr>
      </w:pPr>
      <w:r>
        <w:rPr>
          <w:rFonts w:hint="eastAsia"/>
        </w:rPr>
        <w:t>承诺办结时限：实行告知承诺制审批不超过1个工作日；正常审批受理后不超过</w:t>
      </w:r>
      <w:r>
        <w:t>14</w:t>
      </w:r>
      <w:r>
        <w:rPr>
          <w:rFonts w:eastAsia="Times New Roman"/>
        </w:rPr>
        <w:t>/</w:t>
      </w:r>
      <w:r>
        <w:t>7</w:t>
      </w:r>
      <w:r>
        <w:rPr>
          <w:rFonts w:hint="eastAsia"/>
        </w:rPr>
        <w:t>工作日（报告书</w:t>
      </w:r>
      <w:r>
        <w:rPr>
          <w:rFonts w:eastAsia="Times New Roman"/>
        </w:rPr>
        <w:t>/</w:t>
      </w:r>
      <w:r>
        <w:rPr>
          <w:rFonts w:hint="eastAsia"/>
        </w:rPr>
        <w:t>报告表）。</w:t>
      </w:r>
    </w:p>
    <w:p>
      <w:pPr>
        <w:ind w:firstLine="560"/>
      </w:pPr>
      <w:r>
        <w:rPr>
          <w:rFonts w:hint="eastAsia"/>
        </w:rPr>
        <w:t>技术评估（专家评审、技术审查、现场踏勘）、公示时间不计入审批时限。</w:t>
      </w:r>
    </w:p>
    <w:p>
      <w:pPr>
        <w:pStyle w:val="2"/>
        <w:ind w:firstLine="560"/>
      </w:pPr>
      <w:bookmarkStart w:id="59" w:name="_Toc18808"/>
      <w:bookmarkStart w:id="60" w:name="_Toc21392"/>
      <w:r>
        <w:rPr>
          <w:rFonts w:hint="eastAsia"/>
        </w:rPr>
        <w:t>十、许可收费及依据</w:t>
      </w:r>
      <w:bookmarkEnd w:id="59"/>
      <w:bookmarkEnd w:id="60"/>
    </w:p>
    <w:p>
      <w:pPr>
        <w:ind w:firstLine="560"/>
        <w:rPr>
          <w:rFonts w:eastAsia="Times New Roman"/>
        </w:rPr>
      </w:pPr>
      <w:r>
        <w:rPr>
          <w:rFonts w:hint="eastAsia"/>
        </w:rPr>
        <w:t>本行政许可不收费。</w:t>
      </w:r>
    </w:p>
    <w:p>
      <w:pPr>
        <w:pStyle w:val="2"/>
        <w:ind w:firstLine="560"/>
      </w:pPr>
      <w:bookmarkStart w:id="61" w:name="_Toc4787"/>
      <w:bookmarkStart w:id="62" w:name="_Toc13968"/>
      <w:r>
        <w:rPr>
          <w:rFonts w:hint="eastAsia"/>
        </w:rPr>
        <w:t>十一、中介服务要求</w:t>
      </w:r>
      <w:bookmarkEnd w:id="61"/>
      <w:bookmarkEnd w:id="62"/>
    </w:p>
    <w:p>
      <w:pPr>
        <w:pStyle w:val="3"/>
        <w:ind w:firstLine="560"/>
      </w:pPr>
      <w:bookmarkStart w:id="63" w:name="_Toc7690"/>
      <w:bookmarkStart w:id="64" w:name="_Toc7035"/>
      <w:r>
        <w:rPr>
          <w:rFonts w:hint="eastAsia"/>
        </w:rPr>
        <w:t>（一）中介服务事项名称</w:t>
      </w:r>
      <w:bookmarkEnd w:id="63"/>
      <w:bookmarkEnd w:id="64"/>
    </w:p>
    <w:p>
      <w:pPr>
        <w:ind w:firstLine="560"/>
      </w:pPr>
      <w:r>
        <w:rPr>
          <w:rFonts w:hint="eastAsia" w:ascii="宋体" w:hAnsi="宋体" w:cs="宋体"/>
        </w:rPr>
        <w:t>编制建设项目环境影响评价文件。</w:t>
      </w:r>
    </w:p>
    <w:p>
      <w:pPr>
        <w:pStyle w:val="3"/>
        <w:ind w:firstLine="560"/>
      </w:pPr>
      <w:bookmarkStart w:id="65" w:name="_Toc1695"/>
      <w:bookmarkStart w:id="66" w:name="_Toc13929"/>
      <w:r>
        <w:rPr>
          <w:rFonts w:hint="eastAsia"/>
        </w:rPr>
        <w:t>（二）实施依据</w:t>
      </w:r>
      <w:bookmarkEnd w:id="65"/>
      <w:bookmarkEnd w:id="66"/>
    </w:p>
    <w:p>
      <w:pPr>
        <w:ind w:firstLine="560"/>
        <w:rPr>
          <w:rFonts w:eastAsia="Times New Roman"/>
        </w:rPr>
      </w:pPr>
      <w:r>
        <w:rPr>
          <w:rFonts w:ascii="宋体" w:hAnsi="宋体" w:cs="宋体"/>
        </w:rPr>
        <w:t>1.</w:t>
      </w:r>
      <w:r>
        <w:rPr>
          <w:rFonts w:hint="eastAsia" w:ascii="宋体" w:hAnsi="宋体" w:cs="宋体"/>
        </w:rPr>
        <w:t>《中华人民共和国环境影响评价法》第十九条；</w:t>
      </w:r>
    </w:p>
    <w:p>
      <w:pPr>
        <w:ind w:firstLine="560"/>
        <w:rPr>
          <w:rFonts w:eastAsia="Times New Roman"/>
        </w:rPr>
      </w:pPr>
      <w:r>
        <w:rPr>
          <w:rFonts w:ascii="宋体" w:hAnsi="宋体" w:cs="宋体"/>
        </w:rPr>
        <w:t>2.</w:t>
      </w:r>
      <w:r>
        <w:rPr>
          <w:rFonts w:hint="eastAsia" w:ascii="宋体" w:hAnsi="宋体" w:cs="宋体"/>
        </w:rPr>
        <w:t>《建设项目环境影响报告书（表）编制监督管理办法》第二条、第四条。</w:t>
      </w:r>
    </w:p>
    <w:p>
      <w:pPr>
        <w:pStyle w:val="2"/>
        <w:ind w:firstLine="560"/>
        <w:rPr>
          <w:rFonts w:eastAsia="Times New Roman"/>
        </w:rPr>
      </w:pPr>
      <w:bookmarkStart w:id="67" w:name="_Toc23999"/>
      <w:bookmarkStart w:id="68" w:name="_Toc16004"/>
      <w:r>
        <w:rPr>
          <w:rFonts w:hint="eastAsia"/>
        </w:rPr>
        <w:t>十二、资质条件</w:t>
      </w:r>
      <w:bookmarkEnd w:id="67"/>
      <w:bookmarkEnd w:id="68"/>
    </w:p>
    <w:p>
      <w:pPr>
        <w:ind w:firstLine="560"/>
        <w:rPr>
          <w:rFonts w:eastAsia="Times New Roman"/>
        </w:rPr>
      </w:pPr>
      <w:r>
        <w:rPr>
          <w:rFonts w:hint="eastAsia"/>
        </w:rPr>
        <w:t>编制单位内编制主持人应为取得环境影响评价工程师职业资格证书的人员。</w:t>
      </w:r>
    </w:p>
    <w:p>
      <w:pPr>
        <w:pStyle w:val="2"/>
        <w:ind w:firstLine="560"/>
      </w:pPr>
      <w:bookmarkStart w:id="69" w:name="_Toc5594"/>
      <w:bookmarkStart w:id="70" w:name="_Toc30604"/>
      <w:r>
        <w:rPr>
          <w:rFonts w:hint="eastAsia"/>
        </w:rPr>
        <w:t>十三、办理流程</w:t>
      </w:r>
      <w:bookmarkEnd w:id="69"/>
      <w:bookmarkEnd w:id="70"/>
    </w:p>
    <w:p>
      <w:pPr>
        <w:pStyle w:val="3"/>
        <w:ind w:firstLine="560"/>
      </w:pPr>
      <w:bookmarkStart w:id="71" w:name="_Toc22270"/>
      <w:bookmarkStart w:id="72" w:name="_Toc21032"/>
      <w:r>
        <w:rPr>
          <w:rFonts w:hint="eastAsia"/>
        </w:rPr>
        <w:t>（一）申请</w:t>
      </w:r>
      <w:bookmarkEnd w:id="71"/>
      <w:bookmarkEnd w:id="72"/>
    </w:p>
    <w:p>
      <w:pPr>
        <w:kinsoku w:val="0"/>
        <w:wordWrap w:val="0"/>
        <w:adjustRightInd/>
        <w:snapToGrid/>
        <w:ind w:firstLine="560"/>
        <w:contextualSpacing/>
        <w:rPr>
          <w:color w:val="auto"/>
        </w:rPr>
      </w:pPr>
      <w:r>
        <w:rPr>
          <w:rFonts w:hint="eastAsia"/>
          <w:snapToGrid w:val="0"/>
        </w:rPr>
        <w:t>1.建设单位可自行登录云南政务服务网（网址：https://zwfw.yn.gov.cn）</w:t>
      </w:r>
      <w:r>
        <w:rPr>
          <w:rFonts w:hint="eastAsia"/>
        </w:rPr>
        <w:t>提交申报材料（除国家规定需要保密的情形外），或者</w:t>
      </w:r>
      <w:r>
        <w:t>通过现场递交</w:t>
      </w:r>
      <w:r>
        <w:rPr>
          <w:rFonts w:hint="eastAsia"/>
        </w:rPr>
        <w:t>、</w:t>
      </w:r>
      <w:r>
        <w:rPr>
          <w:color w:val="auto"/>
        </w:rPr>
        <w:t>邮寄等方式</w:t>
      </w:r>
      <w:r>
        <w:rPr>
          <w:rFonts w:hint="eastAsia"/>
          <w:color w:val="auto"/>
        </w:rPr>
        <w:t>向</w:t>
      </w:r>
      <w:r>
        <w:rPr>
          <w:rFonts w:hint="eastAsia"/>
          <w:color w:val="auto"/>
          <w:lang w:eastAsia="zh-CN"/>
        </w:rPr>
        <w:t>安宁</w:t>
      </w:r>
      <w:r>
        <w:rPr>
          <w:rFonts w:hint="eastAsia"/>
          <w:color w:val="auto"/>
        </w:rPr>
        <w:t>市政务服务中心</w:t>
      </w:r>
      <w:r>
        <w:rPr>
          <w:rFonts w:hint="eastAsia" w:ascii="Times New Roman" w:hAnsi="Times New Roman" w:cs="Times New Roman"/>
          <w:color w:val="auto"/>
        </w:rPr>
        <w:t>（安宁市连然街道金晖路1号宁湖大厦</w:t>
      </w:r>
      <w:r>
        <w:rPr>
          <w:rFonts w:hint="eastAsia" w:ascii="Times New Roman" w:hAnsi="Times New Roman" w:cs="Times New Roman"/>
          <w:color w:val="auto"/>
          <w:lang w:eastAsia="zh-CN"/>
        </w:rPr>
        <w:t>裙楼二楼</w:t>
      </w:r>
      <w:r>
        <w:rPr>
          <w:rFonts w:hint="eastAsia" w:ascii="Times New Roman" w:hAnsi="Times New Roman" w:cs="Times New Roman"/>
          <w:color w:val="auto"/>
        </w:rPr>
        <w:t>）</w:t>
      </w:r>
      <w:r>
        <w:rPr>
          <w:rFonts w:hint="eastAsia" w:ascii="Times New Roman" w:hAnsi="Times New Roman" w:cs="Times New Roman"/>
          <w:color w:val="auto"/>
          <w:lang w:eastAsia="zh-CN"/>
        </w:rPr>
        <w:t>市生态环境分局</w:t>
      </w:r>
      <w:r>
        <w:rPr>
          <w:rFonts w:hint="eastAsia" w:ascii="Times New Roman" w:hAnsi="Times New Roman" w:cs="Times New Roman"/>
          <w:color w:val="auto"/>
        </w:rPr>
        <w:t>窗口提交</w:t>
      </w:r>
      <w:r>
        <w:rPr>
          <w:rFonts w:hint="eastAsia"/>
          <w:color w:val="auto"/>
        </w:rPr>
        <w:t>申报材料。</w:t>
      </w:r>
    </w:p>
    <w:p>
      <w:pPr>
        <w:spacing w:line="360" w:lineRule="auto"/>
        <w:ind w:firstLine="480"/>
        <w:rPr>
          <w:color w:val="auto"/>
        </w:rPr>
      </w:pPr>
      <w:r>
        <w:rPr>
          <w:color w:val="auto"/>
        </w:rPr>
        <w:t>2.</w:t>
      </w:r>
      <w:r>
        <w:rPr>
          <w:rFonts w:hint="eastAsia"/>
          <w:color w:val="auto"/>
        </w:rPr>
        <w:t>交通方式：</w:t>
      </w:r>
      <w:r>
        <w:rPr>
          <w:rFonts w:hint="eastAsia"/>
          <w:color w:val="auto"/>
          <w:lang w:eastAsia="zh-CN"/>
        </w:rPr>
        <w:t>市内</w:t>
      </w:r>
      <w:r>
        <w:rPr>
          <w:rFonts w:hint="eastAsia"/>
          <w:color w:val="auto"/>
        </w:rPr>
        <w:t>可乘</w:t>
      </w:r>
      <w:r>
        <w:rPr>
          <w:rFonts w:hint="eastAsia"/>
          <w:color w:val="auto"/>
          <w:lang w:val="en-US" w:eastAsia="zh-CN"/>
        </w:rPr>
        <w:t>1、2、4、5、12、17、18、19、22路至安宁中学或鑫湖医院站下车步行约100米至政务服务中心。</w:t>
      </w:r>
    </w:p>
    <w:p>
      <w:pPr>
        <w:ind w:firstLine="560"/>
        <w:rPr>
          <w:color w:val="auto"/>
        </w:rPr>
      </w:pPr>
      <w:r>
        <w:rPr>
          <w:color w:val="auto"/>
        </w:rPr>
        <w:t>3.</w:t>
      </w:r>
      <w:r>
        <w:rPr>
          <w:rFonts w:hint="eastAsia"/>
          <w:color w:val="auto"/>
        </w:rPr>
        <w:t>受理时间：周一至周五及调休工作日，上午</w:t>
      </w:r>
      <w:r>
        <w:rPr>
          <w:rFonts w:eastAsia="Times New Roman"/>
          <w:color w:val="auto"/>
        </w:rPr>
        <w:t>9:00</w:t>
      </w:r>
      <w:r>
        <w:rPr>
          <w:color w:val="auto"/>
        </w:rPr>
        <w:t>-</w:t>
      </w:r>
      <w:r>
        <w:rPr>
          <w:rFonts w:eastAsia="Times New Roman"/>
          <w:color w:val="auto"/>
        </w:rPr>
        <w:t>12:00</w:t>
      </w:r>
      <w:r>
        <w:rPr>
          <w:rFonts w:hint="eastAsia"/>
          <w:color w:val="auto"/>
        </w:rPr>
        <w:t>，下午</w:t>
      </w:r>
      <w:r>
        <w:rPr>
          <w:rFonts w:eastAsia="Times New Roman"/>
          <w:color w:val="auto"/>
        </w:rPr>
        <w:t>13:</w:t>
      </w:r>
      <w:r>
        <w:rPr>
          <w:rFonts w:hint="eastAsia" w:eastAsia="宋体"/>
          <w:color w:val="auto"/>
          <w:lang w:val="en-US" w:eastAsia="zh-CN"/>
        </w:rPr>
        <w:t>30</w:t>
      </w:r>
      <w:r>
        <w:rPr>
          <w:color w:val="auto"/>
        </w:rPr>
        <w:t>-</w:t>
      </w:r>
      <w:r>
        <w:rPr>
          <w:rFonts w:eastAsia="Times New Roman"/>
          <w:color w:val="auto"/>
        </w:rPr>
        <w:t>17:00</w:t>
      </w:r>
      <w:r>
        <w:rPr>
          <w:rFonts w:hint="eastAsia"/>
          <w:color w:val="auto"/>
        </w:rPr>
        <w:t>，法定节假日除外。</w:t>
      </w:r>
    </w:p>
    <w:p>
      <w:pPr>
        <w:pStyle w:val="3"/>
        <w:ind w:firstLine="560"/>
        <w:rPr>
          <w:color w:val="auto"/>
        </w:rPr>
      </w:pPr>
      <w:bookmarkStart w:id="73" w:name="_Toc12687"/>
      <w:bookmarkStart w:id="74" w:name="_Toc1020"/>
      <w:r>
        <w:rPr>
          <w:rFonts w:hint="eastAsia"/>
          <w:color w:val="auto"/>
        </w:rPr>
        <w:t>（二）受理</w:t>
      </w:r>
      <w:bookmarkEnd w:id="73"/>
      <w:bookmarkEnd w:id="74"/>
    </w:p>
    <w:p>
      <w:pPr>
        <w:ind w:firstLine="560"/>
        <w:rPr>
          <w:color w:val="auto"/>
        </w:rPr>
      </w:pPr>
      <w:r>
        <w:rPr>
          <w:rFonts w:hint="eastAsia"/>
          <w:color w:val="auto"/>
        </w:rPr>
        <w:t>昆明市生态环境局</w:t>
      </w:r>
      <w:r>
        <w:rPr>
          <w:rFonts w:hint="eastAsia"/>
          <w:color w:val="auto"/>
          <w:lang w:eastAsia="zh-CN"/>
        </w:rPr>
        <w:t>安宁分局</w:t>
      </w:r>
      <w:r>
        <w:rPr>
          <w:rFonts w:hint="eastAsia"/>
          <w:color w:val="auto"/>
        </w:rPr>
        <w:t>窗口工作人员接收申请材料后</w:t>
      </w:r>
      <w:r>
        <w:rPr>
          <w:color w:val="auto"/>
        </w:rPr>
        <w:t>5</w:t>
      </w:r>
      <w:r>
        <w:rPr>
          <w:rFonts w:hint="eastAsia"/>
          <w:color w:val="auto"/>
        </w:rPr>
        <w:t>个工作日内作出受理决定或不予受理的决定。对正常审批申请材料符合要求的，准予受理，向申请人发放《受理通知单》，受理结果在</w:t>
      </w:r>
      <w:r>
        <w:rPr>
          <w:rFonts w:hint="eastAsia"/>
          <w:color w:val="auto"/>
          <w:lang w:eastAsia="zh-CN"/>
        </w:rPr>
        <w:t>安宁市人民政府</w:t>
      </w:r>
      <w:r>
        <w:rPr>
          <w:rFonts w:hint="eastAsia"/>
          <w:color w:val="auto"/>
        </w:rPr>
        <w:t>门户网站“</w:t>
      </w:r>
      <w:r>
        <w:rPr>
          <w:rFonts w:hint="eastAsia"/>
          <w:color w:val="auto"/>
          <w:lang w:eastAsia="zh-CN"/>
        </w:rPr>
        <w:t>基层政务公开</w:t>
      </w:r>
      <w:r>
        <w:rPr>
          <w:rFonts w:hint="eastAsia"/>
          <w:color w:val="auto"/>
        </w:rPr>
        <w:t>”栏目公示，公示时间报告书</w:t>
      </w:r>
      <w:r>
        <w:rPr>
          <w:color w:val="auto"/>
        </w:rPr>
        <w:t>10</w:t>
      </w:r>
      <w:r>
        <w:rPr>
          <w:rFonts w:hint="eastAsia"/>
          <w:color w:val="auto"/>
        </w:rPr>
        <w:t>个工作日、报告表5个工作日，受理公示为行政审批特别程序，不计入审批时限；对实行告知承诺审批申请材料符合要求的，准予受理，向申请人发放《受理通知单》，受理当日作出审批决定印发“建设项目环境影响评价文件（报告书</w:t>
      </w:r>
      <w:r>
        <w:rPr>
          <w:rFonts w:eastAsia="Times New Roman"/>
          <w:color w:val="auto"/>
        </w:rPr>
        <w:t>/</w:t>
      </w:r>
      <w:r>
        <w:rPr>
          <w:rFonts w:hint="eastAsia"/>
          <w:color w:val="auto"/>
        </w:rPr>
        <w:t>报告表）批复”，申请材料及审批结果一并在</w:t>
      </w:r>
      <w:r>
        <w:rPr>
          <w:rFonts w:hint="eastAsia"/>
          <w:color w:val="auto"/>
          <w:lang w:eastAsia="zh-CN"/>
        </w:rPr>
        <w:t>安宁市人民政府</w:t>
      </w:r>
      <w:r>
        <w:rPr>
          <w:rFonts w:hint="eastAsia"/>
          <w:color w:val="auto"/>
        </w:rPr>
        <w:t>门户网站“</w:t>
      </w:r>
      <w:r>
        <w:rPr>
          <w:rFonts w:hint="eastAsia"/>
          <w:color w:val="auto"/>
          <w:lang w:eastAsia="zh-CN"/>
        </w:rPr>
        <w:t>基层政务公开</w:t>
      </w:r>
      <w:r>
        <w:rPr>
          <w:rFonts w:hint="eastAsia"/>
          <w:color w:val="auto"/>
        </w:rPr>
        <w:t>”栏目公开1</w:t>
      </w:r>
      <w:r>
        <w:rPr>
          <w:color w:val="auto"/>
        </w:rPr>
        <w:t>5</w:t>
      </w:r>
      <w:r>
        <w:rPr>
          <w:rFonts w:hint="eastAsia"/>
          <w:color w:val="auto"/>
        </w:rPr>
        <w:t>个工作日。</w:t>
      </w:r>
    </w:p>
    <w:p>
      <w:pPr>
        <w:ind w:firstLine="560"/>
        <w:rPr>
          <w:color w:val="auto"/>
        </w:rPr>
      </w:pPr>
      <w:r>
        <w:rPr>
          <w:rFonts w:hint="eastAsia"/>
          <w:color w:val="auto"/>
        </w:rPr>
        <w:t>对申请材料不符合要求且可以通过补正达到要求的，向申请人发放《申请材料补正告知书》，一次告知申请人需要补正的材料，逾期不告知的，自收到申请材料之日起即为受理。</w:t>
      </w:r>
    </w:p>
    <w:p>
      <w:pPr>
        <w:ind w:firstLine="560"/>
        <w:rPr>
          <w:rFonts w:eastAsia="Times New Roman"/>
        </w:rPr>
      </w:pPr>
      <w:r>
        <w:rPr>
          <w:rFonts w:hint="eastAsia"/>
        </w:rPr>
        <w:t>对不需要行政许可、不在受理范围或申请材料不符合要求且无法通过补正达到要求的，做出不予受理决定，并发放《不予受理决定书》。</w:t>
      </w:r>
    </w:p>
    <w:p>
      <w:pPr>
        <w:pStyle w:val="3"/>
        <w:ind w:firstLine="560"/>
        <w:rPr>
          <w:color w:val="auto"/>
        </w:rPr>
      </w:pPr>
      <w:bookmarkStart w:id="75" w:name="_Toc15480"/>
      <w:bookmarkStart w:id="76" w:name="_Toc11666"/>
      <w:r>
        <w:rPr>
          <w:rFonts w:hint="eastAsia"/>
        </w:rPr>
        <w:t>（三）审查</w:t>
      </w:r>
      <w:bookmarkEnd w:id="75"/>
      <w:bookmarkEnd w:id="76"/>
    </w:p>
    <w:p>
      <w:pPr>
        <w:ind w:firstLine="560"/>
        <w:rPr>
          <w:color w:val="auto"/>
        </w:rPr>
      </w:pPr>
      <w:r>
        <w:rPr>
          <w:rFonts w:hint="eastAsia"/>
          <w:color w:val="auto"/>
        </w:rPr>
        <w:t>正常审批受理公示结束后，昆明市生态环境局</w:t>
      </w:r>
      <w:r>
        <w:rPr>
          <w:rFonts w:hint="eastAsia"/>
          <w:color w:val="auto"/>
          <w:lang w:eastAsia="zh-CN"/>
        </w:rPr>
        <w:t>安宁分局</w:t>
      </w:r>
      <w:r>
        <w:rPr>
          <w:rFonts w:hint="eastAsia"/>
          <w:color w:val="auto"/>
        </w:rPr>
        <w:t>委托技术评估机构组织开展技术评估（技术审查、专家评审、现场踏勘），技术评估机构在</w:t>
      </w:r>
      <w:r>
        <w:rPr>
          <w:color w:val="auto"/>
        </w:rPr>
        <w:t>20</w:t>
      </w:r>
      <w:r>
        <w:rPr>
          <w:rFonts w:hint="eastAsia"/>
          <w:color w:val="auto"/>
        </w:rPr>
        <w:t>个工作日内完成技术评估并出具技术评估意见。技术评估为行政审批特别程序，不计入审批时限。</w:t>
      </w:r>
    </w:p>
    <w:p>
      <w:pPr>
        <w:ind w:firstLine="560"/>
      </w:pPr>
      <w:r>
        <w:rPr>
          <w:rFonts w:hint="eastAsia"/>
          <w:color w:val="auto"/>
        </w:rPr>
        <w:t>昆明市生态环境局</w:t>
      </w:r>
      <w:r>
        <w:rPr>
          <w:rFonts w:hint="eastAsia"/>
          <w:color w:val="auto"/>
          <w:lang w:eastAsia="zh-CN"/>
        </w:rPr>
        <w:t>安宁分局</w:t>
      </w:r>
      <w:r>
        <w:rPr>
          <w:rFonts w:hint="eastAsia"/>
          <w:color w:val="auto"/>
        </w:rPr>
        <w:t>在</w:t>
      </w:r>
      <w:r>
        <w:rPr>
          <w:color w:val="auto"/>
        </w:rPr>
        <w:t>14</w:t>
      </w:r>
      <w:r>
        <w:rPr>
          <w:rFonts w:eastAsia="Times New Roman"/>
          <w:color w:val="auto"/>
        </w:rPr>
        <w:t>/</w:t>
      </w:r>
      <w:r>
        <w:rPr>
          <w:color w:val="auto"/>
        </w:rPr>
        <w:t>7</w:t>
      </w:r>
      <w:r>
        <w:rPr>
          <w:rFonts w:hint="eastAsia"/>
        </w:rPr>
        <w:t>个（报告书</w:t>
      </w:r>
      <w:r>
        <w:rPr>
          <w:rFonts w:eastAsia="Times New Roman"/>
        </w:rPr>
        <w:t>/</w:t>
      </w:r>
      <w:r>
        <w:rPr>
          <w:rFonts w:hint="eastAsia"/>
        </w:rPr>
        <w:t>报告表）工作日内做出审批决定。</w:t>
      </w:r>
    </w:p>
    <w:p>
      <w:pPr>
        <w:pStyle w:val="3"/>
        <w:ind w:firstLine="560"/>
      </w:pPr>
      <w:bookmarkStart w:id="77" w:name="_Toc12365"/>
      <w:bookmarkStart w:id="78" w:name="_Toc9555"/>
      <w:r>
        <w:rPr>
          <w:rFonts w:hint="eastAsia"/>
        </w:rPr>
        <w:t>（四）许可决定及送达方式</w:t>
      </w:r>
      <w:bookmarkEnd w:id="77"/>
      <w:bookmarkEnd w:id="78"/>
    </w:p>
    <w:p>
      <w:pPr>
        <w:pStyle w:val="4"/>
      </w:pPr>
      <w:bookmarkStart w:id="79" w:name="_Toc3552"/>
      <w:bookmarkStart w:id="80" w:name="_Toc10086"/>
      <w:r>
        <w:t>1.</w:t>
      </w:r>
      <w:r>
        <w:rPr>
          <w:rFonts w:hint="eastAsia"/>
        </w:rPr>
        <w:t>办理结果</w:t>
      </w:r>
      <w:bookmarkEnd w:id="79"/>
      <w:bookmarkEnd w:id="80"/>
    </w:p>
    <w:p>
      <w:pPr>
        <w:ind w:firstLine="560"/>
        <w:rPr>
          <w:rFonts w:eastAsia="Times New Roman"/>
          <w:color w:val="auto"/>
        </w:rPr>
      </w:pPr>
      <w:r>
        <w:rPr>
          <w:rFonts w:hint="eastAsia"/>
        </w:rPr>
        <w:t>正常审批自做出决定之日起</w:t>
      </w:r>
      <w:r>
        <w:rPr>
          <w:rFonts w:hint="eastAsia"/>
          <w:color w:val="auto"/>
        </w:rPr>
        <w:t>，拟审批结果在</w:t>
      </w:r>
      <w:r>
        <w:rPr>
          <w:rFonts w:hint="eastAsia"/>
          <w:color w:val="auto"/>
          <w:lang w:eastAsia="zh-CN"/>
        </w:rPr>
        <w:t>安宁市人民政府</w:t>
      </w:r>
      <w:r>
        <w:rPr>
          <w:rFonts w:hint="eastAsia"/>
          <w:color w:val="auto"/>
        </w:rPr>
        <w:t>门户网站“</w:t>
      </w:r>
      <w:r>
        <w:rPr>
          <w:rFonts w:hint="eastAsia"/>
          <w:color w:val="auto"/>
          <w:lang w:eastAsia="zh-CN"/>
        </w:rPr>
        <w:t>基层政务公开</w:t>
      </w:r>
      <w:r>
        <w:rPr>
          <w:rFonts w:hint="eastAsia"/>
          <w:color w:val="auto"/>
        </w:rPr>
        <w:t>”栏目公示，公示时间</w:t>
      </w:r>
      <w:r>
        <w:rPr>
          <w:rFonts w:eastAsia="Times New Roman"/>
          <w:color w:val="auto"/>
        </w:rPr>
        <w:t>5</w:t>
      </w:r>
      <w:r>
        <w:rPr>
          <w:rFonts w:hint="eastAsia"/>
          <w:color w:val="auto"/>
        </w:rPr>
        <w:t>个工作日。拟审批公示为行政审批特别程序，不计入审批时限。</w:t>
      </w:r>
    </w:p>
    <w:p>
      <w:pPr>
        <w:ind w:firstLine="560"/>
      </w:pPr>
      <w:r>
        <w:rPr>
          <w:rFonts w:hint="eastAsia"/>
        </w:rPr>
        <w:t>办理结果：对予以审批的建设项目环境影响评价文件，印发“建设项目环境影响评价文件（报告书</w:t>
      </w:r>
      <w:r>
        <w:rPr>
          <w:rFonts w:eastAsia="Times New Roman"/>
        </w:rPr>
        <w:t>/</w:t>
      </w:r>
      <w:r>
        <w:rPr>
          <w:rFonts w:hint="eastAsia"/>
        </w:rPr>
        <w:t>报告表）批复”。</w:t>
      </w:r>
    </w:p>
    <w:p>
      <w:pPr>
        <w:ind w:firstLine="560"/>
        <w:rPr>
          <w:rFonts w:eastAsia="Times New Roman"/>
        </w:rPr>
      </w:pPr>
      <w:r>
        <w:rPr>
          <w:rFonts w:hint="eastAsia"/>
        </w:rPr>
        <w:t>对不予许可的建设项目环境影响评价文件，说明理由并印发《不予行政许可通知》。</w:t>
      </w:r>
    </w:p>
    <w:p>
      <w:pPr>
        <w:pStyle w:val="4"/>
      </w:pPr>
      <w:bookmarkStart w:id="81" w:name="_Toc27452"/>
      <w:bookmarkStart w:id="82" w:name="_Toc2817"/>
      <w:r>
        <w:t>2.</w:t>
      </w:r>
      <w:r>
        <w:rPr>
          <w:rFonts w:hint="eastAsia"/>
        </w:rPr>
        <w:t>送达方式</w:t>
      </w:r>
      <w:bookmarkEnd w:id="81"/>
      <w:bookmarkEnd w:id="82"/>
    </w:p>
    <w:p>
      <w:pPr>
        <w:ind w:firstLine="560"/>
      </w:pPr>
      <w:r>
        <w:rPr>
          <w:rFonts w:hint="eastAsia"/>
        </w:rPr>
        <w:t>依申请人申请通过</w:t>
      </w:r>
      <w:r>
        <w:rPr>
          <w:rFonts w:hint="eastAsia"/>
          <w:kern w:val="0"/>
        </w:rPr>
        <w:t>邮件送达、快递送达、申请人窗口自取</w:t>
      </w:r>
      <w:r>
        <w:rPr>
          <w:rFonts w:hint="eastAsia"/>
        </w:rPr>
        <w:t>方式送达。</w:t>
      </w:r>
    </w:p>
    <w:p>
      <w:pPr>
        <w:pStyle w:val="2"/>
        <w:ind w:firstLine="560"/>
      </w:pPr>
      <w:bookmarkStart w:id="83" w:name="_Toc15054"/>
      <w:bookmarkStart w:id="84" w:name="_Toc875"/>
      <w:r>
        <w:rPr>
          <w:rFonts w:hint="eastAsia"/>
        </w:rPr>
        <w:t>十四、许可服务</w:t>
      </w:r>
      <w:bookmarkEnd w:id="83"/>
      <w:bookmarkEnd w:id="84"/>
    </w:p>
    <w:p>
      <w:pPr>
        <w:pStyle w:val="3"/>
        <w:ind w:firstLine="560"/>
      </w:pPr>
      <w:bookmarkStart w:id="85" w:name="_Toc30377"/>
      <w:bookmarkStart w:id="86" w:name="_Toc20246"/>
      <w:r>
        <w:rPr>
          <w:rFonts w:hint="eastAsia"/>
        </w:rPr>
        <w:t>（一）咨询</w:t>
      </w:r>
      <w:bookmarkEnd w:id="85"/>
      <w:bookmarkEnd w:id="86"/>
    </w:p>
    <w:p>
      <w:pPr>
        <w:ind w:firstLine="560"/>
        <w:outlineLvl w:val="2"/>
        <w:rPr>
          <w:rFonts w:eastAsia="Times New Roman"/>
        </w:rPr>
      </w:pPr>
      <w:bookmarkStart w:id="87" w:name="_Toc7026"/>
      <w:bookmarkStart w:id="88" w:name="_Toc29931"/>
      <w:r>
        <w:rPr>
          <w:rFonts w:eastAsia="Times New Roman"/>
        </w:rPr>
        <w:t>1.</w:t>
      </w:r>
      <w:r>
        <w:rPr>
          <w:rFonts w:hint="eastAsia"/>
        </w:rPr>
        <w:t>咨询方式</w:t>
      </w:r>
      <w:bookmarkEnd w:id="87"/>
      <w:bookmarkEnd w:id="88"/>
    </w:p>
    <w:p>
      <w:pPr>
        <w:kinsoku w:val="0"/>
        <w:ind w:firstLine="560"/>
        <w:rPr>
          <w:color w:val="auto"/>
        </w:rPr>
      </w:pPr>
      <w:r>
        <w:rPr>
          <w:rFonts w:hint="eastAsia"/>
        </w:rPr>
        <w:t>（</w:t>
      </w:r>
      <w:r>
        <w:t>1</w:t>
      </w:r>
      <w:r>
        <w:rPr>
          <w:rFonts w:hint="eastAsia"/>
        </w:rPr>
        <w:t>）窗口咨询：</w:t>
      </w:r>
      <w:r>
        <w:rPr>
          <w:rFonts w:hint="eastAsia"/>
          <w:color w:val="auto"/>
          <w:kern w:val="28"/>
        </w:rPr>
        <w:t>安宁市连然街道金晖路1号宁湖大厦</w:t>
      </w:r>
      <w:r>
        <w:rPr>
          <w:rFonts w:hint="eastAsia"/>
          <w:color w:val="auto"/>
          <w:kern w:val="28"/>
          <w:lang w:eastAsia="zh-CN"/>
        </w:rPr>
        <w:t>裙楼安宁市</w:t>
      </w:r>
      <w:r>
        <w:rPr>
          <w:rFonts w:hint="eastAsia"/>
          <w:color w:val="auto"/>
          <w:kern w:val="28"/>
        </w:rPr>
        <w:t>政务服务中心</w:t>
      </w:r>
      <w:r>
        <w:rPr>
          <w:rFonts w:hint="eastAsia"/>
          <w:color w:val="auto"/>
          <w:kern w:val="28"/>
          <w:lang w:eastAsia="zh-CN"/>
        </w:rPr>
        <w:t>二楼市生态环境分局</w:t>
      </w:r>
      <w:r>
        <w:rPr>
          <w:rFonts w:hint="eastAsia"/>
          <w:color w:val="auto"/>
          <w:kern w:val="28"/>
        </w:rPr>
        <w:t>窗口</w:t>
      </w:r>
      <w:r>
        <w:rPr>
          <w:rFonts w:hint="eastAsia"/>
          <w:color w:val="auto"/>
        </w:rPr>
        <w:t>。</w:t>
      </w:r>
    </w:p>
    <w:p>
      <w:pPr>
        <w:kinsoku w:val="0"/>
        <w:ind w:firstLine="560"/>
        <w:rPr>
          <w:color w:val="auto"/>
        </w:rPr>
      </w:pPr>
      <w:r>
        <w:rPr>
          <w:rFonts w:hint="eastAsia"/>
          <w:color w:val="auto"/>
        </w:rPr>
        <w:t>（</w:t>
      </w:r>
      <w:r>
        <w:rPr>
          <w:color w:val="auto"/>
        </w:rPr>
        <w:t>2</w:t>
      </w:r>
      <w:r>
        <w:rPr>
          <w:rFonts w:hint="eastAsia"/>
          <w:color w:val="auto"/>
        </w:rPr>
        <w:t>）电话咨询：0871-6</w:t>
      </w:r>
      <w:r>
        <w:rPr>
          <w:rFonts w:hint="eastAsia"/>
          <w:color w:val="auto"/>
          <w:lang w:val="en-US" w:eastAsia="zh-CN"/>
        </w:rPr>
        <w:t>8782165</w:t>
      </w:r>
      <w:r>
        <w:rPr>
          <w:rFonts w:hint="eastAsia"/>
          <w:color w:val="auto"/>
        </w:rPr>
        <w:t>。</w:t>
      </w:r>
    </w:p>
    <w:p>
      <w:pPr>
        <w:wordWrap w:val="0"/>
        <w:snapToGrid/>
        <w:ind w:firstLine="560"/>
        <w:contextualSpacing/>
        <w:rPr>
          <w:kern w:val="28"/>
        </w:rPr>
      </w:pPr>
      <w:r>
        <w:rPr>
          <w:rFonts w:hint="eastAsia"/>
          <w:kern w:val="28"/>
        </w:rPr>
        <w:t>（</w:t>
      </w:r>
      <w:r>
        <w:rPr>
          <w:kern w:val="28"/>
        </w:rPr>
        <w:t>3</w:t>
      </w:r>
      <w:r>
        <w:rPr>
          <w:rFonts w:hint="eastAsia"/>
          <w:kern w:val="28"/>
        </w:rPr>
        <w:t>）网络咨询：云南省政务服务网上大厅（网址：https://zwfw.yn.gov.cn）。</w:t>
      </w:r>
    </w:p>
    <w:p>
      <w:pPr>
        <w:kinsoku w:val="0"/>
        <w:ind w:firstLine="560"/>
      </w:pPr>
      <w:r>
        <w:rPr>
          <w:rFonts w:hint="eastAsia"/>
        </w:rPr>
        <w:t>（</w:t>
      </w:r>
      <w:r>
        <w:rPr>
          <w:rFonts w:eastAsia="Times New Roman"/>
        </w:rPr>
        <w:t>4</w:t>
      </w:r>
      <w:r>
        <w:rPr>
          <w:rFonts w:hint="eastAsia"/>
        </w:rPr>
        <w:t>）信函咨询：</w:t>
      </w:r>
    </w:p>
    <w:p>
      <w:pPr>
        <w:kinsoku w:val="0"/>
        <w:ind w:firstLine="560"/>
        <w:rPr>
          <w:color w:val="auto"/>
        </w:rPr>
      </w:pPr>
      <w:r>
        <w:rPr>
          <w:rFonts w:hint="eastAsia"/>
        </w:rPr>
        <w:t>咨询部门名称：</w:t>
      </w:r>
      <w:r>
        <w:rPr>
          <w:rFonts w:hint="eastAsia"/>
          <w:color w:val="auto"/>
        </w:rPr>
        <w:t>昆明市生态环境局</w:t>
      </w:r>
      <w:r>
        <w:rPr>
          <w:rFonts w:hint="eastAsia"/>
          <w:color w:val="auto"/>
          <w:lang w:eastAsia="zh-CN"/>
        </w:rPr>
        <w:t>安宁分局</w:t>
      </w:r>
      <w:r>
        <w:rPr>
          <w:rFonts w:hint="eastAsia"/>
          <w:color w:val="auto"/>
        </w:rPr>
        <w:t>行政审批</w:t>
      </w:r>
      <w:r>
        <w:rPr>
          <w:rFonts w:hint="eastAsia"/>
          <w:color w:val="auto"/>
          <w:lang w:eastAsia="zh-CN"/>
        </w:rPr>
        <w:t>和政策法规科</w:t>
      </w:r>
    </w:p>
    <w:p>
      <w:pPr>
        <w:kinsoku w:val="0"/>
        <w:ind w:firstLine="560"/>
        <w:rPr>
          <w:color w:val="auto"/>
        </w:rPr>
      </w:pPr>
      <w:r>
        <w:rPr>
          <w:rFonts w:hint="eastAsia"/>
          <w:color w:val="auto"/>
        </w:rPr>
        <w:t>通讯地址：</w:t>
      </w:r>
      <w:r>
        <w:rPr>
          <w:rFonts w:hint="eastAsia" w:ascii="Times New Roman" w:hAnsi="Times New Roman" w:cs="Times New Roman"/>
          <w:color w:val="auto"/>
          <w:kern w:val="28"/>
          <w:lang w:val="en-US" w:eastAsia="zh-CN"/>
        </w:rPr>
        <w:t>安宁市草铺街道麒腾路安宁工业园区中小企业科技孵化基地11号厂房昆明市生态环境局安宁分局二楼202室</w:t>
      </w:r>
      <w:r>
        <w:rPr>
          <w:rFonts w:hint="eastAsia"/>
          <w:color w:val="auto"/>
        </w:rPr>
        <w:t>。</w:t>
      </w:r>
    </w:p>
    <w:p>
      <w:pPr>
        <w:kinsoku w:val="0"/>
        <w:ind w:firstLine="560"/>
        <w:rPr>
          <w:color w:val="auto"/>
        </w:rPr>
      </w:pPr>
      <w:r>
        <w:rPr>
          <w:rFonts w:hint="eastAsia"/>
          <w:color w:val="auto"/>
        </w:rPr>
        <w:t>邮政编码：</w:t>
      </w:r>
      <w:r>
        <w:rPr>
          <w:color w:val="auto"/>
        </w:rPr>
        <w:t>650</w:t>
      </w:r>
      <w:r>
        <w:rPr>
          <w:rFonts w:hint="eastAsia"/>
          <w:color w:val="auto"/>
          <w:lang w:val="en-US" w:eastAsia="zh-CN"/>
        </w:rPr>
        <w:t>3</w:t>
      </w:r>
      <w:r>
        <w:rPr>
          <w:color w:val="auto"/>
        </w:rPr>
        <w:t>00</w:t>
      </w:r>
      <w:r>
        <w:rPr>
          <w:rFonts w:hint="eastAsia"/>
          <w:color w:val="auto"/>
        </w:rPr>
        <w:t>。</w:t>
      </w:r>
    </w:p>
    <w:p>
      <w:pPr>
        <w:ind w:firstLine="560"/>
        <w:outlineLvl w:val="2"/>
        <w:rPr>
          <w:rFonts w:eastAsia="Times New Roman"/>
          <w:color w:val="auto"/>
        </w:rPr>
      </w:pPr>
      <w:bookmarkStart w:id="89" w:name="_Toc27111"/>
      <w:bookmarkStart w:id="90" w:name="_Toc9269"/>
      <w:r>
        <w:rPr>
          <w:rFonts w:eastAsia="Times New Roman"/>
          <w:color w:val="auto"/>
        </w:rPr>
        <w:t>2.</w:t>
      </w:r>
      <w:r>
        <w:rPr>
          <w:rFonts w:hint="eastAsia"/>
          <w:color w:val="auto"/>
        </w:rPr>
        <w:t>咨询回复</w:t>
      </w:r>
      <w:bookmarkEnd w:id="89"/>
      <w:bookmarkEnd w:id="90"/>
    </w:p>
    <w:p>
      <w:pPr>
        <w:ind w:firstLine="560"/>
        <w:rPr>
          <w:kern w:val="0"/>
        </w:rPr>
      </w:pPr>
      <w:r>
        <w:rPr>
          <w:rFonts w:hint="eastAsia"/>
          <w:kern w:val="0"/>
        </w:rPr>
        <w:t>通过窗口和电话咨询的，能当场回复的当场回复，不能当场回复的在</w:t>
      </w:r>
      <w:r>
        <w:rPr>
          <w:kern w:val="0"/>
        </w:rPr>
        <w:t>15</w:t>
      </w:r>
      <w:r>
        <w:rPr>
          <w:rFonts w:hint="eastAsia"/>
          <w:kern w:val="0"/>
        </w:rPr>
        <w:t>个工作日内回复；通过网络、信函咨询的，在</w:t>
      </w:r>
      <w:r>
        <w:rPr>
          <w:kern w:val="0"/>
        </w:rPr>
        <w:t>15</w:t>
      </w:r>
      <w:r>
        <w:rPr>
          <w:rFonts w:hint="eastAsia"/>
          <w:kern w:val="0"/>
        </w:rPr>
        <w:t>个工作日内回复。</w:t>
      </w:r>
    </w:p>
    <w:p>
      <w:pPr>
        <w:pStyle w:val="3"/>
        <w:ind w:firstLine="560"/>
      </w:pPr>
      <w:bookmarkStart w:id="91" w:name="_Toc5277"/>
      <w:bookmarkStart w:id="92" w:name="_Toc25627"/>
      <w:r>
        <w:rPr>
          <w:rFonts w:hint="eastAsia"/>
        </w:rPr>
        <w:t>（二）办理进程查询</w:t>
      </w:r>
      <w:bookmarkEnd w:id="91"/>
      <w:bookmarkEnd w:id="92"/>
    </w:p>
    <w:p>
      <w:pPr>
        <w:kinsoku w:val="0"/>
        <w:ind w:firstLine="560"/>
        <w:rPr>
          <w:rFonts w:eastAsia="Times New Roman"/>
          <w:color w:val="000000"/>
          <w:szCs w:val="24"/>
        </w:rPr>
      </w:pPr>
      <w:r>
        <w:rPr>
          <w:rFonts w:hint="eastAsia" w:ascii="宋体" w:hAnsi="宋体" w:cs="宋体"/>
          <w:color w:val="000000"/>
          <w:szCs w:val="24"/>
        </w:rPr>
        <w:t>申请人可通过</w:t>
      </w:r>
      <w:r>
        <w:rPr>
          <w:rFonts w:hint="eastAsia" w:ascii="宋体" w:cs="宋体"/>
          <w:color w:val="000000"/>
          <w:szCs w:val="24"/>
        </w:rPr>
        <w:t>云南政务服务网</w:t>
      </w:r>
      <w:r>
        <w:rPr>
          <w:color w:val="000000"/>
          <w:szCs w:val="24"/>
        </w:rPr>
        <w:t>（https://zwfw.yn.gov.cn）</w:t>
      </w:r>
      <w:r>
        <w:rPr>
          <w:rFonts w:hint="eastAsia" w:ascii="宋体" w:hAnsi="宋体" w:cs="宋体"/>
          <w:color w:val="000000"/>
          <w:szCs w:val="24"/>
        </w:rPr>
        <w:t>查询审批事项办理进程。</w:t>
      </w:r>
    </w:p>
    <w:p>
      <w:pPr>
        <w:pStyle w:val="3"/>
        <w:ind w:firstLine="560"/>
      </w:pPr>
      <w:bookmarkStart w:id="93" w:name="_Toc3117"/>
      <w:bookmarkStart w:id="94" w:name="_Toc12515"/>
      <w:r>
        <w:rPr>
          <w:rFonts w:hint="eastAsia"/>
        </w:rPr>
        <w:t>（三）监督投诉</w:t>
      </w:r>
    </w:p>
    <w:p>
      <w:pPr>
        <w:ind w:firstLine="560"/>
        <w:outlineLvl w:val="2"/>
      </w:pPr>
      <w:bookmarkStart w:id="95" w:name="_Toc15471"/>
      <w:bookmarkStart w:id="96" w:name="_Toc17623"/>
      <w:r>
        <w:rPr>
          <w:rFonts w:hint="eastAsia"/>
        </w:rPr>
        <w:t>1.昆明市生态环境局纪委</w:t>
      </w:r>
      <w:bookmarkEnd w:id="95"/>
      <w:bookmarkEnd w:id="96"/>
    </w:p>
    <w:p>
      <w:pPr>
        <w:ind w:firstLine="560"/>
      </w:pPr>
      <w:r>
        <w:rPr>
          <w:rFonts w:hint="eastAsia"/>
        </w:rPr>
        <w:t>投诉电话：0871-63966770；</w:t>
      </w:r>
    </w:p>
    <w:p>
      <w:pPr>
        <w:ind w:firstLine="560"/>
      </w:pPr>
      <w:r>
        <w:rPr>
          <w:rFonts w:hint="eastAsia"/>
        </w:rPr>
        <w:t>投诉地址：昆明市生态环境局纪委（市级行政中心4号楼349室）；</w:t>
      </w:r>
    </w:p>
    <w:p>
      <w:pPr>
        <w:ind w:firstLine="560"/>
      </w:pPr>
      <w:r>
        <w:rPr>
          <w:rFonts w:hint="eastAsia"/>
        </w:rPr>
        <w:t>邮政编码：650500。</w:t>
      </w:r>
    </w:p>
    <w:p>
      <w:pPr>
        <w:ind w:firstLine="560"/>
        <w:outlineLvl w:val="2"/>
      </w:pPr>
      <w:bookmarkStart w:id="97" w:name="_Toc26844"/>
      <w:bookmarkStart w:id="98" w:name="_Toc25619"/>
      <w:r>
        <w:rPr>
          <w:rFonts w:hint="eastAsia"/>
        </w:rPr>
        <w:t>2.网上投诉</w:t>
      </w:r>
      <w:bookmarkEnd w:id="97"/>
      <w:bookmarkEnd w:id="98"/>
      <w:bookmarkStart w:id="140" w:name="_GoBack"/>
      <w:bookmarkEnd w:id="140"/>
    </w:p>
    <w:p>
      <w:pPr>
        <w:pStyle w:val="3"/>
        <w:ind w:firstLine="560"/>
        <w:rPr>
          <w:rFonts w:hint="eastAsia"/>
        </w:rPr>
      </w:pPr>
      <w:r>
        <w:rPr>
          <w:rFonts w:hint="eastAsia"/>
        </w:rPr>
        <w:t>昆明市生态环境局门户网站（网址：</w:t>
      </w:r>
      <w:r>
        <w:rPr>
          <w:rFonts w:hint="eastAsia"/>
        </w:rPr>
        <w:fldChar w:fldCharType="begin"/>
      </w:r>
      <w:r>
        <w:rPr>
          <w:rFonts w:hint="eastAsia"/>
        </w:rPr>
        <w:instrText xml:space="preserve"> HYPERLINK "http://sthjj.km.gov.cn）。" </w:instrText>
      </w:r>
      <w:r>
        <w:rPr>
          <w:rFonts w:hint="eastAsia"/>
        </w:rPr>
        <w:fldChar w:fldCharType="separate"/>
      </w:r>
      <w:r>
        <w:rPr>
          <w:rStyle w:val="18"/>
          <w:rFonts w:hint="eastAsia"/>
        </w:rPr>
        <w:t>http://sthjj.km.gov.cn）。</w:t>
      </w:r>
      <w:r>
        <w:rPr>
          <w:rFonts w:hint="eastAsia"/>
        </w:rPr>
        <w:fldChar w:fldCharType="end"/>
      </w:r>
    </w:p>
    <w:p>
      <w:pPr>
        <w:pStyle w:val="3"/>
        <w:ind w:firstLine="560"/>
      </w:pPr>
      <w:r>
        <w:rPr>
          <w:rFonts w:hint="eastAsia"/>
        </w:rPr>
        <w:t>（四）行政复议或行政诉讼</w:t>
      </w:r>
      <w:bookmarkEnd w:id="93"/>
      <w:bookmarkEnd w:id="94"/>
    </w:p>
    <w:p>
      <w:pPr>
        <w:ind w:firstLine="560"/>
        <w:rPr>
          <w:rFonts w:hint="eastAsia" w:ascii="Times New Roman" w:hAnsi="Times New Roman" w:cs="Times New Roman"/>
          <w:color w:val="auto"/>
        </w:rPr>
      </w:pPr>
      <w:r>
        <w:rPr>
          <w:rFonts w:hint="eastAsia"/>
          <w:color w:val="auto"/>
        </w:rPr>
        <w:t>自知道审批决定下达之日起，</w:t>
      </w:r>
      <w:r>
        <w:rPr>
          <w:rFonts w:hint="eastAsia" w:ascii="Times New Roman" w:hAnsi="Times New Roman" w:cs="Times New Roman"/>
          <w:color w:val="auto"/>
        </w:rPr>
        <w:t>六十日内可向安宁市人民政府提起行政复议，也可以在六个月内向</w:t>
      </w:r>
      <w:r>
        <w:rPr>
          <w:rFonts w:hint="eastAsia" w:ascii="Times New Roman" w:hAnsi="Times New Roman" w:cs="Times New Roman"/>
          <w:color w:val="auto"/>
          <w:lang w:eastAsia="zh-CN"/>
        </w:rPr>
        <w:t>昆明铁路运输法院</w:t>
      </w:r>
      <w:r>
        <w:rPr>
          <w:rFonts w:hint="eastAsia" w:ascii="Times New Roman" w:hAnsi="Times New Roman" w:cs="Times New Roman"/>
          <w:color w:val="auto"/>
        </w:rPr>
        <w:t>提起行政诉讼。</w:t>
      </w:r>
    </w:p>
    <w:p>
      <w:pPr>
        <w:ind w:firstLine="0" w:firstLineChars="0"/>
        <w:rPr>
          <w:color w:val="auto"/>
        </w:rPr>
      </w:pPr>
    </w:p>
    <w:p>
      <w:pPr>
        <w:widowControl/>
        <w:ind w:firstLine="560"/>
        <w:rPr>
          <w:rFonts w:ascii="宋体" w:hAnsi="宋体" w:cs="宋体"/>
          <w:color w:val="auto"/>
          <w:kern w:val="0"/>
          <w:szCs w:val="24"/>
        </w:rPr>
        <w:sectPr>
          <w:footerReference r:id="rId13" w:type="default"/>
          <w:footerReference r:id="rId14" w:type="even"/>
          <w:pgSz w:w="11900" w:h="16830"/>
          <w:pgMar w:top="2098" w:right="1474" w:bottom="1985" w:left="1588" w:header="851" w:footer="992" w:gutter="0"/>
          <w:pgNumType w:start="1"/>
          <w:cols w:space="720" w:num="1"/>
          <w:docGrid w:linePitch="381" w:charSpace="0"/>
        </w:sectPr>
      </w:pPr>
    </w:p>
    <w:p>
      <w:pPr>
        <w:pStyle w:val="2"/>
        <w:ind w:firstLine="0" w:firstLineChars="0"/>
        <w:jc w:val="left"/>
        <w:sectPr>
          <w:footerReference r:id="rId17" w:type="first"/>
          <w:footerReference r:id="rId15" w:type="default"/>
          <w:footerReference r:id="rId16" w:type="even"/>
          <w:pgSz w:w="11900" w:h="16830"/>
          <w:pgMar w:top="1430" w:right="1467" w:bottom="1485" w:left="1145" w:header="850" w:footer="992" w:gutter="0"/>
          <w:pgNumType w:fmt="numberInDash"/>
          <w:cols w:space="720" w:num="1"/>
          <w:titlePg/>
          <w:docGrid w:linePitch="326" w:charSpace="0"/>
        </w:sectPr>
      </w:pPr>
      <w:bookmarkStart w:id="99" w:name="_Toc116"/>
      <w:bookmarkStart w:id="100" w:name="_Toc2811"/>
      <w:bookmarkStart w:id="101" w:name="_Toc130125909"/>
      <w:bookmarkStart w:id="102" w:name="_Toc7287"/>
      <w:bookmarkStart w:id="103" w:name="_Toc130124948"/>
    </w:p>
    <w:p>
      <w:pPr>
        <w:pStyle w:val="2"/>
        <w:ind w:firstLine="0" w:firstLineChars="0"/>
        <w:jc w:val="left"/>
      </w:pPr>
      <w:r>
        <w:t>附件1</w:t>
      </w:r>
      <w:bookmarkEnd w:id="99"/>
      <w:bookmarkEnd w:id="100"/>
      <w:r>
        <w:rPr>
          <w:rFonts w:hint="eastAsia"/>
        </w:rPr>
        <w:t>：</w:t>
      </w:r>
      <w:bookmarkEnd w:id="101"/>
      <w:bookmarkEnd w:id="102"/>
      <w:bookmarkEnd w:id="103"/>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w:t>
      </w:r>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关于发布《昆明市生态环境局建设项目环境影响评价文件分级审批目录（2022年本）》的通知</w:t>
      </w:r>
    </w:p>
    <w:p>
      <w:pPr>
        <w:spacing w:line="240" w:lineRule="auto"/>
        <w:ind w:firstLine="0" w:firstLineChars="0"/>
        <w:jc w:val="center"/>
        <w:rPr>
          <w:rFonts w:ascii="宋体" w:cs="宋体"/>
          <w:color w:val="000000"/>
          <w:szCs w:val="24"/>
        </w:rPr>
      </w:pPr>
      <w:r>
        <w:rPr>
          <w:rFonts w:ascii="宋体" w:cs="宋体"/>
          <w:color w:val="000000"/>
          <w:szCs w:val="24"/>
        </w:rPr>
        <w:drawing>
          <wp:inline distT="0" distB="0" distL="114300" distR="114300">
            <wp:extent cx="5882640" cy="7216140"/>
            <wp:effectExtent l="0" t="0" r="3810" b="3810"/>
            <wp:docPr id="1" name="图片 1" descr="昆生环通〔2022〕23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昆生环通〔2022〕23号-1"/>
                    <pic:cNvPicPr>
                      <a:picLocks noChangeAspect="1"/>
                    </pic:cNvPicPr>
                  </pic:nvPicPr>
                  <pic:blipFill>
                    <a:blip r:embed="rId23"/>
                    <a:srcRect t="13165"/>
                    <a:stretch>
                      <a:fillRect/>
                    </a:stretch>
                  </pic:blipFill>
                  <pic:spPr>
                    <a:xfrm>
                      <a:off x="0" y="0"/>
                      <a:ext cx="5882640" cy="7216140"/>
                    </a:xfrm>
                    <a:prstGeom prst="rect">
                      <a:avLst/>
                    </a:prstGeom>
                    <a:noFill/>
                    <a:ln>
                      <a:noFill/>
                    </a:ln>
                  </pic:spPr>
                </pic:pic>
              </a:graphicData>
            </a:graphic>
          </wp:inline>
        </w:drawing>
      </w:r>
    </w:p>
    <w:p>
      <w:pPr>
        <w:spacing w:line="240" w:lineRule="auto"/>
        <w:ind w:firstLine="0" w:firstLineChars="0"/>
        <w:jc w:val="center"/>
        <w:rPr>
          <w:rFonts w:ascii="宋体" w:cs="宋体"/>
          <w:color w:val="000000"/>
          <w:szCs w:val="24"/>
        </w:rPr>
      </w:pPr>
      <w:r>
        <w:rPr>
          <w:rFonts w:ascii="宋体" w:cs="宋体"/>
          <w:color w:val="000000"/>
          <w:szCs w:val="24"/>
        </w:rPr>
        <w:drawing>
          <wp:inline distT="0" distB="0" distL="114300" distR="114300">
            <wp:extent cx="5882640" cy="8319770"/>
            <wp:effectExtent l="0" t="0" r="3810" b="5080"/>
            <wp:docPr id="2" name="图片 2" descr="昆生环通〔2022〕23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昆生环通〔2022〕23号-2"/>
                    <pic:cNvPicPr>
                      <a:picLocks noChangeAspect="1"/>
                    </pic:cNvPicPr>
                  </pic:nvPicPr>
                  <pic:blipFill>
                    <a:blip r:embed="rId24"/>
                    <a:stretch>
                      <a:fillRect/>
                    </a:stretch>
                  </pic:blipFill>
                  <pic:spPr>
                    <a:xfrm>
                      <a:off x="0" y="0"/>
                      <a:ext cx="5882640" cy="8319770"/>
                    </a:xfrm>
                    <a:prstGeom prst="rect">
                      <a:avLst/>
                    </a:prstGeom>
                    <a:noFill/>
                    <a:ln>
                      <a:noFill/>
                    </a:ln>
                  </pic:spPr>
                </pic:pic>
              </a:graphicData>
            </a:graphic>
          </wp:inline>
        </w:drawing>
      </w:r>
    </w:p>
    <w:p>
      <w:pPr>
        <w:spacing w:line="240" w:lineRule="auto"/>
        <w:ind w:firstLine="0" w:firstLineChars="0"/>
        <w:jc w:val="center"/>
        <w:rPr>
          <w:rFonts w:ascii="宋体" w:cs="宋体"/>
          <w:color w:val="000000"/>
          <w:szCs w:val="24"/>
        </w:rPr>
      </w:pPr>
      <w:r>
        <w:rPr>
          <w:rFonts w:ascii="宋体" w:cs="宋体"/>
          <w:color w:val="000000"/>
          <w:szCs w:val="24"/>
        </w:rPr>
        <w:drawing>
          <wp:inline distT="0" distB="0" distL="114300" distR="114300">
            <wp:extent cx="5882640" cy="8319770"/>
            <wp:effectExtent l="0" t="0" r="3810" b="5080"/>
            <wp:docPr id="3" name="图片 3" descr="昆生环通〔2022〕23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昆生环通〔2022〕23号-3"/>
                    <pic:cNvPicPr>
                      <a:picLocks noChangeAspect="1"/>
                    </pic:cNvPicPr>
                  </pic:nvPicPr>
                  <pic:blipFill>
                    <a:blip r:embed="rId25"/>
                    <a:stretch>
                      <a:fillRect/>
                    </a:stretch>
                  </pic:blipFill>
                  <pic:spPr>
                    <a:xfrm>
                      <a:off x="0" y="0"/>
                      <a:ext cx="5882640" cy="8319770"/>
                    </a:xfrm>
                    <a:prstGeom prst="rect">
                      <a:avLst/>
                    </a:prstGeom>
                    <a:noFill/>
                    <a:ln>
                      <a:noFill/>
                    </a:ln>
                  </pic:spPr>
                </pic:pic>
              </a:graphicData>
            </a:graphic>
          </wp:inline>
        </w:drawing>
      </w:r>
      <w:r>
        <w:rPr>
          <w:rFonts w:ascii="宋体" w:cs="宋体"/>
          <w:color w:val="000000"/>
          <w:szCs w:val="24"/>
        </w:rPr>
        <w:drawing>
          <wp:inline distT="0" distB="0" distL="114300" distR="114300">
            <wp:extent cx="5882640" cy="8319770"/>
            <wp:effectExtent l="0" t="0" r="3810" b="5080"/>
            <wp:docPr id="4" name="图片 4" descr="昆生环通〔2022〕23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昆生环通〔2022〕23号-4"/>
                    <pic:cNvPicPr>
                      <a:picLocks noChangeAspect="1"/>
                    </pic:cNvPicPr>
                  </pic:nvPicPr>
                  <pic:blipFill>
                    <a:blip r:embed="rId26"/>
                    <a:stretch>
                      <a:fillRect/>
                    </a:stretch>
                  </pic:blipFill>
                  <pic:spPr>
                    <a:xfrm>
                      <a:off x="0" y="0"/>
                      <a:ext cx="5882640" cy="8319770"/>
                    </a:xfrm>
                    <a:prstGeom prst="rect">
                      <a:avLst/>
                    </a:prstGeom>
                    <a:noFill/>
                    <a:ln>
                      <a:noFill/>
                    </a:ln>
                  </pic:spPr>
                </pic:pic>
              </a:graphicData>
            </a:graphic>
          </wp:inline>
        </w:drawing>
      </w:r>
    </w:p>
    <w:p>
      <w:pPr>
        <w:spacing w:line="240" w:lineRule="auto"/>
        <w:ind w:firstLine="0" w:firstLineChars="0"/>
        <w:jc w:val="center"/>
        <w:rPr>
          <w:rFonts w:ascii="宋体" w:cs="宋体"/>
          <w:color w:val="000000"/>
          <w:szCs w:val="24"/>
        </w:rPr>
      </w:pPr>
    </w:p>
    <w:p>
      <w:pPr>
        <w:spacing w:line="240" w:lineRule="auto"/>
        <w:ind w:firstLine="0" w:firstLineChars="0"/>
        <w:jc w:val="center"/>
        <w:rPr>
          <w:rFonts w:ascii="宋体" w:cs="宋体"/>
          <w:color w:val="000000"/>
          <w:szCs w:val="24"/>
        </w:rPr>
      </w:pPr>
    </w:p>
    <w:p>
      <w:pPr>
        <w:spacing w:line="240" w:lineRule="auto"/>
        <w:ind w:firstLine="0" w:firstLineChars="0"/>
        <w:jc w:val="center"/>
        <w:rPr>
          <w:rFonts w:ascii="宋体" w:cs="宋体"/>
          <w:color w:val="000000"/>
          <w:szCs w:val="24"/>
        </w:rPr>
        <w:sectPr>
          <w:pgSz w:w="11900" w:h="16830"/>
          <w:pgMar w:top="1430" w:right="1467" w:bottom="1485" w:left="1145" w:header="850" w:footer="992" w:gutter="0"/>
          <w:pgNumType w:fmt="numberInDash"/>
          <w:cols w:space="720" w:num="1"/>
          <w:titlePg/>
          <w:docGrid w:linePitch="326" w:charSpace="0"/>
        </w:sectPr>
      </w:pPr>
    </w:p>
    <w:p>
      <w:pPr>
        <w:adjustRightInd/>
        <w:snapToGrid/>
        <w:spacing w:line="240" w:lineRule="auto"/>
        <w:ind w:firstLine="0" w:firstLineChars="0"/>
        <w:jc w:val="center"/>
        <w:rPr>
          <w:rFonts w:ascii="方正小标宋_GBK" w:hAnsi="方正小标宋_GBK" w:eastAsia="方正小标宋_GBK" w:cs="方正小标宋_GBK"/>
          <w:sz w:val="40"/>
          <w:szCs w:val="40"/>
        </w:rPr>
      </w:pPr>
      <w:r>
        <w:rPr>
          <w:rFonts w:hint="eastAsia" w:ascii="方正小标宋_GBK" w:hAnsi="方正小标宋_GBK" w:eastAsia="方正小标宋_GBK" w:cs="方正小标宋_GBK"/>
          <w:sz w:val="40"/>
          <w:szCs w:val="40"/>
        </w:rPr>
        <w:t>《昆明市生态环境局建设项目环境影响评价文件分级审批目录（</w:t>
      </w:r>
      <w:r>
        <w:rPr>
          <w:rFonts w:eastAsia="方正小标宋_GBK"/>
          <w:sz w:val="40"/>
          <w:szCs w:val="40"/>
        </w:rPr>
        <w:t>2022</w:t>
      </w:r>
      <w:r>
        <w:rPr>
          <w:rFonts w:hint="eastAsia" w:ascii="方正小标宋_GBK" w:hAnsi="方正小标宋_GBK" w:eastAsia="方正小标宋_GBK" w:cs="方正小标宋_GBK"/>
          <w:sz w:val="40"/>
          <w:szCs w:val="40"/>
        </w:rPr>
        <w:t>年本）》</w:t>
      </w:r>
    </w:p>
    <w:tbl>
      <w:tblPr>
        <w:tblStyle w:val="14"/>
        <w:tblW w:w="15120" w:type="dxa"/>
        <w:jc w:val="center"/>
        <w:tblLayout w:type="autofit"/>
        <w:tblCellMar>
          <w:top w:w="57" w:type="dxa"/>
          <w:left w:w="57" w:type="dxa"/>
          <w:bottom w:w="57" w:type="dxa"/>
          <w:right w:w="57" w:type="dxa"/>
        </w:tblCellMar>
      </w:tblPr>
      <w:tblGrid>
        <w:gridCol w:w="525"/>
        <w:gridCol w:w="2804"/>
        <w:gridCol w:w="3652"/>
        <w:gridCol w:w="1522"/>
        <w:gridCol w:w="3749"/>
        <w:gridCol w:w="1260"/>
        <w:gridCol w:w="1608"/>
      </w:tblGrid>
      <w:tr>
        <w:tblPrEx>
          <w:tblCellMar>
            <w:top w:w="57" w:type="dxa"/>
            <w:left w:w="57" w:type="dxa"/>
            <w:bottom w:w="57" w:type="dxa"/>
            <w:right w:w="57" w:type="dxa"/>
          </w:tblCellMar>
        </w:tblPrEx>
        <w:trPr>
          <w:trHeight w:val="544" w:hRule="atLeast"/>
          <w:jc w:val="center"/>
        </w:trPr>
        <w:tc>
          <w:tcPr>
            <w:tcW w:w="3329" w:type="dxa"/>
            <w:gridSpan w:val="2"/>
            <w:tcBorders>
              <w:top w:val="single" w:color="000000" w:sz="4" w:space="0"/>
              <w:left w:val="single" w:color="000000" w:sz="4" w:space="0"/>
              <w:bottom w:val="single" w:color="000000" w:sz="4" w:space="0"/>
              <w:right w:val="single" w:color="000000" w:sz="4" w:space="0"/>
              <w:tl2br w:val="single" w:color="auto" w:sz="4" w:space="0"/>
            </w:tcBorders>
            <w:shd w:val="clear" w:color="auto" w:fill="auto"/>
            <w:vAlign w:val="center"/>
          </w:tcPr>
          <w:p>
            <w:pPr>
              <w:widowControl/>
              <w:adjustRightInd/>
              <w:spacing w:line="240" w:lineRule="auto"/>
              <w:ind w:firstLine="2100" w:firstLineChars="1000"/>
              <w:textAlignment w:val="center"/>
              <w:rPr>
                <w:rFonts w:eastAsia="宋体"/>
                <w:color w:val="000000"/>
                <w:sz w:val="21"/>
              </w:rPr>
            </w:pPr>
            <w:r>
              <w:rPr>
                <w:rFonts w:eastAsia="黑体"/>
                <w:color w:val="000000"/>
                <w:sz w:val="21"/>
                <w:lang w:bidi="ar"/>
              </w:rPr>
              <w:t>环评类别</w:t>
            </w:r>
          </w:p>
          <w:p>
            <w:pPr>
              <w:widowControl/>
              <w:adjustRightInd/>
              <w:snapToGrid/>
              <w:spacing w:line="240" w:lineRule="auto"/>
              <w:ind w:firstLine="210" w:firstLineChars="100"/>
              <w:textAlignment w:val="center"/>
              <w:rPr>
                <w:rFonts w:eastAsia="宋体"/>
                <w:color w:val="000000"/>
                <w:sz w:val="21"/>
              </w:rPr>
            </w:pPr>
            <w:r>
              <w:rPr>
                <w:rFonts w:eastAsia="黑体"/>
                <w:color w:val="000000"/>
                <w:sz w:val="21"/>
                <w:lang w:bidi="ar"/>
              </w:rPr>
              <w:t>项目类别</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w:t>
            </w:r>
            <w:r>
              <w:rPr>
                <w:rFonts w:eastAsia="宋体"/>
                <w:color w:val="000000"/>
                <w:sz w:val="21"/>
                <w:lang w:bidi="ar"/>
              </w:rPr>
              <w:t xml:space="preserve"> </w:t>
            </w:r>
            <w:r>
              <w:rPr>
                <w:rFonts w:eastAsia="黑体"/>
                <w:color w:val="000000"/>
                <w:sz w:val="21"/>
                <w:lang w:bidi="ar"/>
              </w:rPr>
              <w:t>告</w:t>
            </w:r>
            <w:r>
              <w:rPr>
                <w:rFonts w:eastAsia="宋体"/>
                <w:color w:val="000000"/>
                <w:sz w:val="21"/>
                <w:lang w:bidi="ar"/>
              </w:rPr>
              <w:t xml:space="preserve"> </w:t>
            </w:r>
            <w:r>
              <w:rPr>
                <w:rFonts w:eastAsia="黑体"/>
                <w:color w:val="000000"/>
                <w:sz w:val="21"/>
                <w:lang w:bidi="ar"/>
              </w:rPr>
              <w:t>书</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报告书分类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w:t>
            </w:r>
            <w:r>
              <w:rPr>
                <w:rFonts w:eastAsia="宋体"/>
                <w:color w:val="000000"/>
                <w:sz w:val="21"/>
                <w:lang w:bidi="ar"/>
              </w:rPr>
              <w:t xml:space="preserve"> </w:t>
            </w:r>
            <w:r>
              <w:rPr>
                <w:rFonts w:eastAsia="黑体"/>
                <w:color w:val="000000"/>
                <w:sz w:val="21"/>
                <w:lang w:bidi="ar"/>
              </w:rPr>
              <w:t>告</w:t>
            </w:r>
            <w:r>
              <w:rPr>
                <w:rFonts w:eastAsia="宋体"/>
                <w:color w:val="000000"/>
                <w:sz w:val="21"/>
                <w:lang w:bidi="ar"/>
              </w:rPr>
              <w:t xml:space="preserve"> </w:t>
            </w:r>
            <w:r>
              <w:rPr>
                <w:rFonts w:eastAsia="黑体"/>
                <w:color w:val="000000"/>
                <w:sz w:val="21"/>
                <w:lang w:bidi="ar"/>
              </w:rPr>
              <w:t>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报告表分类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1"/>
              </w:rPr>
            </w:pPr>
            <w:r>
              <w:rPr>
                <w:rFonts w:eastAsia="黑体"/>
                <w:color w:val="000000"/>
                <w:sz w:val="21"/>
                <w:lang w:bidi="ar"/>
              </w:rPr>
              <w:t>备注</w:t>
            </w: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一、农业</w:t>
            </w:r>
            <w:r>
              <w:rPr>
                <w:rFonts w:eastAsia="宋体"/>
                <w:color w:val="000000"/>
                <w:sz w:val="20"/>
                <w:szCs w:val="20"/>
                <w:lang w:bidi="ar"/>
              </w:rPr>
              <w:t xml:space="preserve"> 01</w:t>
            </w:r>
            <w:r>
              <w:rPr>
                <w:rFonts w:eastAsia="黑体"/>
                <w:color w:val="000000"/>
                <w:sz w:val="20"/>
                <w:szCs w:val="20"/>
                <w:lang w:bidi="ar"/>
              </w:rPr>
              <w:t>、林业</w:t>
            </w:r>
            <w:r>
              <w:rPr>
                <w:rFonts w:eastAsia="宋体"/>
                <w:color w:val="000000"/>
                <w:sz w:val="20"/>
                <w:szCs w:val="20"/>
                <w:lang w:bidi="ar"/>
              </w:rPr>
              <w:t xml:space="preserve"> 02</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left="-56" w:leftChars="-20" w:right="-140" w:rightChars="-50" w:firstLine="0" w:firstLineChars="0"/>
              <w:jc w:val="center"/>
              <w:textAlignment w:val="center"/>
              <w:rPr>
                <w:rFonts w:eastAsia="宋体"/>
                <w:color w:val="000000"/>
                <w:sz w:val="20"/>
                <w:szCs w:val="20"/>
              </w:rPr>
            </w:pPr>
            <w:r>
              <w:rPr>
                <w:rFonts w:eastAsia="仿宋"/>
                <w:color w:val="000000"/>
                <w:sz w:val="20"/>
                <w:szCs w:val="20"/>
                <w:lang w:bidi="ar"/>
              </w:rPr>
              <w:t>农产品基地项目（含药材基地）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经济林基地项目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原料林基地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二、畜牧业</w:t>
            </w:r>
            <w:r>
              <w:rPr>
                <w:rFonts w:eastAsia="宋体"/>
                <w:color w:val="000000"/>
                <w:sz w:val="20"/>
                <w:szCs w:val="20"/>
                <w:lang w:bidi="ar"/>
              </w:rPr>
              <w:t xml:space="preserve"> 03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牲畜饲养</w:t>
            </w:r>
            <w:r>
              <w:rPr>
                <w:rFonts w:eastAsia="宋体"/>
                <w:color w:val="000000"/>
                <w:sz w:val="20"/>
                <w:szCs w:val="20"/>
                <w:lang w:bidi="ar"/>
              </w:rPr>
              <w:t xml:space="preserve"> 031</w:t>
            </w:r>
            <w:r>
              <w:rPr>
                <w:rFonts w:eastAsia="仿宋"/>
                <w:color w:val="000000"/>
                <w:sz w:val="20"/>
                <w:szCs w:val="20"/>
                <w:lang w:bidi="ar"/>
              </w:rPr>
              <w:t>；家禽饲养</w:t>
            </w:r>
            <w:r>
              <w:rPr>
                <w:rFonts w:eastAsia="宋体"/>
                <w:color w:val="000000"/>
                <w:sz w:val="20"/>
                <w:szCs w:val="20"/>
                <w:lang w:bidi="ar"/>
              </w:rPr>
              <w:t xml:space="preserve"> 032</w:t>
            </w:r>
            <w:r>
              <w:rPr>
                <w:rFonts w:eastAsia="仿宋"/>
                <w:color w:val="000000"/>
                <w:sz w:val="20"/>
                <w:szCs w:val="20"/>
                <w:lang w:bidi="ar"/>
              </w:rPr>
              <w:t>；其他畜牧业</w:t>
            </w:r>
            <w:r>
              <w:rPr>
                <w:rFonts w:eastAsia="宋体"/>
                <w:color w:val="000000"/>
                <w:sz w:val="20"/>
                <w:szCs w:val="20"/>
                <w:lang w:bidi="ar"/>
              </w:rPr>
              <w:t xml:space="preserve"> 039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年出栏生猪</w:t>
            </w:r>
            <w:r>
              <w:rPr>
                <w:rFonts w:eastAsia="宋体"/>
                <w:color w:val="000000"/>
                <w:sz w:val="20"/>
                <w:szCs w:val="20"/>
                <w:lang w:bidi="ar"/>
              </w:rPr>
              <w:t>5000</w:t>
            </w:r>
            <w:r>
              <w:rPr>
                <w:rFonts w:eastAsia="仿宋"/>
                <w:color w:val="000000"/>
                <w:sz w:val="20"/>
                <w:szCs w:val="20"/>
                <w:lang w:bidi="ar"/>
              </w:rPr>
              <w:t>头（其他畜禽种类折合猪的养殖量）及以上的规模化畜禽养殖；存栏生猪</w:t>
            </w:r>
            <w:r>
              <w:rPr>
                <w:rFonts w:eastAsia="宋体"/>
                <w:color w:val="000000"/>
                <w:sz w:val="20"/>
                <w:szCs w:val="20"/>
                <w:lang w:bidi="ar"/>
              </w:rPr>
              <w:t>2500</w:t>
            </w:r>
            <w:r>
              <w:rPr>
                <w:rFonts w:eastAsia="仿宋"/>
                <w:color w:val="000000"/>
                <w:sz w:val="20"/>
                <w:szCs w:val="20"/>
                <w:lang w:bidi="ar"/>
              </w:rPr>
              <w:t>头（其他畜禽种类折合猪的养殖规模）及以上无出栏量的规模化畜禽养殖；涉及环境敏感区的规模化畜禽养殖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三、渔业</w:t>
            </w:r>
            <w:r>
              <w:rPr>
                <w:rFonts w:eastAsia="宋体"/>
                <w:color w:val="000000"/>
                <w:sz w:val="20"/>
                <w:szCs w:val="20"/>
                <w:lang w:bidi="ar"/>
              </w:rPr>
              <w:t xml:space="preserve"> 04</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海水养殖</w:t>
            </w:r>
            <w:r>
              <w:rPr>
                <w:rFonts w:eastAsia="宋体"/>
                <w:color w:val="000000"/>
                <w:sz w:val="20"/>
                <w:szCs w:val="20"/>
                <w:lang w:bidi="ar"/>
              </w:rPr>
              <w:t xml:space="preserve"> 0411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用海面积</w:t>
            </w:r>
            <w:r>
              <w:rPr>
                <w:rFonts w:eastAsia="宋体"/>
                <w:color w:val="000000"/>
                <w:sz w:val="20"/>
                <w:szCs w:val="20"/>
                <w:lang w:bidi="ar"/>
              </w:rPr>
              <w:t>1000</w:t>
            </w:r>
            <w:r>
              <w:rPr>
                <w:rFonts w:eastAsia="仿宋"/>
                <w:color w:val="000000"/>
                <w:sz w:val="20"/>
                <w:szCs w:val="20"/>
                <w:lang w:bidi="ar"/>
              </w:rPr>
              <w:t>亩及以上的海水养殖（不含底播、藻类养殖）；围海养殖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用海面积</w:t>
            </w:r>
            <w:r>
              <w:rPr>
                <w:rFonts w:eastAsia="宋体"/>
                <w:color w:val="000000"/>
                <w:sz w:val="20"/>
                <w:szCs w:val="20"/>
                <w:lang w:bidi="ar"/>
              </w:rPr>
              <w:t>1000</w:t>
            </w:r>
            <w:r>
              <w:rPr>
                <w:rFonts w:eastAsia="仿宋"/>
                <w:color w:val="000000"/>
                <w:sz w:val="20"/>
                <w:szCs w:val="20"/>
                <w:lang w:bidi="ar"/>
              </w:rPr>
              <w:t>亩以下</w:t>
            </w:r>
            <w:r>
              <w:rPr>
                <w:rFonts w:eastAsia="宋体"/>
                <w:color w:val="000000"/>
                <w:sz w:val="20"/>
                <w:szCs w:val="20"/>
                <w:lang w:bidi="ar"/>
              </w:rPr>
              <w:t>300</w:t>
            </w:r>
            <w:r>
              <w:rPr>
                <w:rFonts w:eastAsia="仿宋"/>
                <w:color w:val="000000"/>
                <w:sz w:val="20"/>
                <w:szCs w:val="20"/>
                <w:lang w:bidi="ar"/>
              </w:rPr>
              <w:t>亩及以上的网箱养殖、海洋牧场（不含海洋人工鱼礁）、苔茷养殖等；用海面积</w:t>
            </w:r>
            <w:r>
              <w:rPr>
                <w:rFonts w:eastAsia="宋体"/>
                <w:color w:val="000000"/>
                <w:sz w:val="20"/>
                <w:szCs w:val="20"/>
                <w:lang w:bidi="ar"/>
              </w:rPr>
              <w:t>1000</w:t>
            </w:r>
            <w:r>
              <w:rPr>
                <w:rFonts w:eastAsia="仿宋"/>
                <w:color w:val="000000"/>
                <w:sz w:val="20"/>
                <w:szCs w:val="20"/>
                <w:lang w:bidi="ar"/>
              </w:rPr>
              <w:t>亩以下</w:t>
            </w:r>
            <w:r>
              <w:rPr>
                <w:rFonts w:eastAsia="宋体"/>
                <w:color w:val="000000"/>
                <w:sz w:val="20"/>
                <w:szCs w:val="20"/>
                <w:lang w:bidi="ar"/>
              </w:rPr>
              <w:t xml:space="preserve">100 </w:t>
            </w:r>
            <w:r>
              <w:rPr>
                <w:rFonts w:eastAsia="仿宋"/>
                <w:color w:val="000000"/>
                <w:sz w:val="20"/>
                <w:szCs w:val="20"/>
                <w:lang w:bidi="ar"/>
              </w:rPr>
              <w:t>亩及以上的水产养殖基地、工厂化养殖、高位池（提水）养殖；用海面积</w:t>
            </w:r>
            <w:r>
              <w:rPr>
                <w:rFonts w:eastAsia="宋体"/>
                <w:color w:val="000000"/>
                <w:sz w:val="20"/>
                <w:szCs w:val="20"/>
                <w:lang w:bidi="ar"/>
              </w:rPr>
              <w:t>1500</w:t>
            </w:r>
            <w:r>
              <w:rPr>
                <w:rFonts w:eastAsia="仿宋"/>
                <w:color w:val="000000"/>
                <w:sz w:val="20"/>
                <w:szCs w:val="20"/>
                <w:lang w:bidi="ar"/>
              </w:rPr>
              <w:t>亩及以上的底播养殖、藻类养殖；涉及环境敏感区的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内陆养殖</w:t>
            </w:r>
            <w:r>
              <w:rPr>
                <w:rFonts w:eastAsia="宋体"/>
                <w:color w:val="000000"/>
                <w:sz w:val="20"/>
                <w:szCs w:val="20"/>
                <w:lang w:bidi="ar"/>
              </w:rPr>
              <w:t xml:space="preserve"> 0412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网箱、围网投饵养殖；涉及环境敏感区的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四、煤炭开采和洗选业</w:t>
            </w:r>
            <w:r>
              <w:rPr>
                <w:rFonts w:eastAsia="宋体"/>
                <w:color w:val="000000"/>
                <w:sz w:val="20"/>
                <w:szCs w:val="20"/>
                <w:lang w:bidi="ar"/>
              </w:rPr>
              <w:t xml:space="preserve"> 06</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烟煤和无烟煤开采洗选</w:t>
            </w:r>
            <w:r>
              <w:rPr>
                <w:rFonts w:eastAsia="宋体"/>
                <w:color w:val="000000"/>
                <w:sz w:val="20"/>
                <w:szCs w:val="20"/>
                <w:lang w:bidi="ar"/>
              </w:rPr>
              <w:t xml:space="preserve"> 061</w:t>
            </w:r>
            <w:r>
              <w:rPr>
                <w:rFonts w:eastAsia="仿宋"/>
                <w:color w:val="000000"/>
                <w:sz w:val="20"/>
                <w:szCs w:val="20"/>
                <w:lang w:bidi="ar"/>
              </w:rPr>
              <w:t>；褐煤开采洗选</w:t>
            </w:r>
            <w:r>
              <w:rPr>
                <w:rFonts w:eastAsia="宋体"/>
                <w:color w:val="000000"/>
                <w:sz w:val="20"/>
                <w:szCs w:val="20"/>
                <w:lang w:bidi="ar"/>
              </w:rPr>
              <w:t xml:space="preserve"> 062</w:t>
            </w:r>
            <w:r>
              <w:rPr>
                <w:rFonts w:eastAsia="仿宋"/>
                <w:color w:val="000000"/>
                <w:sz w:val="20"/>
                <w:szCs w:val="20"/>
                <w:lang w:bidi="ar"/>
              </w:rPr>
              <w:t>；其他煤炭采选</w:t>
            </w:r>
            <w:r>
              <w:rPr>
                <w:rFonts w:eastAsia="宋体"/>
                <w:color w:val="000000"/>
                <w:sz w:val="20"/>
                <w:szCs w:val="20"/>
                <w:lang w:bidi="ar"/>
              </w:rPr>
              <w:t xml:space="preserve"> 069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煤炭开采</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煤炭洗选、配煤；煤炭储存、集运；风井场地、瓦斯抽放站；矿区修复治理工程（含煤矿火烧区治理工程）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16"/>
                <w:szCs w:val="16"/>
              </w:rPr>
            </w:pPr>
            <w:r>
              <w:rPr>
                <w:rFonts w:hint="eastAsia" w:eastAsia="仿宋"/>
                <w:color w:val="000000"/>
                <w:sz w:val="20"/>
                <w:szCs w:val="20"/>
                <w:lang w:bidi="ar"/>
              </w:rPr>
              <w:t>此类项目不包括国务院有关部门核准的煤炭开发项目。</w:t>
            </w: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五、石油和天然气开采业</w:t>
            </w:r>
            <w:r>
              <w:rPr>
                <w:rFonts w:eastAsia="宋体"/>
                <w:color w:val="000000"/>
                <w:sz w:val="20"/>
                <w:szCs w:val="20"/>
                <w:lang w:bidi="ar"/>
              </w:rPr>
              <w:t xml:space="preserve"> 07</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陆地石油开采</w:t>
            </w:r>
            <w:r>
              <w:rPr>
                <w:rFonts w:eastAsia="宋体"/>
                <w:color w:val="000000"/>
                <w:sz w:val="20"/>
                <w:szCs w:val="20"/>
                <w:lang w:bidi="ar"/>
              </w:rPr>
              <w:t xml:space="preserve"> 0711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石油开采新区块开发；页岩油开采；涉及环境敏感区的（含内部集输管线建设）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陆地天然气开采</w:t>
            </w:r>
            <w:r>
              <w:rPr>
                <w:rFonts w:eastAsia="宋体"/>
                <w:color w:val="000000"/>
                <w:sz w:val="20"/>
                <w:szCs w:val="20"/>
                <w:lang w:bidi="ar"/>
              </w:rPr>
              <w:t>0721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新区块开发；年生产能力</w:t>
            </w:r>
            <w:r>
              <w:rPr>
                <w:rFonts w:eastAsia="宋体"/>
                <w:color w:val="000000"/>
                <w:sz w:val="20"/>
                <w:szCs w:val="20"/>
                <w:lang w:bidi="ar"/>
              </w:rPr>
              <w:t>1</w:t>
            </w:r>
            <w:r>
              <w:rPr>
                <w:rFonts w:eastAsia="仿宋"/>
                <w:color w:val="000000"/>
                <w:sz w:val="20"/>
                <w:szCs w:val="20"/>
                <w:lang w:bidi="ar"/>
              </w:rPr>
              <w:t>亿立方米及以上的煤层气开采；涉及环境敏感区的（含内部集输管线建设）</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六、黑色金属矿采选业</w:t>
            </w:r>
            <w:r>
              <w:rPr>
                <w:rFonts w:eastAsia="宋体"/>
                <w:color w:val="000000"/>
                <w:sz w:val="20"/>
                <w:szCs w:val="20"/>
                <w:lang w:bidi="ar"/>
              </w:rPr>
              <w:t xml:space="preserve"> 08</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铁矿采选</w:t>
            </w:r>
            <w:r>
              <w:rPr>
                <w:rFonts w:eastAsia="宋体"/>
                <w:color w:val="000000"/>
                <w:sz w:val="20"/>
                <w:szCs w:val="20"/>
                <w:lang w:bidi="ar"/>
              </w:rPr>
              <w:t xml:space="preserve"> 081</w:t>
            </w:r>
            <w:r>
              <w:rPr>
                <w:rFonts w:eastAsia="仿宋"/>
                <w:color w:val="000000"/>
                <w:sz w:val="20"/>
                <w:szCs w:val="20"/>
                <w:lang w:bidi="ar"/>
              </w:rPr>
              <w:t>；锰矿、铬矿采选</w:t>
            </w:r>
            <w:r>
              <w:rPr>
                <w:rFonts w:eastAsia="宋体"/>
                <w:color w:val="000000"/>
                <w:sz w:val="20"/>
                <w:szCs w:val="20"/>
                <w:lang w:bidi="ar"/>
              </w:rPr>
              <w:t xml:space="preserve"> 082</w:t>
            </w:r>
            <w:r>
              <w:rPr>
                <w:rFonts w:eastAsia="仿宋"/>
                <w:color w:val="000000"/>
                <w:sz w:val="20"/>
                <w:szCs w:val="20"/>
                <w:lang w:bidi="ar"/>
              </w:rPr>
              <w:t>；其他黑色金属矿采选</w:t>
            </w:r>
            <w:r>
              <w:rPr>
                <w:rFonts w:eastAsia="宋体"/>
                <w:color w:val="000000"/>
                <w:sz w:val="20"/>
                <w:szCs w:val="20"/>
                <w:lang w:bidi="ar"/>
              </w:rPr>
              <w:t xml:space="preserve"> 089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20"/>
                <w:szCs w:val="20"/>
              </w:rPr>
            </w:pPr>
            <w:r>
              <w:rPr>
                <w:rFonts w:eastAsia="仿宋"/>
                <w:color w:val="000000"/>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512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七、有色金属矿采选业</w:t>
            </w:r>
            <w:r>
              <w:rPr>
                <w:rFonts w:eastAsia="宋体"/>
                <w:color w:val="000000"/>
                <w:sz w:val="20"/>
                <w:szCs w:val="20"/>
                <w:lang w:bidi="ar"/>
              </w:rPr>
              <w:t xml:space="preserve"> 09</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常用有色金属矿采选</w:t>
            </w:r>
            <w:r>
              <w:rPr>
                <w:rFonts w:eastAsia="宋体"/>
                <w:color w:val="000000"/>
                <w:sz w:val="20"/>
                <w:szCs w:val="20"/>
                <w:lang w:bidi="ar"/>
              </w:rPr>
              <w:t xml:space="preserve">091 </w:t>
            </w:r>
            <w:r>
              <w:rPr>
                <w:rFonts w:eastAsia="仿宋"/>
                <w:color w:val="000000"/>
                <w:sz w:val="20"/>
                <w:szCs w:val="20"/>
                <w:lang w:bidi="ar"/>
              </w:rPr>
              <w:t>；贵金属矿采选</w:t>
            </w:r>
            <w:r>
              <w:rPr>
                <w:rFonts w:eastAsia="宋体"/>
                <w:color w:val="000000"/>
                <w:sz w:val="20"/>
                <w:szCs w:val="20"/>
                <w:lang w:bidi="ar"/>
              </w:rPr>
              <w:t>092</w:t>
            </w:r>
            <w:r>
              <w:rPr>
                <w:rFonts w:eastAsia="仿宋"/>
                <w:color w:val="000000"/>
                <w:sz w:val="20"/>
                <w:szCs w:val="20"/>
                <w:lang w:bidi="ar"/>
              </w:rPr>
              <w:t>；稀有稀土金属矿采选</w:t>
            </w:r>
            <w:r>
              <w:rPr>
                <w:rFonts w:eastAsia="宋体"/>
                <w:color w:val="000000"/>
                <w:sz w:val="20"/>
                <w:szCs w:val="20"/>
                <w:lang w:bidi="ar"/>
              </w:rPr>
              <w:t xml:space="preserve"> 093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全部（含新建或扩建的独立尾矿库；不含单独的矿石破碎、集运；不含矿区修复治理工程）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八、非金属矿采选业</w:t>
            </w:r>
            <w:r>
              <w:rPr>
                <w:rFonts w:eastAsia="宋体"/>
                <w:color w:val="000000"/>
                <w:sz w:val="20"/>
                <w:szCs w:val="20"/>
                <w:lang w:bidi="ar"/>
              </w:rPr>
              <w:t xml:space="preserve"> 10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土砂石开采</w:t>
            </w:r>
            <w:r>
              <w:rPr>
                <w:rFonts w:eastAsia="宋体"/>
                <w:color w:val="000000"/>
                <w:sz w:val="20"/>
                <w:szCs w:val="20"/>
                <w:lang w:bidi="ar"/>
              </w:rPr>
              <w:t xml:space="preserve"> 101</w:t>
            </w:r>
            <w:r>
              <w:rPr>
                <w:rFonts w:eastAsia="仿宋"/>
                <w:color w:val="000000"/>
                <w:sz w:val="20"/>
                <w:szCs w:val="20"/>
                <w:lang w:bidi="ar"/>
              </w:rPr>
              <w:t>（不含河道采砂项目）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化学矿开采</w:t>
            </w:r>
            <w:r>
              <w:rPr>
                <w:rFonts w:eastAsia="宋体"/>
                <w:color w:val="000000"/>
                <w:sz w:val="20"/>
                <w:szCs w:val="20"/>
                <w:lang w:bidi="ar"/>
              </w:rPr>
              <w:t xml:space="preserve"> 102</w:t>
            </w:r>
            <w:r>
              <w:rPr>
                <w:rFonts w:eastAsia="仿宋"/>
                <w:color w:val="000000"/>
                <w:sz w:val="20"/>
                <w:szCs w:val="20"/>
                <w:lang w:bidi="ar"/>
              </w:rPr>
              <w:t>；石棉及其他非金属矿采选</w:t>
            </w:r>
            <w:r>
              <w:rPr>
                <w:rFonts w:eastAsia="宋体"/>
                <w:color w:val="000000"/>
                <w:sz w:val="20"/>
                <w:szCs w:val="20"/>
                <w:lang w:bidi="ar"/>
              </w:rPr>
              <w:t xml:space="preserve"> 109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全部（不含单独的矿石破碎、集运；不含矿区修复治理工程）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单独的矿石破碎、集运；矿区修复治理工程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采盐</w:t>
            </w:r>
            <w:r>
              <w:rPr>
                <w:rFonts w:eastAsia="宋体"/>
                <w:color w:val="000000"/>
                <w:sz w:val="20"/>
                <w:szCs w:val="20"/>
                <w:lang w:bidi="ar"/>
              </w:rPr>
              <w:t xml:space="preserve"> 103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井盐</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湖盐、海盐</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九、其他采矿业</w:t>
            </w:r>
            <w:r>
              <w:rPr>
                <w:rFonts w:eastAsia="宋体"/>
                <w:color w:val="000000"/>
                <w:sz w:val="20"/>
                <w:szCs w:val="20"/>
                <w:lang w:bidi="ar"/>
              </w:rPr>
              <w:t xml:space="preserve"> 12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其他采矿业</w:t>
            </w:r>
            <w:r>
              <w:rPr>
                <w:rFonts w:eastAsia="宋体"/>
                <w:color w:val="000000"/>
                <w:sz w:val="20"/>
                <w:szCs w:val="20"/>
                <w:lang w:bidi="ar"/>
              </w:rPr>
              <w:t xml:space="preserve"> 120</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十、农副食品加工业</w:t>
            </w:r>
            <w:r>
              <w:rPr>
                <w:rFonts w:eastAsia="宋体"/>
                <w:color w:val="000000"/>
                <w:sz w:val="20"/>
                <w:szCs w:val="20"/>
                <w:lang w:bidi="ar"/>
              </w:rPr>
              <w:t xml:space="preserve"> 13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谷物磨制</w:t>
            </w:r>
            <w:r>
              <w:rPr>
                <w:rFonts w:eastAsia="宋体"/>
                <w:color w:val="000000"/>
                <w:sz w:val="20"/>
                <w:szCs w:val="20"/>
                <w:lang w:bidi="ar"/>
              </w:rPr>
              <w:t xml:space="preserve"> 131*</w:t>
            </w:r>
            <w:r>
              <w:rPr>
                <w:rFonts w:eastAsia="仿宋"/>
                <w:color w:val="000000"/>
                <w:sz w:val="20"/>
                <w:szCs w:val="20"/>
                <w:lang w:bidi="ar"/>
              </w:rPr>
              <w:t>；饲料加工</w:t>
            </w:r>
            <w:r>
              <w:rPr>
                <w:rFonts w:eastAsia="宋体"/>
                <w:color w:val="000000"/>
                <w:sz w:val="20"/>
                <w:szCs w:val="20"/>
                <w:lang w:bidi="ar"/>
              </w:rPr>
              <w:t xml:space="preserve"> 132*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含发酵工艺的；年加工</w:t>
            </w:r>
            <w:r>
              <w:rPr>
                <w:rFonts w:eastAsia="宋体"/>
                <w:color w:val="000000"/>
                <w:sz w:val="20"/>
                <w:szCs w:val="20"/>
                <w:lang w:bidi="ar"/>
              </w:rPr>
              <w:t>1</w:t>
            </w:r>
            <w:r>
              <w:rPr>
                <w:rFonts w:eastAsia="仿宋"/>
                <w:color w:val="000000"/>
                <w:sz w:val="20"/>
                <w:szCs w:val="20"/>
                <w:lang w:bidi="ar"/>
              </w:rPr>
              <w:t>万吨及以上的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植物油加工</w:t>
            </w:r>
            <w:r>
              <w:rPr>
                <w:rFonts w:eastAsia="宋体"/>
                <w:color w:val="000000"/>
                <w:sz w:val="20"/>
                <w:szCs w:val="20"/>
                <w:lang w:bidi="ar"/>
              </w:rPr>
              <w:t xml:space="preserve"> 133*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除单纯分装、调和外的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制糖业</w:t>
            </w:r>
            <w:r>
              <w:rPr>
                <w:rFonts w:eastAsia="宋体"/>
                <w:color w:val="000000"/>
                <w:sz w:val="20"/>
                <w:szCs w:val="20"/>
                <w:lang w:bidi="ar"/>
              </w:rPr>
              <w:t xml:space="preserve"> 134*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日加工糖料能力</w:t>
            </w:r>
            <w:r>
              <w:rPr>
                <w:rFonts w:eastAsia="宋体"/>
                <w:color w:val="000000"/>
                <w:sz w:val="20"/>
                <w:szCs w:val="20"/>
                <w:lang w:bidi="ar"/>
              </w:rPr>
              <w:t>1000</w:t>
            </w:r>
            <w:r>
              <w:rPr>
                <w:rFonts w:eastAsia="仿宋"/>
                <w:color w:val="000000"/>
                <w:sz w:val="20"/>
                <w:szCs w:val="20"/>
                <w:lang w:bidi="ar"/>
              </w:rPr>
              <w:t>吨及以上的原糖生产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其他（单纯分装的除外）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屠宰及肉类加工</w:t>
            </w:r>
            <w:r>
              <w:rPr>
                <w:rFonts w:eastAsia="宋体"/>
                <w:color w:val="000000"/>
                <w:sz w:val="20"/>
                <w:szCs w:val="20"/>
                <w:lang w:bidi="ar"/>
              </w:rPr>
              <w:t xml:space="preserve"> 135*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屠宰生猪</w:t>
            </w:r>
            <w:r>
              <w:rPr>
                <w:rFonts w:eastAsia="宋体"/>
                <w:color w:val="000000"/>
                <w:sz w:val="20"/>
                <w:szCs w:val="20"/>
                <w:lang w:bidi="ar"/>
              </w:rPr>
              <w:t xml:space="preserve"> 10 </w:t>
            </w:r>
            <w:r>
              <w:rPr>
                <w:rFonts w:eastAsia="仿宋"/>
                <w:color w:val="000000"/>
                <w:sz w:val="20"/>
                <w:szCs w:val="20"/>
                <w:lang w:bidi="ar"/>
              </w:rPr>
              <w:t>万头、肉牛</w:t>
            </w:r>
            <w:r>
              <w:rPr>
                <w:rFonts w:eastAsia="宋体"/>
                <w:color w:val="000000"/>
                <w:sz w:val="20"/>
                <w:szCs w:val="20"/>
                <w:lang w:bidi="ar"/>
              </w:rPr>
              <w:t xml:space="preserve"> 1 </w:t>
            </w:r>
            <w:r>
              <w:rPr>
                <w:rFonts w:eastAsia="仿宋"/>
                <w:color w:val="000000"/>
                <w:sz w:val="20"/>
                <w:szCs w:val="20"/>
                <w:lang w:bidi="ar"/>
              </w:rPr>
              <w:t>万头、肉羊</w:t>
            </w:r>
            <w:r>
              <w:rPr>
                <w:rFonts w:eastAsia="宋体"/>
                <w:color w:val="000000"/>
                <w:sz w:val="20"/>
                <w:szCs w:val="20"/>
                <w:lang w:bidi="ar"/>
              </w:rPr>
              <w:t xml:space="preserve"> 15</w:t>
            </w:r>
            <w:r>
              <w:rPr>
                <w:rFonts w:eastAsia="仿宋"/>
                <w:color w:val="000000"/>
                <w:sz w:val="20"/>
                <w:szCs w:val="20"/>
                <w:lang w:bidi="ar"/>
              </w:rPr>
              <w:t>万只、禽类</w:t>
            </w:r>
            <w:r>
              <w:rPr>
                <w:rFonts w:eastAsia="宋体"/>
                <w:color w:val="000000"/>
                <w:sz w:val="20"/>
                <w:szCs w:val="20"/>
                <w:lang w:bidi="ar"/>
              </w:rPr>
              <w:t xml:space="preserve"> 1000 </w:t>
            </w:r>
            <w:r>
              <w:rPr>
                <w:rFonts w:eastAsia="仿宋"/>
                <w:color w:val="000000"/>
                <w:sz w:val="20"/>
                <w:szCs w:val="20"/>
                <w:lang w:bidi="ar"/>
              </w:rPr>
              <w:t>万只及以上的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其他屠宰；年加工</w:t>
            </w:r>
            <w:r>
              <w:rPr>
                <w:rFonts w:eastAsia="宋体"/>
                <w:color w:val="000000"/>
                <w:sz w:val="20"/>
                <w:szCs w:val="20"/>
                <w:lang w:bidi="ar"/>
              </w:rPr>
              <w:t>2</w:t>
            </w:r>
            <w:r>
              <w:rPr>
                <w:rFonts w:eastAsia="仿宋"/>
                <w:color w:val="000000"/>
                <w:sz w:val="20"/>
                <w:szCs w:val="20"/>
                <w:lang w:bidi="ar"/>
              </w:rPr>
              <w:t>万吨及以上的肉类加工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水产品加工</w:t>
            </w:r>
            <w:r>
              <w:rPr>
                <w:rFonts w:eastAsia="宋体"/>
                <w:color w:val="000000"/>
                <w:sz w:val="20"/>
                <w:szCs w:val="20"/>
                <w:lang w:bidi="ar"/>
              </w:rPr>
              <w:t xml:space="preserve"> 136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鱼油提取及制品制造；年加工</w:t>
            </w:r>
            <w:r>
              <w:rPr>
                <w:rFonts w:eastAsia="宋体"/>
                <w:color w:val="000000"/>
                <w:sz w:val="20"/>
                <w:szCs w:val="20"/>
                <w:lang w:bidi="ar"/>
              </w:rPr>
              <w:t>10</w:t>
            </w:r>
            <w:r>
              <w:rPr>
                <w:rFonts w:eastAsia="仿宋"/>
                <w:color w:val="000000"/>
                <w:sz w:val="20"/>
                <w:szCs w:val="20"/>
                <w:lang w:bidi="ar"/>
              </w:rPr>
              <w:t>万吨及以上的；涉及环境敏感区的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其他农副食品加工</w:t>
            </w:r>
            <w:r>
              <w:rPr>
                <w:rFonts w:eastAsia="宋体"/>
                <w:color w:val="000000"/>
                <w:sz w:val="20"/>
                <w:szCs w:val="20"/>
                <w:lang w:bidi="ar"/>
              </w:rPr>
              <w:t xml:space="preserve"> 139*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含发酵工艺的淀粉、淀粉糖制造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不含发酵工艺的淀粉、淀粉糖制造；淀粉制品制造；豆制品制造以上均不含单纯分装的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十一、食品制造业</w:t>
            </w:r>
            <w:r>
              <w:rPr>
                <w:rFonts w:eastAsia="宋体"/>
                <w:color w:val="000000"/>
                <w:sz w:val="20"/>
                <w:szCs w:val="20"/>
                <w:lang w:bidi="ar"/>
              </w:rPr>
              <w:t xml:space="preserve"> 14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糖果、巧克力及蜜饯制造</w:t>
            </w:r>
            <w:r>
              <w:rPr>
                <w:rFonts w:eastAsia="宋体"/>
                <w:color w:val="000000"/>
                <w:sz w:val="20"/>
                <w:szCs w:val="20"/>
                <w:lang w:bidi="ar"/>
              </w:rPr>
              <w:t xml:space="preserve"> 142*</w:t>
            </w:r>
            <w:r>
              <w:rPr>
                <w:rFonts w:eastAsia="仿宋"/>
                <w:color w:val="000000"/>
                <w:sz w:val="20"/>
                <w:szCs w:val="20"/>
                <w:lang w:bidi="ar"/>
              </w:rPr>
              <w:t>；方便食品制造</w:t>
            </w:r>
            <w:r>
              <w:rPr>
                <w:rFonts w:eastAsia="宋体"/>
                <w:color w:val="000000"/>
                <w:sz w:val="20"/>
                <w:szCs w:val="20"/>
                <w:lang w:bidi="ar"/>
              </w:rPr>
              <w:t xml:space="preserve"> 143*</w:t>
            </w:r>
            <w:r>
              <w:rPr>
                <w:rFonts w:eastAsia="仿宋"/>
                <w:color w:val="000000"/>
                <w:sz w:val="20"/>
                <w:szCs w:val="20"/>
                <w:lang w:bidi="ar"/>
              </w:rPr>
              <w:t>；罐头食品制造</w:t>
            </w:r>
            <w:r>
              <w:rPr>
                <w:rFonts w:eastAsia="宋体"/>
                <w:color w:val="000000"/>
                <w:sz w:val="20"/>
                <w:szCs w:val="20"/>
                <w:lang w:bidi="ar"/>
              </w:rPr>
              <w:t>145*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除单纯分装外的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乳制品制造</w:t>
            </w:r>
            <w:r>
              <w:rPr>
                <w:rFonts w:eastAsia="宋体"/>
                <w:color w:val="000000"/>
                <w:sz w:val="20"/>
                <w:szCs w:val="20"/>
                <w:lang w:bidi="ar"/>
              </w:rPr>
              <w:t xml:space="preserve"> 144*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除单纯混合、分装外的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调味品、发酵制品制造</w:t>
            </w:r>
            <w:r>
              <w:rPr>
                <w:rFonts w:eastAsia="宋体"/>
                <w:color w:val="000000"/>
                <w:sz w:val="20"/>
                <w:szCs w:val="20"/>
                <w:lang w:bidi="ar"/>
              </w:rPr>
              <w:t xml:space="preserve"> 146*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有发酵工艺的味精、柠檬酸、赖氨酸、酵母制造；年产</w:t>
            </w:r>
            <w:r>
              <w:rPr>
                <w:rFonts w:eastAsia="宋体"/>
                <w:color w:val="000000"/>
                <w:sz w:val="20"/>
                <w:szCs w:val="20"/>
                <w:lang w:bidi="ar"/>
              </w:rPr>
              <w:t>2</w:t>
            </w:r>
            <w:r>
              <w:rPr>
                <w:rFonts w:eastAsia="仿宋"/>
                <w:color w:val="000000"/>
                <w:sz w:val="20"/>
                <w:szCs w:val="20"/>
                <w:lang w:bidi="ar"/>
              </w:rPr>
              <w:t>万吨及以上且有发酵工艺的酱油、食醋制造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其他（单纯混合、分装的除外）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其他食品制造</w:t>
            </w:r>
            <w:r>
              <w:rPr>
                <w:rFonts w:eastAsia="宋体"/>
                <w:color w:val="000000"/>
                <w:sz w:val="20"/>
                <w:szCs w:val="20"/>
                <w:lang w:bidi="ar"/>
              </w:rPr>
              <w:t xml:space="preserve"> 149*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有发酵工艺的食品添加剂制造；有发酵工艺的饲料添加剂制造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盐加工；营养食品制造、保健食品制造、冷冻饮品及食用冰制造、无发酵工艺的食品及饲料添加剂制造、其他未列明食品制造</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以上均不含单纯混合、分装的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十二、酒、饮料制造业</w:t>
            </w:r>
            <w:r>
              <w:rPr>
                <w:rFonts w:eastAsia="宋体"/>
                <w:color w:val="000000"/>
                <w:sz w:val="20"/>
                <w:szCs w:val="20"/>
                <w:lang w:bidi="ar"/>
              </w:rPr>
              <w:t xml:space="preserve"> 15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酒的制造</w:t>
            </w:r>
            <w:r>
              <w:rPr>
                <w:rFonts w:eastAsia="宋体"/>
                <w:color w:val="000000"/>
                <w:sz w:val="20"/>
                <w:szCs w:val="20"/>
                <w:lang w:bidi="ar"/>
              </w:rPr>
              <w:t xml:space="preserve"> 151*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有发酵工艺的（年生产能力</w:t>
            </w:r>
            <w:r>
              <w:rPr>
                <w:rFonts w:eastAsia="宋体"/>
                <w:color w:val="000000"/>
                <w:sz w:val="20"/>
                <w:szCs w:val="20"/>
                <w:lang w:bidi="ar"/>
              </w:rPr>
              <w:t>1000</w:t>
            </w:r>
            <w:r>
              <w:rPr>
                <w:rFonts w:eastAsia="仿宋"/>
                <w:color w:val="000000"/>
                <w:sz w:val="20"/>
                <w:szCs w:val="20"/>
                <w:lang w:bidi="ar"/>
              </w:rPr>
              <w:t>千升以下的除外）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其他（单纯勾兑的除外）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饮料制造</w:t>
            </w:r>
            <w:r>
              <w:rPr>
                <w:rFonts w:eastAsia="宋体"/>
                <w:color w:val="000000"/>
                <w:sz w:val="20"/>
                <w:szCs w:val="20"/>
                <w:lang w:bidi="ar"/>
              </w:rPr>
              <w:t xml:space="preserve"> 152*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有发酵工艺、原汁生产的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十三、烟草制品业</w:t>
            </w:r>
            <w:r>
              <w:rPr>
                <w:rFonts w:eastAsia="宋体"/>
                <w:color w:val="000000"/>
                <w:sz w:val="20"/>
                <w:szCs w:val="20"/>
                <w:lang w:bidi="ar"/>
              </w:rPr>
              <w:t xml:space="preserve"> 16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卷烟制造</w:t>
            </w:r>
            <w:r>
              <w:rPr>
                <w:rFonts w:eastAsia="宋体"/>
                <w:color w:val="000000"/>
                <w:sz w:val="20"/>
                <w:szCs w:val="20"/>
                <w:lang w:bidi="ar"/>
              </w:rPr>
              <w:t xml:space="preserve"> 162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十四、纺织业</w:t>
            </w:r>
            <w:r>
              <w:rPr>
                <w:rFonts w:eastAsia="宋体"/>
                <w:color w:val="000000"/>
                <w:sz w:val="20"/>
                <w:szCs w:val="20"/>
                <w:lang w:bidi="ar"/>
              </w:rPr>
              <w:t xml:space="preserve"> 17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棉纺织及印染精加工</w:t>
            </w:r>
            <w:r>
              <w:rPr>
                <w:rFonts w:eastAsia="宋体"/>
                <w:color w:val="000000"/>
                <w:sz w:val="20"/>
                <w:szCs w:val="20"/>
                <w:lang w:bidi="ar"/>
              </w:rPr>
              <w:t>171*</w:t>
            </w:r>
            <w:r>
              <w:rPr>
                <w:rFonts w:eastAsia="仿宋"/>
                <w:color w:val="000000"/>
                <w:sz w:val="20"/>
                <w:szCs w:val="20"/>
                <w:lang w:bidi="ar"/>
              </w:rPr>
              <w:t>；毛纺织及染整精加工</w:t>
            </w:r>
            <w:r>
              <w:rPr>
                <w:rFonts w:eastAsia="宋体"/>
                <w:color w:val="000000"/>
                <w:sz w:val="20"/>
                <w:szCs w:val="20"/>
                <w:lang w:bidi="ar"/>
              </w:rPr>
              <w:t xml:space="preserve"> 172*</w:t>
            </w:r>
            <w:r>
              <w:rPr>
                <w:rFonts w:eastAsia="仿宋"/>
                <w:color w:val="000000"/>
                <w:sz w:val="20"/>
                <w:szCs w:val="20"/>
                <w:lang w:bidi="ar"/>
              </w:rPr>
              <w:t>；麻纺织及染整精加工</w:t>
            </w:r>
            <w:r>
              <w:rPr>
                <w:rFonts w:eastAsia="宋体"/>
                <w:color w:val="000000"/>
                <w:sz w:val="20"/>
                <w:szCs w:val="20"/>
                <w:lang w:bidi="ar"/>
              </w:rPr>
              <w:t xml:space="preserve"> 173*</w:t>
            </w:r>
            <w:r>
              <w:rPr>
                <w:rFonts w:eastAsia="仿宋"/>
                <w:color w:val="000000"/>
                <w:sz w:val="20"/>
                <w:szCs w:val="20"/>
                <w:lang w:bidi="ar"/>
              </w:rPr>
              <w:t>；丝绢纺织及印染精加工</w:t>
            </w:r>
            <w:r>
              <w:rPr>
                <w:rFonts w:eastAsia="宋体"/>
                <w:color w:val="000000"/>
                <w:sz w:val="20"/>
                <w:szCs w:val="20"/>
                <w:lang w:bidi="ar"/>
              </w:rPr>
              <w:t xml:space="preserve"> 174*</w:t>
            </w:r>
            <w:r>
              <w:rPr>
                <w:rFonts w:eastAsia="仿宋"/>
                <w:color w:val="000000"/>
                <w:sz w:val="20"/>
                <w:szCs w:val="20"/>
                <w:lang w:bidi="ar"/>
              </w:rPr>
              <w:t>；化纤织造及印染精加工</w:t>
            </w:r>
            <w:r>
              <w:rPr>
                <w:rFonts w:eastAsia="宋体"/>
                <w:color w:val="000000"/>
                <w:sz w:val="20"/>
                <w:szCs w:val="20"/>
                <w:lang w:bidi="ar"/>
              </w:rPr>
              <w:t xml:space="preserve"> 175*</w:t>
            </w:r>
            <w:r>
              <w:rPr>
                <w:rFonts w:eastAsia="仿宋"/>
                <w:color w:val="000000"/>
                <w:sz w:val="20"/>
                <w:szCs w:val="20"/>
                <w:lang w:bidi="ar"/>
              </w:rPr>
              <w:t>；针织或钩针编织物及其制品制造</w:t>
            </w:r>
            <w:r>
              <w:rPr>
                <w:rFonts w:eastAsia="宋体"/>
                <w:color w:val="000000"/>
                <w:sz w:val="20"/>
                <w:szCs w:val="20"/>
                <w:lang w:bidi="ar"/>
              </w:rPr>
              <w:t xml:space="preserve"> 176*</w:t>
            </w:r>
            <w:r>
              <w:rPr>
                <w:rFonts w:eastAsia="仿宋"/>
                <w:color w:val="000000"/>
                <w:sz w:val="20"/>
                <w:szCs w:val="20"/>
                <w:lang w:bidi="ar"/>
              </w:rPr>
              <w:t>；家用纺织制成品制造</w:t>
            </w:r>
            <w:r>
              <w:rPr>
                <w:rFonts w:eastAsia="宋体"/>
                <w:color w:val="000000"/>
                <w:sz w:val="20"/>
                <w:szCs w:val="20"/>
                <w:lang w:bidi="ar"/>
              </w:rPr>
              <w:t>177*</w:t>
            </w:r>
            <w:r>
              <w:rPr>
                <w:rFonts w:eastAsia="仿宋"/>
                <w:color w:val="000000"/>
                <w:sz w:val="20"/>
                <w:szCs w:val="20"/>
                <w:lang w:bidi="ar"/>
              </w:rPr>
              <w:t>；产业用纺织制成品制造</w:t>
            </w:r>
            <w:r>
              <w:rPr>
                <w:rFonts w:eastAsia="宋体"/>
                <w:color w:val="000000"/>
                <w:sz w:val="20"/>
                <w:szCs w:val="20"/>
                <w:lang w:bidi="ar"/>
              </w:rPr>
              <w:t xml:space="preserve"> 178*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有洗毛、脱胶、缫丝工艺的；染整工艺有前处理、染色、印花（喷墨印花和数码印花的除外）工序的；有使用有机溶剂的涂层工艺的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有喷墨印花或数码印花工艺的；后整理工序涉及有机溶剂的；有喷水织造工艺的；有水刺无纺布织造工艺的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十五、纺织服装、服饰业</w:t>
            </w:r>
            <w:r>
              <w:rPr>
                <w:rFonts w:eastAsia="宋体"/>
                <w:color w:val="000000"/>
                <w:sz w:val="20"/>
                <w:szCs w:val="20"/>
                <w:lang w:bidi="ar"/>
              </w:rPr>
              <w:t xml:space="preserve"> 18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机织服装制造</w:t>
            </w:r>
            <w:r>
              <w:rPr>
                <w:rFonts w:eastAsia="宋体"/>
                <w:color w:val="000000"/>
                <w:sz w:val="20"/>
                <w:szCs w:val="20"/>
                <w:lang w:bidi="ar"/>
              </w:rPr>
              <w:t xml:space="preserve"> 181*</w:t>
            </w:r>
            <w:r>
              <w:rPr>
                <w:rFonts w:eastAsia="仿宋"/>
                <w:color w:val="000000"/>
                <w:sz w:val="20"/>
                <w:szCs w:val="20"/>
                <w:lang w:bidi="ar"/>
              </w:rPr>
              <w:t>；针织或钩针编织服装制造</w:t>
            </w:r>
            <w:r>
              <w:rPr>
                <w:rFonts w:eastAsia="宋体"/>
                <w:color w:val="000000"/>
                <w:sz w:val="20"/>
                <w:szCs w:val="20"/>
                <w:lang w:bidi="ar"/>
              </w:rPr>
              <w:t xml:space="preserve"> 182*</w:t>
            </w:r>
            <w:r>
              <w:rPr>
                <w:rFonts w:eastAsia="仿宋"/>
                <w:color w:val="000000"/>
                <w:sz w:val="20"/>
                <w:szCs w:val="20"/>
                <w:lang w:bidi="ar"/>
              </w:rPr>
              <w:t>；服饰制造</w:t>
            </w:r>
            <w:r>
              <w:rPr>
                <w:rFonts w:eastAsia="宋体"/>
                <w:color w:val="000000"/>
                <w:sz w:val="20"/>
                <w:szCs w:val="20"/>
                <w:lang w:bidi="ar"/>
              </w:rPr>
              <w:t>183*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有染色、印花（喷墨印花和数码印花的除外）工序的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有喷墨印花或数码印花工艺的；有洗水、砂洗工艺的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十六、皮革、毛皮、羽毛及其制品和制鞋业</w:t>
            </w:r>
            <w:r>
              <w:rPr>
                <w:rFonts w:eastAsia="宋体"/>
                <w:color w:val="000000"/>
                <w:sz w:val="20"/>
                <w:szCs w:val="20"/>
                <w:lang w:bidi="ar"/>
              </w:rPr>
              <w:t xml:space="preserve"> 19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皮革鞣制加工</w:t>
            </w:r>
            <w:r>
              <w:rPr>
                <w:rFonts w:eastAsia="宋体"/>
                <w:color w:val="000000"/>
                <w:sz w:val="20"/>
                <w:szCs w:val="20"/>
                <w:lang w:bidi="ar"/>
              </w:rPr>
              <w:t xml:space="preserve"> 191</w:t>
            </w:r>
            <w:r>
              <w:rPr>
                <w:rFonts w:eastAsia="仿宋"/>
                <w:color w:val="000000"/>
                <w:sz w:val="20"/>
                <w:szCs w:val="20"/>
                <w:lang w:bidi="ar"/>
              </w:rPr>
              <w:t>；皮革制品制造</w:t>
            </w:r>
            <w:r>
              <w:rPr>
                <w:rFonts w:eastAsia="宋体"/>
                <w:color w:val="000000"/>
                <w:sz w:val="20"/>
                <w:szCs w:val="20"/>
                <w:lang w:bidi="ar"/>
              </w:rPr>
              <w:t xml:space="preserve"> 192</w:t>
            </w:r>
            <w:r>
              <w:rPr>
                <w:rFonts w:eastAsia="仿宋"/>
                <w:color w:val="000000"/>
                <w:sz w:val="20"/>
                <w:szCs w:val="20"/>
                <w:lang w:bidi="ar"/>
              </w:rPr>
              <w:t>；毛皮鞣制及制品加工</w:t>
            </w:r>
            <w:r>
              <w:rPr>
                <w:rFonts w:eastAsia="宋体"/>
                <w:color w:val="000000"/>
                <w:sz w:val="20"/>
                <w:szCs w:val="20"/>
                <w:lang w:bidi="ar"/>
              </w:rPr>
              <w:t>193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有鞣制、染色工艺的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其他（无鞣制、染色工艺的毛皮加工除外；无鞣制、染色工艺的皮革制品制造除外）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羽毛（绒）加工及制品制造</w:t>
            </w:r>
            <w:r>
              <w:rPr>
                <w:rFonts w:eastAsia="宋体"/>
                <w:color w:val="000000"/>
                <w:sz w:val="20"/>
                <w:szCs w:val="20"/>
                <w:lang w:bidi="ar"/>
              </w:rPr>
              <w:t xml:space="preserve"> 194*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全部（无水洗工艺的羽毛（绒）加工除外；羽毛（绒）制品制造除外）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制鞋业</w:t>
            </w:r>
            <w:r>
              <w:rPr>
                <w:rFonts w:eastAsia="宋体"/>
                <w:color w:val="000000"/>
                <w:sz w:val="20"/>
                <w:szCs w:val="20"/>
                <w:lang w:bidi="ar"/>
              </w:rPr>
              <w:t xml:space="preserve"> 195*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有橡胶硫化工艺、塑料注塑工艺的；年用溶剂型胶粘剂</w:t>
            </w:r>
            <w:r>
              <w:rPr>
                <w:rFonts w:eastAsia="宋体"/>
                <w:color w:val="000000"/>
                <w:sz w:val="20"/>
                <w:szCs w:val="20"/>
                <w:lang w:bidi="ar"/>
              </w:rPr>
              <w:t>10</w:t>
            </w:r>
            <w:r>
              <w:rPr>
                <w:rFonts w:eastAsia="仿宋"/>
                <w:color w:val="000000"/>
                <w:sz w:val="20"/>
                <w:szCs w:val="20"/>
                <w:lang w:bidi="ar"/>
              </w:rPr>
              <w:t>吨及以上的，或年用溶剂型处理剂</w:t>
            </w:r>
            <w:r>
              <w:rPr>
                <w:rFonts w:eastAsia="宋体"/>
                <w:color w:val="000000"/>
                <w:sz w:val="20"/>
                <w:szCs w:val="20"/>
                <w:lang w:bidi="ar"/>
              </w:rPr>
              <w:t>3</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十七、木材加工和木、竹、藤、棕、草制品业</w:t>
            </w:r>
            <w:r>
              <w:rPr>
                <w:rFonts w:eastAsia="宋体"/>
                <w:color w:val="000000"/>
                <w:sz w:val="20"/>
                <w:szCs w:val="20"/>
                <w:lang w:bidi="ar"/>
              </w:rPr>
              <w:t xml:space="preserve"> 20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木材加工</w:t>
            </w:r>
            <w:r>
              <w:rPr>
                <w:rFonts w:eastAsia="宋体"/>
                <w:color w:val="000000"/>
                <w:sz w:val="20"/>
                <w:szCs w:val="20"/>
                <w:lang w:bidi="ar"/>
              </w:rPr>
              <w:t xml:space="preserve"> 201</w:t>
            </w:r>
            <w:r>
              <w:rPr>
                <w:rFonts w:eastAsia="仿宋"/>
                <w:color w:val="000000"/>
                <w:sz w:val="20"/>
                <w:szCs w:val="20"/>
                <w:lang w:bidi="ar"/>
              </w:rPr>
              <w:t>；木质制品制造</w:t>
            </w:r>
            <w:r>
              <w:rPr>
                <w:rFonts w:eastAsia="宋体"/>
                <w:color w:val="000000"/>
                <w:sz w:val="20"/>
                <w:szCs w:val="20"/>
                <w:lang w:bidi="ar"/>
              </w:rPr>
              <w:t xml:space="preserve"> 203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 xml:space="preserve">10 </w:t>
            </w:r>
            <w:r>
              <w:rPr>
                <w:rFonts w:eastAsia="仿宋"/>
                <w:color w:val="000000"/>
                <w:sz w:val="20"/>
                <w:szCs w:val="20"/>
                <w:lang w:bidi="ar"/>
              </w:rPr>
              <w:t>吨及以上的；含木片烘干、水煮、染色等工艺的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人造板制造</w:t>
            </w:r>
            <w:r>
              <w:rPr>
                <w:rFonts w:eastAsia="宋体"/>
                <w:color w:val="000000"/>
                <w:sz w:val="20"/>
                <w:szCs w:val="20"/>
                <w:lang w:bidi="ar"/>
              </w:rPr>
              <w:t xml:space="preserve"> 202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年产</w:t>
            </w:r>
            <w:r>
              <w:rPr>
                <w:rFonts w:eastAsia="宋体"/>
                <w:color w:val="000000"/>
                <w:sz w:val="20"/>
                <w:szCs w:val="20"/>
                <w:lang w:bidi="ar"/>
              </w:rPr>
              <w:t>20</w:t>
            </w:r>
            <w:r>
              <w:rPr>
                <w:rFonts w:eastAsia="仿宋"/>
                <w:color w:val="000000"/>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竹、藤、棕、草等制品制造</w:t>
            </w:r>
            <w:r>
              <w:rPr>
                <w:rFonts w:eastAsia="宋体"/>
                <w:color w:val="000000"/>
                <w:sz w:val="20"/>
                <w:szCs w:val="20"/>
                <w:lang w:bidi="ar"/>
              </w:rPr>
              <w:t xml:space="preserve"> 204*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采用胶合工艺的；年用溶剂型涂料（含稀释剂）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十八、家具制造业</w:t>
            </w:r>
            <w:r>
              <w:rPr>
                <w:rFonts w:eastAsia="宋体"/>
                <w:color w:val="000000"/>
                <w:sz w:val="20"/>
                <w:szCs w:val="20"/>
                <w:lang w:bidi="ar"/>
              </w:rPr>
              <w:t xml:space="preserve"> 21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木质家具制造</w:t>
            </w:r>
            <w:r>
              <w:rPr>
                <w:rFonts w:eastAsia="宋体"/>
                <w:color w:val="000000"/>
                <w:sz w:val="20"/>
                <w:szCs w:val="20"/>
                <w:lang w:bidi="ar"/>
              </w:rPr>
              <w:t xml:space="preserve"> 211*</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竹</w:t>
            </w:r>
            <w:r>
              <w:rPr>
                <w:rFonts w:eastAsia="宋体"/>
                <w:color w:val="000000"/>
                <w:sz w:val="20"/>
                <w:szCs w:val="20"/>
                <w:lang w:bidi="ar"/>
              </w:rPr>
              <w:t xml:space="preserve"> </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藤</w:t>
            </w:r>
            <w:r>
              <w:rPr>
                <w:rFonts w:eastAsia="宋体"/>
                <w:color w:val="000000"/>
                <w:sz w:val="20"/>
                <w:szCs w:val="20"/>
                <w:lang w:bidi="ar"/>
              </w:rPr>
              <w:t xml:space="preserve"> </w:t>
            </w:r>
            <w:r>
              <w:rPr>
                <w:rFonts w:eastAsia="仿宋"/>
                <w:color w:val="000000"/>
                <w:sz w:val="20"/>
                <w:szCs w:val="20"/>
                <w:lang w:bidi="ar"/>
              </w:rPr>
              <w:t>家</w:t>
            </w:r>
            <w:r>
              <w:rPr>
                <w:rFonts w:eastAsia="宋体"/>
                <w:color w:val="000000"/>
                <w:sz w:val="20"/>
                <w:szCs w:val="20"/>
                <w:lang w:bidi="ar"/>
              </w:rPr>
              <w:t xml:space="preserve"> </w:t>
            </w:r>
            <w:r>
              <w:rPr>
                <w:rFonts w:eastAsia="仿宋"/>
                <w:color w:val="000000"/>
                <w:sz w:val="20"/>
                <w:szCs w:val="20"/>
                <w:lang w:bidi="ar"/>
              </w:rPr>
              <w:t>具</w:t>
            </w:r>
            <w:r>
              <w:rPr>
                <w:rFonts w:eastAsia="宋体"/>
                <w:color w:val="000000"/>
                <w:sz w:val="20"/>
                <w:szCs w:val="20"/>
                <w:lang w:bidi="ar"/>
              </w:rPr>
              <w:t xml:space="preserve"> </w:t>
            </w:r>
            <w:r>
              <w:rPr>
                <w:rFonts w:eastAsia="仿宋"/>
                <w:color w:val="000000"/>
                <w:sz w:val="20"/>
                <w:szCs w:val="20"/>
                <w:lang w:bidi="ar"/>
              </w:rPr>
              <w:t>制</w:t>
            </w:r>
            <w:r>
              <w:rPr>
                <w:rFonts w:eastAsia="宋体"/>
                <w:color w:val="000000"/>
                <w:sz w:val="20"/>
                <w:szCs w:val="20"/>
                <w:lang w:bidi="ar"/>
              </w:rPr>
              <w:t xml:space="preserve"> </w:t>
            </w:r>
            <w:r>
              <w:rPr>
                <w:rFonts w:eastAsia="仿宋"/>
                <w:color w:val="000000"/>
                <w:sz w:val="20"/>
                <w:szCs w:val="20"/>
                <w:lang w:bidi="ar"/>
              </w:rPr>
              <w:t>造</w:t>
            </w:r>
            <w:r>
              <w:rPr>
                <w:rFonts w:eastAsia="宋体"/>
                <w:color w:val="000000"/>
                <w:sz w:val="20"/>
                <w:szCs w:val="20"/>
                <w:lang w:bidi="ar"/>
              </w:rPr>
              <w:t>212*</w:t>
            </w:r>
            <w:r>
              <w:rPr>
                <w:rFonts w:eastAsia="仿宋"/>
                <w:color w:val="000000"/>
                <w:sz w:val="20"/>
                <w:szCs w:val="20"/>
                <w:lang w:bidi="ar"/>
              </w:rPr>
              <w:t>；金属家具制造</w:t>
            </w:r>
            <w:r>
              <w:rPr>
                <w:rFonts w:eastAsia="宋体"/>
                <w:color w:val="000000"/>
                <w:sz w:val="20"/>
                <w:szCs w:val="20"/>
                <w:lang w:bidi="ar"/>
              </w:rPr>
              <w:t>213*</w:t>
            </w:r>
            <w:r>
              <w:rPr>
                <w:rFonts w:eastAsia="仿宋"/>
                <w:color w:val="000000"/>
                <w:sz w:val="20"/>
                <w:szCs w:val="20"/>
                <w:lang w:bidi="ar"/>
              </w:rPr>
              <w:t>；塑料家具制造</w:t>
            </w:r>
            <w:r>
              <w:rPr>
                <w:rFonts w:eastAsia="宋体"/>
                <w:color w:val="000000"/>
                <w:sz w:val="20"/>
                <w:szCs w:val="20"/>
                <w:lang w:bidi="ar"/>
              </w:rPr>
              <w:t>214*</w:t>
            </w:r>
            <w:r>
              <w:rPr>
                <w:rFonts w:eastAsia="仿宋"/>
                <w:color w:val="000000"/>
                <w:sz w:val="20"/>
                <w:szCs w:val="20"/>
                <w:lang w:bidi="ar"/>
              </w:rPr>
              <w:t>；其他家具制造</w:t>
            </w:r>
            <w:r>
              <w:rPr>
                <w:rFonts w:eastAsia="宋体"/>
                <w:color w:val="000000"/>
                <w:sz w:val="20"/>
                <w:szCs w:val="20"/>
                <w:lang w:bidi="ar"/>
              </w:rPr>
              <w:t>219*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十九、造纸和纸制品业</w:t>
            </w:r>
            <w:r>
              <w:rPr>
                <w:rFonts w:eastAsia="宋体"/>
                <w:color w:val="000000"/>
                <w:sz w:val="20"/>
                <w:szCs w:val="20"/>
                <w:lang w:bidi="ar"/>
              </w:rPr>
              <w:t xml:space="preserve"> 22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纸浆制造</w:t>
            </w:r>
            <w:r>
              <w:rPr>
                <w:rFonts w:eastAsia="宋体"/>
                <w:color w:val="000000"/>
                <w:sz w:val="20"/>
                <w:szCs w:val="20"/>
                <w:lang w:bidi="ar"/>
              </w:rPr>
              <w:t xml:space="preserve"> 221*</w:t>
            </w:r>
            <w:r>
              <w:rPr>
                <w:rFonts w:eastAsia="仿宋"/>
                <w:color w:val="000000"/>
                <w:sz w:val="20"/>
                <w:szCs w:val="20"/>
                <w:lang w:bidi="ar"/>
              </w:rPr>
              <w:t>；造纸</w:t>
            </w:r>
            <w:r>
              <w:rPr>
                <w:rFonts w:eastAsia="宋体"/>
                <w:color w:val="000000"/>
                <w:sz w:val="20"/>
                <w:szCs w:val="20"/>
                <w:lang w:bidi="ar"/>
              </w:rPr>
              <w:t>222*</w:t>
            </w:r>
            <w:r>
              <w:rPr>
                <w:rFonts w:eastAsia="仿宋"/>
                <w:color w:val="000000"/>
                <w:sz w:val="20"/>
                <w:szCs w:val="20"/>
                <w:lang w:bidi="ar"/>
              </w:rPr>
              <w:t>（含废纸造纸）</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全部（手工纸、加工纸制造除外）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手工纸制造；有涂布、浸渍、印刷、粘胶工艺的加工纸制造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纸制品制造</w:t>
            </w:r>
            <w:r>
              <w:rPr>
                <w:rFonts w:eastAsia="宋体"/>
                <w:color w:val="000000"/>
                <w:sz w:val="20"/>
                <w:szCs w:val="20"/>
                <w:lang w:bidi="ar"/>
              </w:rPr>
              <w:t xml:space="preserve"> 223*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有涂布、浸渍、印刷、粘胶工艺的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225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二十、印刷和记录媒介复制业</w:t>
            </w:r>
            <w:r>
              <w:rPr>
                <w:rFonts w:eastAsia="宋体"/>
                <w:color w:val="000000"/>
                <w:sz w:val="20"/>
                <w:szCs w:val="20"/>
                <w:lang w:bidi="ar"/>
              </w:rPr>
              <w:t xml:space="preserve"> 23</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印刷</w:t>
            </w:r>
            <w:r>
              <w:rPr>
                <w:rFonts w:eastAsia="宋体"/>
                <w:color w:val="000000"/>
                <w:sz w:val="20"/>
                <w:szCs w:val="20"/>
                <w:lang w:bidi="ar"/>
              </w:rPr>
              <w:t xml:space="preserve"> 231*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年用溶剂油墨</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其他（激光印刷除外；年用低</w:t>
            </w:r>
            <w:r>
              <w:rPr>
                <w:rFonts w:eastAsia="宋体"/>
                <w:color w:val="000000"/>
                <w:sz w:val="20"/>
                <w:szCs w:val="20"/>
                <w:lang w:bidi="ar"/>
              </w:rPr>
              <w:t>VOCs</w:t>
            </w:r>
            <w:r>
              <w:rPr>
                <w:rFonts w:eastAsia="仿宋"/>
                <w:color w:val="000000"/>
                <w:sz w:val="20"/>
                <w:szCs w:val="20"/>
                <w:lang w:bidi="ar"/>
              </w:rPr>
              <w:t>含量油墨</w:t>
            </w:r>
            <w:r>
              <w:rPr>
                <w:rFonts w:eastAsia="宋体"/>
                <w:color w:val="000000"/>
                <w:sz w:val="20"/>
                <w:szCs w:val="20"/>
                <w:lang w:bidi="ar"/>
              </w:rPr>
              <w:t>10</w:t>
            </w:r>
            <w:r>
              <w:rPr>
                <w:rFonts w:eastAsia="仿宋"/>
                <w:color w:val="000000"/>
                <w:sz w:val="20"/>
                <w:szCs w:val="20"/>
                <w:lang w:bidi="ar"/>
              </w:rPr>
              <w:t>吨以下的印刷除外）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二十一、文教、工美、体育和娱乐用品制造业</w:t>
            </w:r>
            <w:r>
              <w:rPr>
                <w:rFonts w:eastAsia="宋体"/>
                <w:color w:val="000000"/>
                <w:sz w:val="20"/>
                <w:szCs w:val="20"/>
                <w:lang w:bidi="ar"/>
              </w:rPr>
              <w:t xml:space="preserve"> 24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文教办公用品制造</w:t>
            </w:r>
            <w:r>
              <w:rPr>
                <w:rFonts w:eastAsia="宋体"/>
                <w:color w:val="000000"/>
                <w:sz w:val="20"/>
                <w:szCs w:val="20"/>
                <w:lang w:bidi="ar"/>
              </w:rPr>
              <w:t xml:space="preserve">241* </w:t>
            </w:r>
            <w:r>
              <w:rPr>
                <w:rFonts w:eastAsia="仿宋"/>
                <w:color w:val="000000"/>
                <w:sz w:val="20"/>
                <w:szCs w:val="20"/>
                <w:lang w:bidi="ar"/>
              </w:rPr>
              <w:t>；乐器制造</w:t>
            </w:r>
            <w:r>
              <w:rPr>
                <w:rFonts w:eastAsia="宋体"/>
                <w:color w:val="000000"/>
                <w:sz w:val="20"/>
                <w:szCs w:val="20"/>
                <w:lang w:bidi="ar"/>
              </w:rPr>
              <w:t>242*</w:t>
            </w:r>
            <w:r>
              <w:rPr>
                <w:rFonts w:eastAsia="仿宋"/>
                <w:color w:val="000000"/>
                <w:sz w:val="20"/>
                <w:szCs w:val="20"/>
                <w:lang w:bidi="ar"/>
              </w:rPr>
              <w:t>；体育用品制造</w:t>
            </w:r>
            <w:r>
              <w:rPr>
                <w:rFonts w:eastAsia="宋体"/>
                <w:color w:val="000000"/>
                <w:sz w:val="20"/>
                <w:szCs w:val="20"/>
                <w:lang w:bidi="ar"/>
              </w:rPr>
              <w:t xml:space="preserve">244* </w:t>
            </w:r>
            <w:r>
              <w:rPr>
                <w:rFonts w:eastAsia="仿宋"/>
                <w:color w:val="000000"/>
                <w:sz w:val="20"/>
                <w:szCs w:val="20"/>
                <w:lang w:bidi="ar"/>
              </w:rPr>
              <w:t>；玩具制造</w:t>
            </w:r>
            <w:r>
              <w:rPr>
                <w:rFonts w:eastAsia="宋体"/>
                <w:color w:val="000000"/>
                <w:sz w:val="20"/>
                <w:szCs w:val="20"/>
                <w:lang w:bidi="ar"/>
              </w:rPr>
              <w:t>245*</w:t>
            </w:r>
            <w:r>
              <w:rPr>
                <w:rFonts w:eastAsia="仿宋"/>
                <w:color w:val="000000"/>
                <w:sz w:val="20"/>
                <w:szCs w:val="20"/>
                <w:lang w:bidi="ar"/>
              </w:rPr>
              <w:t>；游艺器材及娱乐用品制造</w:t>
            </w:r>
            <w:r>
              <w:rPr>
                <w:rFonts w:eastAsia="宋体"/>
                <w:color w:val="000000"/>
                <w:sz w:val="20"/>
                <w:szCs w:val="20"/>
                <w:lang w:bidi="ar"/>
              </w:rPr>
              <w:t xml:space="preserve"> 246*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有橡胶硫化工艺、塑料注塑工艺的；年用溶剂型涂料（含稀释剂）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吨及以上的；年用溶剂型胶粘剂</w:t>
            </w:r>
            <w:r>
              <w:rPr>
                <w:rFonts w:eastAsia="宋体"/>
                <w:color w:val="000000"/>
                <w:sz w:val="20"/>
                <w:szCs w:val="20"/>
                <w:lang w:bidi="ar"/>
              </w:rPr>
              <w:t xml:space="preserve">10 </w:t>
            </w:r>
            <w:r>
              <w:rPr>
                <w:rFonts w:eastAsia="仿宋"/>
                <w:color w:val="000000"/>
                <w:sz w:val="20"/>
                <w:szCs w:val="20"/>
                <w:lang w:bidi="ar"/>
              </w:rPr>
              <w:t>吨及以上的，或年用溶剂型处理剂</w:t>
            </w:r>
            <w:r>
              <w:rPr>
                <w:rFonts w:eastAsia="宋体"/>
                <w:color w:val="000000"/>
                <w:sz w:val="20"/>
                <w:szCs w:val="20"/>
                <w:lang w:bidi="ar"/>
              </w:rPr>
              <w:t>3</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工艺美术及礼仪用品制造</w:t>
            </w:r>
            <w:r>
              <w:rPr>
                <w:rFonts w:eastAsia="宋体"/>
                <w:color w:val="000000"/>
                <w:sz w:val="20"/>
                <w:szCs w:val="20"/>
                <w:lang w:bidi="ar"/>
              </w:rPr>
              <w:t xml:space="preserve"> 243*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二十二、石油、煤炭及其他燃料加工业</w:t>
            </w:r>
            <w:r>
              <w:rPr>
                <w:rFonts w:eastAsia="宋体"/>
                <w:color w:val="000000"/>
                <w:sz w:val="20"/>
                <w:szCs w:val="20"/>
                <w:lang w:bidi="ar"/>
              </w:rPr>
              <w:t xml:space="preserve"> 25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精炼石油产品制造</w:t>
            </w:r>
            <w:r>
              <w:rPr>
                <w:rFonts w:eastAsia="宋体"/>
                <w:color w:val="000000"/>
                <w:sz w:val="20"/>
                <w:szCs w:val="20"/>
                <w:lang w:bidi="ar"/>
              </w:rPr>
              <w:t>251</w:t>
            </w:r>
            <w:r>
              <w:rPr>
                <w:rFonts w:eastAsia="仿宋"/>
                <w:color w:val="000000"/>
                <w:sz w:val="20"/>
                <w:szCs w:val="20"/>
                <w:lang w:bidi="ar"/>
              </w:rPr>
              <w:t>；煤炭加工</w:t>
            </w:r>
            <w:r>
              <w:rPr>
                <w:rFonts w:eastAsia="宋体"/>
                <w:color w:val="000000"/>
                <w:sz w:val="20"/>
                <w:szCs w:val="20"/>
                <w:lang w:bidi="ar"/>
              </w:rPr>
              <w:t xml:space="preserve"> 252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全部（单纯物理分离、物理提纯、混合、分装的除外；煤制品制造除外；其他煤炭加工除外）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单纯物理分离、物理提纯、混合、分装的（不产生废水或挥发性有机物的除外）；煤制品制造；其他煤炭加工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16"/>
                <w:szCs w:val="16"/>
              </w:rPr>
            </w:pPr>
            <w:r>
              <w:rPr>
                <w:rFonts w:eastAsia="仿宋"/>
                <w:color w:val="000000"/>
                <w:sz w:val="20"/>
                <w:szCs w:val="20"/>
                <w:lang w:bidi="ar"/>
              </w:rPr>
              <w:t>此类项目不包括新建炼油及扩建一次炼油项目（不包括列入国务院批准的国家能源发展规划、石化产业规划布局方案的扩建项目）。年产超过20亿立方米的煤制天然气项目；年产超过100万吨的煤制油项目；年产超过100万吨的煤制甲醇项目；年产超过50万吨的煤经甲醇制烯烃项目。</w:t>
            </w: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生物质燃料加工</w:t>
            </w:r>
            <w:r>
              <w:rPr>
                <w:rFonts w:eastAsia="宋体"/>
                <w:color w:val="000000"/>
                <w:sz w:val="20"/>
                <w:szCs w:val="20"/>
                <w:lang w:bidi="ar"/>
              </w:rPr>
              <w:t xml:space="preserve"> 254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生物质液体燃料生产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生物质致密成型燃料加工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二十三、化学原料和化学制品制造业</w:t>
            </w:r>
            <w:r>
              <w:rPr>
                <w:rFonts w:eastAsia="宋体"/>
                <w:color w:val="000000"/>
                <w:sz w:val="20"/>
                <w:szCs w:val="20"/>
                <w:lang w:bidi="ar"/>
              </w:rPr>
              <w:t xml:space="preserve"> 26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6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基础化学原料制造</w:t>
            </w:r>
            <w:r>
              <w:rPr>
                <w:rFonts w:eastAsia="宋体"/>
                <w:color w:val="000000"/>
                <w:sz w:val="20"/>
                <w:szCs w:val="20"/>
                <w:lang w:bidi="ar"/>
              </w:rPr>
              <w:t>261</w:t>
            </w:r>
            <w:r>
              <w:rPr>
                <w:rFonts w:eastAsia="仿宋"/>
                <w:color w:val="000000"/>
                <w:sz w:val="20"/>
                <w:szCs w:val="20"/>
                <w:lang w:bidi="ar"/>
              </w:rPr>
              <w:t>；农药制造</w:t>
            </w:r>
            <w:r>
              <w:rPr>
                <w:rFonts w:eastAsia="宋体"/>
                <w:color w:val="000000"/>
                <w:sz w:val="20"/>
                <w:szCs w:val="20"/>
                <w:lang w:bidi="ar"/>
              </w:rPr>
              <w:t xml:space="preserve"> 263</w:t>
            </w:r>
            <w:r>
              <w:rPr>
                <w:rFonts w:eastAsia="仿宋"/>
                <w:color w:val="000000"/>
                <w:sz w:val="20"/>
                <w:szCs w:val="20"/>
                <w:lang w:bidi="ar"/>
              </w:rPr>
              <w:t>；涂料、油墨、颜料及类似产品制造</w:t>
            </w:r>
            <w:r>
              <w:rPr>
                <w:rFonts w:eastAsia="宋体"/>
                <w:color w:val="000000"/>
                <w:sz w:val="20"/>
                <w:szCs w:val="20"/>
                <w:lang w:bidi="ar"/>
              </w:rPr>
              <w:t xml:space="preserve"> 264</w:t>
            </w:r>
            <w:r>
              <w:rPr>
                <w:rFonts w:eastAsia="仿宋"/>
                <w:color w:val="000000"/>
                <w:sz w:val="20"/>
                <w:szCs w:val="20"/>
                <w:lang w:bidi="ar"/>
              </w:rPr>
              <w:t>；合成材料制造</w:t>
            </w:r>
            <w:r>
              <w:rPr>
                <w:rFonts w:eastAsia="宋体"/>
                <w:color w:val="000000"/>
                <w:sz w:val="20"/>
                <w:szCs w:val="20"/>
                <w:lang w:bidi="ar"/>
              </w:rPr>
              <w:t xml:space="preserve"> 265</w:t>
            </w:r>
            <w:r>
              <w:rPr>
                <w:rFonts w:eastAsia="仿宋"/>
                <w:color w:val="000000"/>
                <w:sz w:val="20"/>
                <w:szCs w:val="20"/>
                <w:lang w:bidi="ar"/>
              </w:rPr>
              <w:t>；专用化学产品制造</w:t>
            </w:r>
            <w:r>
              <w:rPr>
                <w:rFonts w:eastAsia="宋体"/>
                <w:color w:val="000000"/>
                <w:sz w:val="20"/>
                <w:szCs w:val="20"/>
                <w:lang w:bidi="ar"/>
              </w:rPr>
              <w:t>266</w:t>
            </w:r>
            <w:r>
              <w:rPr>
                <w:rFonts w:eastAsia="仿宋"/>
                <w:color w:val="000000"/>
                <w:sz w:val="20"/>
                <w:szCs w:val="20"/>
                <w:lang w:bidi="ar"/>
              </w:rPr>
              <w:t>；炸药、火工及焰火产品制造</w:t>
            </w:r>
            <w:r>
              <w:rPr>
                <w:rFonts w:eastAsia="宋体"/>
                <w:color w:val="000000"/>
                <w:sz w:val="20"/>
                <w:szCs w:val="20"/>
                <w:lang w:bidi="ar"/>
              </w:rPr>
              <w:t xml:space="preserve"> 267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全部（含研发中试；不含单纯物理分离、物理提纯、混合、分装的）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单纯物理分离、物理提纯、混合、分装的（不产生废水或挥发性有机物的除外）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肥料制造</w:t>
            </w:r>
            <w:r>
              <w:rPr>
                <w:rFonts w:eastAsia="宋体"/>
                <w:color w:val="000000"/>
                <w:sz w:val="20"/>
                <w:szCs w:val="20"/>
                <w:lang w:bidi="ar"/>
              </w:rPr>
              <w:t xml:space="preserve"> 262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化学方法生产氮肥、磷肥、复混肥的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日用化学产品制造</w:t>
            </w:r>
            <w:r>
              <w:rPr>
                <w:rFonts w:eastAsia="宋体"/>
                <w:color w:val="000000"/>
                <w:sz w:val="20"/>
                <w:szCs w:val="20"/>
                <w:lang w:bidi="ar"/>
              </w:rPr>
              <w:t>268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以油脂为原料的肥皂或皂粒制造（采用连续皂化工艺、油脂水解工艺的除外）；香料制造</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以上均不含单纯混合或分装的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采用连续皂化工艺、油脂水解工艺的肥皂或皂粒制造；采用高塔喷粉工艺的合成洗衣粉制造；采用热反应工艺的香精制造；烫发剂、染发剂制造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二十四、医药制造业</w:t>
            </w:r>
            <w:r>
              <w:rPr>
                <w:rFonts w:eastAsia="宋体"/>
                <w:color w:val="000000"/>
                <w:sz w:val="20"/>
                <w:szCs w:val="20"/>
                <w:lang w:bidi="ar"/>
              </w:rPr>
              <w:t xml:space="preserve"> 27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89"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化学药品原料药制造</w:t>
            </w:r>
            <w:r>
              <w:rPr>
                <w:rFonts w:eastAsia="宋体"/>
                <w:color w:val="000000"/>
                <w:sz w:val="20"/>
                <w:szCs w:val="20"/>
                <w:lang w:bidi="ar"/>
              </w:rPr>
              <w:t>271</w:t>
            </w:r>
            <w:r>
              <w:rPr>
                <w:rFonts w:eastAsia="仿宋"/>
                <w:color w:val="000000"/>
                <w:sz w:val="20"/>
                <w:szCs w:val="20"/>
                <w:lang w:bidi="ar"/>
              </w:rPr>
              <w:t>；化学药品制剂制造</w:t>
            </w:r>
            <w:r>
              <w:rPr>
                <w:rFonts w:eastAsia="宋体"/>
                <w:color w:val="000000"/>
                <w:sz w:val="20"/>
                <w:szCs w:val="20"/>
                <w:lang w:bidi="ar"/>
              </w:rPr>
              <w:t xml:space="preserve"> 272</w:t>
            </w:r>
            <w:r>
              <w:rPr>
                <w:rFonts w:eastAsia="仿宋"/>
                <w:color w:val="000000"/>
                <w:sz w:val="20"/>
                <w:szCs w:val="20"/>
                <w:lang w:bidi="ar"/>
              </w:rPr>
              <w:t>；兽用药品制造</w:t>
            </w:r>
            <w:r>
              <w:rPr>
                <w:rFonts w:eastAsia="宋体"/>
                <w:color w:val="000000"/>
                <w:sz w:val="20"/>
                <w:szCs w:val="20"/>
                <w:lang w:bidi="ar"/>
              </w:rPr>
              <w:t xml:space="preserve"> 275</w:t>
            </w:r>
            <w:r>
              <w:rPr>
                <w:rFonts w:eastAsia="仿宋"/>
                <w:color w:val="000000"/>
                <w:sz w:val="20"/>
                <w:szCs w:val="20"/>
                <w:lang w:bidi="ar"/>
              </w:rPr>
              <w:t>；生物药品制品制造</w:t>
            </w:r>
            <w:r>
              <w:rPr>
                <w:rFonts w:eastAsia="宋体"/>
                <w:color w:val="000000"/>
                <w:sz w:val="20"/>
                <w:szCs w:val="20"/>
                <w:lang w:bidi="ar"/>
              </w:rPr>
              <w:t xml:space="preserve"> 276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全部（含研发中试；不含单纯药品复配、分装；不含化学药品制剂制造的）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单纯药品复配且产生废水或挥发性有机物的；仅化学药品制剂制造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中药饮片加工</w:t>
            </w:r>
            <w:r>
              <w:rPr>
                <w:rFonts w:eastAsia="宋体"/>
                <w:color w:val="000000"/>
                <w:sz w:val="20"/>
                <w:szCs w:val="20"/>
                <w:lang w:bidi="ar"/>
              </w:rPr>
              <w:t xml:space="preserve"> 273*</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中成药生产</w:t>
            </w:r>
            <w:r>
              <w:rPr>
                <w:rFonts w:eastAsia="宋体"/>
                <w:color w:val="000000"/>
                <w:sz w:val="20"/>
                <w:szCs w:val="20"/>
                <w:lang w:bidi="ar"/>
              </w:rPr>
              <w:t xml:space="preserve"> 274*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有提炼工艺的（仅醇提、水提的除外）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其他（单纯切片、制干、打包的除外）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卫生材料及医药用品制造</w:t>
            </w:r>
            <w:r>
              <w:rPr>
                <w:rFonts w:eastAsia="宋体"/>
                <w:color w:val="000000"/>
                <w:sz w:val="20"/>
                <w:szCs w:val="20"/>
                <w:lang w:bidi="ar"/>
              </w:rPr>
              <w:t xml:space="preserve"> 277</w:t>
            </w:r>
            <w:r>
              <w:rPr>
                <w:rFonts w:eastAsia="仿宋"/>
                <w:color w:val="000000"/>
                <w:sz w:val="20"/>
                <w:szCs w:val="20"/>
                <w:lang w:bidi="ar"/>
              </w:rPr>
              <w:t>；药用辅料及包装材料制造</w:t>
            </w:r>
            <w:r>
              <w:rPr>
                <w:rFonts w:eastAsia="宋体"/>
                <w:color w:val="000000"/>
                <w:sz w:val="20"/>
                <w:szCs w:val="20"/>
                <w:lang w:bidi="ar"/>
              </w:rPr>
              <w:t xml:space="preserve"> 278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卫生材料及医药用品制造（仅组装、分装的除外）；含有机合成反应的药用辅料制造；含有机合成反应的包装材料制造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二十五、化学纤维制造业</w:t>
            </w:r>
            <w:r>
              <w:rPr>
                <w:rFonts w:eastAsia="宋体"/>
                <w:color w:val="000000"/>
                <w:sz w:val="20"/>
                <w:szCs w:val="20"/>
                <w:lang w:bidi="ar"/>
              </w:rPr>
              <w:t xml:space="preserve"> 28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纤维素纤维原料及纤维制造</w:t>
            </w:r>
            <w:r>
              <w:rPr>
                <w:rFonts w:eastAsia="宋体"/>
                <w:color w:val="000000"/>
                <w:sz w:val="20"/>
                <w:szCs w:val="20"/>
                <w:lang w:bidi="ar"/>
              </w:rPr>
              <w:t xml:space="preserve"> 281</w:t>
            </w:r>
            <w:r>
              <w:rPr>
                <w:rFonts w:eastAsia="仿宋"/>
                <w:color w:val="000000"/>
                <w:sz w:val="20"/>
                <w:szCs w:val="20"/>
                <w:lang w:bidi="ar"/>
              </w:rPr>
              <w:t>；合成纤维制造</w:t>
            </w:r>
            <w:r>
              <w:rPr>
                <w:rFonts w:eastAsia="宋体"/>
                <w:color w:val="000000"/>
                <w:sz w:val="20"/>
                <w:szCs w:val="20"/>
                <w:lang w:bidi="ar"/>
              </w:rPr>
              <w:t xml:space="preserve"> 282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全部（单纯纺丝、单纯丙纶纤维制造的除外）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单纯纺丝制造；单纯丙纶纤维制造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生物基材料制造</w:t>
            </w:r>
            <w:r>
              <w:rPr>
                <w:rFonts w:eastAsia="宋体"/>
                <w:color w:val="000000"/>
                <w:sz w:val="20"/>
                <w:szCs w:val="20"/>
                <w:lang w:bidi="ar"/>
              </w:rPr>
              <w:t xml:space="preserve"> 283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生物基化学纤维制造（单纯纺丝的除外）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单纯纺丝制造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二十六、橡胶和塑料制品业</w:t>
            </w:r>
            <w:r>
              <w:rPr>
                <w:rFonts w:eastAsia="宋体"/>
                <w:color w:val="000000"/>
                <w:sz w:val="20"/>
                <w:szCs w:val="20"/>
                <w:lang w:bidi="ar"/>
              </w:rPr>
              <w:t xml:space="preserve"> 29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橡胶制品业</w:t>
            </w:r>
            <w:r>
              <w:rPr>
                <w:rFonts w:eastAsia="宋体"/>
                <w:color w:val="000000"/>
                <w:sz w:val="20"/>
                <w:szCs w:val="20"/>
                <w:lang w:bidi="ar"/>
              </w:rPr>
              <w:t xml:space="preserve"> 291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轮胎制造；再生橡胶制造（常压连续脱硫工艺除外）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塑料制品业</w:t>
            </w:r>
            <w:r>
              <w:rPr>
                <w:rFonts w:eastAsia="宋体"/>
                <w:color w:val="000000"/>
                <w:sz w:val="20"/>
                <w:szCs w:val="20"/>
                <w:lang w:bidi="ar"/>
              </w:rPr>
              <w:t xml:space="preserve"> 292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以再生塑料为原料生产的；年用溶剂型胶粘剂</w:t>
            </w:r>
            <w:r>
              <w:rPr>
                <w:rFonts w:eastAsia="宋体"/>
                <w:color w:val="000000"/>
                <w:sz w:val="20"/>
                <w:szCs w:val="20"/>
                <w:lang w:bidi="ar"/>
              </w:rPr>
              <w:t>10</w:t>
            </w:r>
            <w:r>
              <w:rPr>
                <w:rFonts w:eastAsia="仿宋"/>
                <w:color w:val="000000"/>
                <w:sz w:val="20"/>
                <w:szCs w:val="20"/>
                <w:lang w:bidi="ar"/>
              </w:rPr>
              <w:t>吨及以上的；</w:t>
            </w:r>
            <w:r>
              <w:rPr>
                <w:rFonts w:eastAsia="宋体"/>
                <w:color w:val="000000"/>
                <w:sz w:val="20"/>
                <w:szCs w:val="20"/>
                <w:lang w:bidi="ar"/>
              </w:rPr>
              <w:t xml:space="preserve"> </w:t>
            </w: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二十七、非金属矿物制品业</w:t>
            </w:r>
            <w:r>
              <w:rPr>
                <w:rFonts w:eastAsia="宋体"/>
                <w:color w:val="000000"/>
                <w:sz w:val="20"/>
                <w:szCs w:val="20"/>
                <w:lang w:bidi="ar"/>
              </w:rPr>
              <w:t xml:space="preserve"> 30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51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水泥、石灰和石膏制造</w:t>
            </w:r>
            <w:r>
              <w:rPr>
                <w:rFonts w:eastAsia="宋体"/>
                <w:color w:val="000000"/>
                <w:sz w:val="20"/>
                <w:szCs w:val="20"/>
                <w:lang w:bidi="ar"/>
              </w:rPr>
              <w:t xml:space="preserve"> 301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水泥制造（水泥粉磨站除外）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水泥粉磨站；石灰和石膏制造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石膏、水泥制品及类似制品制造</w:t>
            </w:r>
            <w:r>
              <w:rPr>
                <w:rFonts w:eastAsia="宋体"/>
                <w:color w:val="000000"/>
                <w:sz w:val="20"/>
                <w:szCs w:val="20"/>
                <w:lang w:bidi="ar"/>
              </w:rPr>
              <w:t xml:space="preserve"> 302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商品混凝土；砼结构构件制造；水泥制品制造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砖瓦、石材等建筑材料制造</w:t>
            </w:r>
            <w:r>
              <w:rPr>
                <w:rFonts w:eastAsia="宋体"/>
                <w:color w:val="000000"/>
                <w:sz w:val="20"/>
                <w:szCs w:val="20"/>
                <w:lang w:bidi="ar"/>
              </w:rPr>
              <w:t xml:space="preserve"> 303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r>
              <w:rPr>
                <w:rFonts w:eastAsia="仿宋"/>
                <w:color w:val="000000"/>
                <w:sz w:val="20"/>
                <w:szCs w:val="20"/>
                <w:lang w:bidi="ar"/>
              </w:rPr>
              <w:t>粘土砖瓦及建筑砌块制造；建筑用石加工；防水建筑材料制造；隔热、隔音材料制造；其他建筑材料制造（含干粉砂浆搅拌站）</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以上均不含利用石材板材切割、打磨、成型的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玻璃制造</w:t>
            </w:r>
            <w:r>
              <w:rPr>
                <w:rFonts w:eastAsia="宋体"/>
                <w:color w:val="000000"/>
                <w:sz w:val="20"/>
                <w:szCs w:val="20"/>
                <w:lang w:bidi="ar"/>
              </w:rPr>
              <w:t xml:space="preserve"> 304</w:t>
            </w:r>
            <w:r>
              <w:rPr>
                <w:rFonts w:eastAsia="仿宋"/>
                <w:color w:val="000000"/>
                <w:sz w:val="20"/>
                <w:szCs w:val="20"/>
                <w:lang w:bidi="ar"/>
              </w:rPr>
              <w:t>；玻璃制品制造</w:t>
            </w:r>
            <w:r>
              <w:rPr>
                <w:rFonts w:eastAsia="宋体"/>
                <w:color w:val="000000"/>
                <w:sz w:val="20"/>
                <w:szCs w:val="20"/>
                <w:lang w:bidi="ar"/>
              </w:rPr>
              <w:t xml:space="preserve"> 305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平板玻璃制造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特种玻璃制造；其他玻璃制造；</w:t>
            </w:r>
            <w:r>
              <w:rPr>
                <w:rFonts w:eastAsia="宋体"/>
                <w:color w:val="000000"/>
                <w:sz w:val="20"/>
                <w:szCs w:val="20"/>
                <w:lang w:bidi="ar"/>
              </w:rPr>
              <w:t xml:space="preserve"> </w:t>
            </w:r>
            <w:r>
              <w:rPr>
                <w:rFonts w:eastAsia="仿宋"/>
                <w:color w:val="000000"/>
                <w:sz w:val="20"/>
                <w:szCs w:val="20"/>
                <w:lang w:bidi="ar"/>
              </w:rPr>
              <w:t>玻璃制品制造（电加热的除外；</w:t>
            </w:r>
            <w:r>
              <w:rPr>
                <w:rFonts w:eastAsia="宋体"/>
                <w:color w:val="000000"/>
                <w:sz w:val="20"/>
                <w:szCs w:val="20"/>
                <w:lang w:bidi="ar"/>
              </w:rPr>
              <w:t xml:space="preserve"> </w:t>
            </w:r>
            <w:r>
              <w:rPr>
                <w:rFonts w:eastAsia="仿宋"/>
                <w:color w:val="000000"/>
                <w:sz w:val="20"/>
                <w:szCs w:val="20"/>
                <w:lang w:bidi="ar"/>
              </w:rPr>
              <w:t>仅切割、打磨、成型的除外）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玻璃纤维和玻璃纤维增强塑料制品制造</w:t>
            </w:r>
            <w:r>
              <w:rPr>
                <w:rFonts w:eastAsia="宋体"/>
                <w:color w:val="000000"/>
                <w:sz w:val="20"/>
                <w:szCs w:val="20"/>
                <w:lang w:bidi="ar"/>
              </w:rPr>
              <w:t xml:space="preserve"> 306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陶瓷制品制造</w:t>
            </w:r>
            <w:r>
              <w:rPr>
                <w:rFonts w:eastAsia="宋体"/>
                <w:color w:val="000000"/>
                <w:sz w:val="20"/>
                <w:szCs w:val="20"/>
                <w:lang w:bidi="ar"/>
              </w:rPr>
              <w:t xml:space="preserve"> 307*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hint="eastAsia" w:eastAsia="仿宋"/>
                <w:color w:val="000000"/>
                <w:sz w:val="20"/>
                <w:szCs w:val="20"/>
                <w:lang w:eastAsia="zh-CN" w:bidi="ar"/>
              </w:rPr>
            </w:pPr>
            <w:r>
              <w:rPr>
                <w:rFonts w:eastAsia="仿宋"/>
                <w:color w:val="000000"/>
                <w:sz w:val="20"/>
                <w:szCs w:val="20"/>
                <w:lang w:bidi="ar"/>
              </w:rPr>
              <w:t>使用高污染燃料的</w:t>
            </w:r>
          </w:p>
          <w:p>
            <w:pPr>
              <w:widowControl/>
              <w:adjustRightInd/>
              <w:snapToGrid/>
              <w:spacing w:line="240" w:lineRule="auto"/>
              <w:ind w:firstLine="0" w:firstLineChars="0"/>
              <w:jc w:val="center"/>
              <w:textAlignment w:val="center"/>
              <w:rPr>
                <w:rFonts w:hint="eastAsia" w:eastAsia="仿宋"/>
                <w:color w:val="000000"/>
                <w:sz w:val="20"/>
                <w:szCs w:val="20"/>
                <w:lang w:eastAsia="zh-CN" w:bidi="ar"/>
              </w:rPr>
            </w:pPr>
            <w:r>
              <w:rPr>
                <w:rFonts w:eastAsia="仿宋"/>
                <w:color w:val="000000"/>
                <w:sz w:val="20"/>
                <w:szCs w:val="20"/>
                <w:lang w:bidi="ar"/>
              </w:rPr>
              <w:t>（高污染燃料指国环规大气〔</w:t>
            </w:r>
            <w:r>
              <w:rPr>
                <w:rFonts w:eastAsia="宋体"/>
                <w:color w:val="000000"/>
                <w:sz w:val="20"/>
                <w:szCs w:val="20"/>
                <w:lang w:bidi="ar"/>
              </w:rPr>
              <w:t>2017</w:t>
            </w:r>
            <w:r>
              <w:rPr>
                <w:rFonts w:eastAsia="仿宋"/>
                <w:color w:val="000000"/>
                <w:sz w:val="20"/>
                <w:szCs w:val="20"/>
                <w:lang w:bidi="ar"/>
              </w:rPr>
              <w:t>〕</w:t>
            </w:r>
            <w:r>
              <w:rPr>
                <w:rFonts w:eastAsia="宋体"/>
                <w:color w:val="000000"/>
                <w:sz w:val="20"/>
                <w:szCs w:val="20"/>
                <w:lang w:bidi="ar"/>
              </w:rPr>
              <w:t>2</w:t>
            </w:r>
            <w:r>
              <w:rPr>
                <w:rFonts w:eastAsia="仿宋"/>
                <w:color w:val="000000"/>
                <w:sz w:val="20"/>
                <w:szCs w:val="20"/>
                <w:lang w:bidi="ar"/>
              </w:rPr>
              <w:t>号</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《高污染燃料目录》中规定的燃料）</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不使用高污染燃料的建筑陶瓷制品制造；不使用高污染燃料的年产</w:t>
            </w:r>
            <w:r>
              <w:rPr>
                <w:rFonts w:eastAsia="宋体"/>
                <w:color w:val="000000"/>
                <w:sz w:val="20"/>
                <w:szCs w:val="20"/>
                <w:lang w:bidi="ar"/>
              </w:rPr>
              <w:t>150</w:t>
            </w:r>
            <w:r>
              <w:rPr>
                <w:rFonts w:eastAsia="仿宋"/>
                <w:color w:val="000000"/>
                <w:sz w:val="20"/>
                <w:szCs w:val="20"/>
                <w:lang w:bidi="ar"/>
              </w:rPr>
              <w:t>万件及以上的卫生陶瓷制品制造；不使用高污染燃料的年产</w:t>
            </w:r>
            <w:r>
              <w:rPr>
                <w:rFonts w:eastAsia="宋体"/>
                <w:color w:val="000000"/>
                <w:sz w:val="20"/>
                <w:szCs w:val="20"/>
                <w:lang w:bidi="ar"/>
              </w:rPr>
              <w:t>250</w:t>
            </w:r>
            <w:r>
              <w:rPr>
                <w:rFonts w:eastAsia="仿宋"/>
                <w:color w:val="000000"/>
                <w:sz w:val="20"/>
                <w:szCs w:val="20"/>
                <w:lang w:bidi="ar"/>
              </w:rPr>
              <w:t>万件及以上的日用陶瓷制品制造</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耐火材料制品制造</w:t>
            </w:r>
            <w:r>
              <w:rPr>
                <w:rFonts w:eastAsia="宋体"/>
                <w:color w:val="000000"/>
                <w:sz w:val="20"/>
                <w:szCs w:val="20"/>
                <w:lang w:bidi="ar"/>
              </w:rPr>
              <w:t>308</w:t>
            </w:r>
            <w:r>
              <w:rPr>
                <w:rFonts w:eastAsia="仿宋"/>
                <w:color w:val="000000"/>
                <w:sz w:val="20"/>
                <w:szCs w:val="20"/>
                <w:lang w:bidi="ar"/>
              </w:rPr>
              <w:t>；石墨及其他非金属矿物制品制造</w:t>
            </w:r>
            <w:r>
              <w:rPr>
                <w:rFonts w:eastAsia="宋体"/>
                <w:color w:val="000000"/>
                <w:sz w:val="20"/>
                <w:szCs w:val="20"/>
                <w:lang w:bidi="ar"/>
              </w:rPr>
              <w:t xml:space="preserve"> 309</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石棉制品；含焙烧的石墨、碳素制品</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二十八、黑色金属冶炼和压延加工业</w:t>
            </w:r>
            <w:r>
              <w:rPr>
                <w:rFonts w:eastAsia="宋体"/>
                <w:color w:val="000000"/>
                <w:sz w:val="20"/>
                <w:szCs w:val="20"/>
                <w:lang w:bidi="ar"/>
              </w:rPr>
              <w:t xml:space="preserve"> 31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炼铁</w:t>
            </w:r>
            <w:r>
              <w:rPr>
                <w:rFonts w:eastAsia="宋体"/>
                <w:color w:val="000000"/>
                <w:sz w:val="20"/>
                <w:szCs w:val="20"/>
                <w:lang w:bidi="ar"/>
              </w:rPr>
              <w:t xml:space="preserve"> 311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炼钢</w:t>
            </w:r>
            <w:r>
              <w:rPr>
                <w:rFonts w:eastAsia="宋体"/>
                <w:color w:val="000000"/>
                <w:sz w:val="20"/>
                <w:szCs w:val="20"/>
                <w:lang w:bidi="ar"/>
              </w:rPr>
              <w:t xml:space="preserve"> 312</w:t>
            </w:r>
            <w:r>
              <w:rPr>
                <w:rFonts w:eastAsia="仿宋"/>
                <w:color w:val="000000"/>
                <w:sz w:val="20"/>
                <w:szCs w:val="20"/>
                <w:lang w:bidi="ar"/>
              </w:rPr>
              <w:t>；铁合金冶炼</w:t>
            </w:r>
            <w:r>
              <w:rPr>
                <w:rFonts w:eastAsia="宋体"/>
                <w:color w:val="000000"/>
                <w:sz w:val="20"/>
                <w:szCs w:val="20"/>
                <w:lang w:bidi="ar"/>
              </w:rPr>
              <w:t xml:space="preserve"> 314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钢压延加工</w:t>
            </w:r>
            <w:r>
              <w:rPr>
                <w:rFonts w:eastAsia="宋体"/>
                <w:color w:val="000000"/>
                <w:sz w:val="20"/>
                <w:szCs w:val="20"/>
                <w:lang w:bidi="ar"/>
              </w:rPr>
              <w:t xml:space="preserve"> 313</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年产</w:t>
            </w:r>
            <w:r>
              <w:rPr>
                <w:rFonts w:eastAsia="宋体"/>
                <w:color w:val="000000"/>
                <w:sz w:val="20"/>
                <w:szCs w:val="20"/>
                <w:lang w:bidi="ar"/>
              </w:rPr>
              <w:t>50</w:t>
            </w:r>
            <w:r>
              <w:rPr>
                <w:rFonts w:eastAsia="仿宋"/>
                <w:color w:val="000000"/>
                <w:sz w:val="20"/>
                <w:szCs w:val="20"/>
                <w:lang w:bidi="ar"/>
              </w:rPr>
              <w:t>万吨及以上的冷轧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二十九、有色金属冶炼和压延加工业</w:t>
            </w:r>
            <w:r>
              <w:rPr>
                <w:rFonts w:eastAsia="宋体"/>
                <w:color w:val="000000"/>
                <w:sz w:val="20"/>
                <w:szCs w:val="20"/>
                <w:lang w:bidi="ar"/>
              </w:rPr>
              <w:t xml:space="preserve"> 32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常用有色金属冶炼</w:t>
            </w:r>
            <w:r>
              <w:rPr>
                <w:rFonts w:eastAsia="宋体"/>
                <w:color w:val="000000"/>
                <w:sz w:val="20"/>
                <w:szCs w:val="20"/>
                <w:lang w:bidi="ar"/>
              </w:rPr>
              <w:t>321</w:t>
            </w:r>
            <w:r>
              <w:rPr>
                <w:rFonts w:eastAsia="仿宋"/>
                <w:color w:val="000000"/>
                <w:sz w:val="20"/>
                <w:szCs w:val="20"/>
                <w:lang w:bidi="ar"/>
              </w:rPr>
              <w:t>；贵金属冶炼</w:t>
            </w:r>
            <w:r>
              <w:rPr>
                <w:rFonts w:eastAsia="宋体"/>
                <w:color w:val="000000"/>
                <w:sz w:val="20"/>
                <w:szCs w:val="20"/>
                <w:lang w:bidi="ar"/>
              </w:rPr>
              <w:t>322</w:t>
            </w:r>
            <w:r>
              <w:rPr>
                <w:rFonts w:eastAsia="仿宋"/>
                <w:color w:val="000000"/>
                <w:sz w:val="20"/>
                <w:szCs w:val="20"/>
                <w:lang w:bidi="ar"/>
              </w:rPr>
              <w:t>；稀有稀土金属冶炼</w:t>
            </w:r>
            <w:r>
              <w:rPr>
                <w:rFonts w:eastAsia="宋体"/>
                <w:color w:val="000000"/>
                <w:sz w:val="20"/>
                <w:szCs w:val="20"/>
                <w:lang w:bidi="ar"/>
              </w:rPr>
              <w:t xml:space="preserve"> 323</w:t>
            </w:r>
            <w:r>
              <w:rPr>
                <w:rFonts w:eastAsia="仿宋"/>
                <w:color w:val="000000"/>
                <w:sz w:val="20"/>
                <w:szCs w:val="20"/>
                <w:lang w:bidi="ar"/>
              </w:rPr>
              <w:t>；有色金属合金制造</w:t>
            </w:r>
            <w:r>
              <w:rPr>
                <w:rFonts w:eastAsia="宋体"/>
                <w:color w:val="000000"/>
                <w:sz w:val="20"/>
                <w:szCs w:val="20"/>
                <w:lang w:bidi="ar"/>
              </w:rPr>
              <w:t xml:space="preserve"> 324</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全部（利用单质金属混配重熔生产合金的除外）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其他（利用单质金属混配重熔生产合金）</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有色金属压延加工</w:t>
            </w:r>
            <w:r>
              <w:rPr>
                <w:rFonts w:eastAsia="宋体"/>
                <w:color w:val="000000"/>
                <w:sz w:val="20"/>
                <w:szCs w:val="20"/>
                <w:lang w:bidi="ar"/>
              </w:rPr>
              <w:t xml:space="preserve"> 325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三十、金属制品业</w:t>
            </w:r>
            <w:r>
              <w:rPr>
                <w:rFonts w:eastAsia="宋体"/>
                <w:color w:val="000000"/>
                <w:sz w:val="20"/>
                <w:szCs w:val="20"/>
                <w:lang w:bidi="ar"/>
              </w:rPr>
              <w:t xml:space="preserve"> 33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7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结构性金属制品制造</w:t>
            </w:r>
            <w:r>
              <w:rPr>
                <w:rFonts w:eastAsia="宋体"/>
                <w:color w:val="000000"/>
                <w:sz w:val="20"/>
                <w:szCs w:val="20"/>
                <w:lang w:bidi="ar"/>
              </w:rPr>
              <w:t xml:space="preserve">331 </w:t>
            </w:r>
            <w:r>
              <w:rPr>
                <w:rFonts w:eastAsia="仿宋"/>
                <w:color w:val="000000"/>
                <w:sz w:val="20"/>
                <w:szCs w:val="20"/>
                <w:lang w:bidi="ar"/>
              </w:rPr>
              <w:t>；金属工具制造</w:t>
            </w:r>
            <w:r>
              <w:rPr>
                <w:rFonts w:eastAsia="宋体"/>
                <w:color w:val="000000"/>
                <w:sz w:val="20"/>
                <w:szCs w:val="20"/>
                <w:lang w:bidi="ar"/>
              </w:rPr>
              <w:t>332</w:t>
            </w:r>
            <w:r>
              <w:rPr>
                <w:rFonts w:eastAsia="仿宋"/>
                <w:color w:val="000000"/>
                <w:sz w:val="20"/>
                <w:szCs w:val="20"/>
                <w:lang w:bidi="ar"/>
              </w:rPr>
              <w:t>；集装箱及金属包装容器制造</w:t>
            </w:r>
            <w:r>
              <w:rPr>
                <w:rFonts w:eastAsia="宋体"/>
                <w:color w:val="000000"/>
                <w:sz w:val="20"/>
                <w:szCs w:val="20"/>
                <w:lang w:bidi="ar"/>
              </w:rPr>
              <w:t xml:space="preserve"> 333</w:t>
            </w:r>
            <w:r>
              <w:rPr>
                <w:rFonts w:eastAsia="仿宋"/>
                <w:color w:val="000000"/>
                <w:sz w:val="20"/>
                <w:szCs w:val="20"/>
                <w:lang w:bidi="ar"/>
              </w:rPr>
              <w:t>；金属丝绳及其制品制造</w:t>
            </w:r>
            <w:r>
              <w:rPr>
                <w:rFonts w:eastAsia="宋体"/>
                <w:color w:val="000000"/>
                <w:sz w:val="20"/>
                <w:szCs w:val="20"/>
                <w:lang w:bidi="ar"/>
              </w:rPr>
              <w:t>334</w:t>
            </w:r>
            <w:r>
              <w:rPr>
                <w:rFonts w:eastAsia="仿宋"/>
                <w:color w:val="000000"/>
                <w:sz w:val="20"/>
                <w:szCs w:val="20"/>
                <w:lang w:bidi="ar"/>
              </w:rPr>
              <w:t>；建筑、安全用金属制品制造</w:t>
            </w:r>
            <w:r>
              <w:rPr>
                <w:rFonts w:eastAsia="宋体"/>
                <w:color w:val="000000"/>
                <w:sz w:val="20"/>
                <w:szCs w:val="20"/>
                <w:lang w:bidi="ar"/>
              </w:rPr>
              <w:t xml:space="preserve"> 335</w:t>
            </w:r>
            <w:r>
              <w:rPr>
                <w:rFonts w:eastAsia="仿宋"/>
                <w:color w:val="000000"/>
                <w:sz w:val="20"/>
                <w:szCs w:val="20"/>
                <w:lang w:bidi="ar"/>
              </w:rPr>
              <w:t>；搪瓷制品制造</w:t>
            </w:r>
            <w:r>
              <w:rPr>
                <w:rFonts w:eastAsia="宋体"/>
                <w:color w:val="000000"/>
                <w:sz w:val="20"/>
                <w:szCs w:val="20"/>
                <w:lang w:bidi="ar"/>
              </w:rPr>
              <w:t xml:space="preserve"> 337</w:t>
            </w:r>
            <w:r>
              <w:rPr>
                <w:rFonts w:eastAsia="仿宋"/>
                <w:color w:val="000000"/>
                <w:sz w:val="20"/>
                <w:szCs w:val="20"/>
                <w:lang w:bidi="ar"/>
              </w:rPr>
              <w:t>；金属制日用品制造</w:t>
            </w:r>
            <w:r>
              <w:rPr>
                <w:rFonts w:eastAsia="宋体"/>
                <w:color w:val="000000"/>
                <w:sz w:val="20"/>
                <w:szCs w:val="20"/>
                <w:lang w:bidi="ar"/>
              </w:rPr>
              <w:t xml:space="preserve"> 338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7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金属表面处理及热处理加工</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33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有钝化工艺的热镀锌；使用有机涂层的（喷粉、喷塑、浸塑和电泳除外；年用溶剂型涂料（含稀释剂）</w:t>
            </w:r>
            <w:r>
              <w:rPr>
                <w:rFonts w:eastAsia="宋体"/>
                <w:color w:val="000000"/>
                <w:sz w:val="20"/>
                <w:szCs w:val="20"/>
                <w:lang w:bidi="ar"/>
              </w:rPr>
              <w:t xml:space="preserve"> 10</w:t>
            </w:r>
            <w:r>
              <w:rPr>
                <w:rFonts w:eastAsia="仿宋"/>
                <w:color w:val="000000"/>
                <w:sz w:val="20"/>
                <w:szCs w:val="20"/>
                <w:lang w:bidi="ar"/>
              </w:rPr>
              <w:t>吨以下和用非溶剂型低</w:t>
            </w:r>
            <w:r>
              <w:rPr>
                <w:rFonts w:eastAsia="宋体"/>
                <w:color w:val="000000"/>
                <w:sz w:val="20"/>
                <w:szCs w:val="20"/>
                <w:lang w:bidi="ar"/>
              </w:rPr>
              <w:t>VOCs</w:t>
            </w:r>
            <w:r>
              <w:rPr>
                <w:rFonts w:eastAsia="仿宋"/>
                <w:color w:val="000000"/>
                <w:sz w:val="20"/>
                <w:szCs w:val="20"/>
                <w:lang w:bidi="ar"/>
              </w:rPr>
              <w:t>含量涂料的除外）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41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铸造及其他金属制品制造</w:t>
            </w:r>
            <w:r>
              <w:rPr>
                <w:rFonts w:eastAsia="宋体"/>
                <w:color w:val="000000"/>
                <w:sz w:val="20"/>
                <w:szCs w:val="20"/>
                <w:lang w:bidi="ar"/>
              </w:rPr>
              <w:t xml:space="preserve"> 339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黑色金属铸造年产</w:t>
            </w:r>
            <w:r>
              <w:rPr>
                <w:rFonts w:eastAsia="宋体"/>
                <w:color w:val="000000"/>
                <w:sz w:val="20"/>
                <w:szCs w:val="20"/>
                <w:lang w:bidi="ar"/>
              </w:rPr>
              <w:t>10</w:t>
            </w:r>
            <w:r>
              <w:rPr>
                <w:rFonts w:eastAsia="仿宋"/>
                <w:color w:val="000000"/>
                <w:sz w:val="20"/>
                <w:szCs w:val="20"/>
                <w:lang w:bidi="ar"/>
              </w:rPr>
              <w:t>万吨及以上的；有色金属铸造年产</w:t>
            </w:r>
            <w:r>
              <w:rPr>
                <w:rFonts w:eastAsia="宋体"/>
                <w:color w:val="000000"/>
                <w:sz w:val="20"/>
                <w:szCs w:val="20"/>
                <w:lang w:bidi="ar"/>
              </w:rPr>
              <w:t>10</w:t>
            </w:r>
            <w:r>
              <w:rPr>
                <w:rFonts w:eastAsia="仿宋"/>
                <w:color w:val="000000"/>
                <w:sz w:val="20"/>
                <w:szCs w:val="20"/>
                <w:lang w:bidi="ar"/>
              </w:rPr>
              <w:t>万吨及以上的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三十一、通用设备制造业</w:t>
            </w:r>
            <w:r>
              <w:rPr>
                <w:rFonts w:eastAsia="宋体"/>
                <w:color w:val="000000"/>
                <w:sz w:val="20"/>
                <w:szCs w:val="20"/>
                <w:lang w:bidi="ar"/>
              </w:rPr>
              <w:t xml:space="preserve"> 34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69</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锅炉及原动设备制造</w:t>
            </w:r>
            <w:r>
              <w:rPr>
                <w:rFonts w:eastAsia="宋体"/>
                <w:color w:val="000000"/>
                <w:sz w:val="20"/>
                <w:szCs w:val="20"/>
                <w:lang w:bidi="ar"/>
              </w:rPr>
              <w:t>341</w:t>
            </w:r>
            <w:r>
              <w:rPr>
                <w:rFonts w:eastAsia="仿宋"/>
                <w:color w:val="000000"/>
                <w:sz w:val="20"/>
                <w:szCs w:val="20"/>
                <w:lang w:bidi="ar"/>
              </w:rPr>
              <w:t>；金属加工机械制造</w:t>
            </w:r>
            <w:r>
              <w:rPr>
                <w:rFonts w:eastAsia="宋体"/>
                <w:color w:val="000000"/>
                <w:sz w:val="20"/>
                <w:szCs w:val="20"/>
                <w:lang w:bidi="ar"/>
              </w:rPr>
              <w:t xml:space="preserve"> 342</w:t>
            </w:r>
            <w:r>
              <w:rPr>
                <w:rFonts w:eastAsia="仿宋"/>
                <w:color w:val="000000"/>
                <w:sz w:val="20"/>
                <w:szCs w:val="20"/>
                <w:lang w:bidi="ar"/>
              </w:rPr>
              <w:t>；物料搬运设备制造</w:t>
            </w:r>
            <w:r>
              <w:rPr>
                <w:rFonts w:eastAsia="宋体"/>
                <w:color w:val="000000"/>
                <w:sz w:val="20"/>
                <w:szCs w:val="20"/>
                <w:lang w:bidi="ar"/>
              </w:rPr>
              <w:t xml:space="preserve"> 343</w:t>
            </w:r>
            <w:r>
              <w:rPr>
                <w:rFonts w:eastAsia="仿宋"/>
                <w:color w:val="000000"/>
                <w:sz w:val="20"/>
                <w:szCs w:val="20"/>
                <w:lang w:bidi="ar"/>
              </w:rPr>
              <w:t>；泵、阀门、压缩机及类似机械制造</w:t>
            </w:r>
            <w:r>
              <w:rPr>
                <w:rFonts w:eastAsia="宋体"/>
                <w:color w:val="000000"/>
                <w:sz w:val="20"/>
                <w:szCs w:val="20"/>
                <w:lang w:bidi="ar"/>
              </w:rPr>
              <w:t xml:space="preserve"> 344</w:t>
            </w:r>
            <w:r>
              <w:rPr>
                <w:rFonts w:eastAsia="仿宋"/>
                <w:color w:val="000000"/>
                <w:sz w:val="20"/>
                <w:szCs w:val="20"/>
                <w:lang w:bidi="ar"/>
              </w:rPr>
              <w:t>；轴承、齿轮和传动部件制造</w:t>
            </w:r>
            <w:r>
              <w:rPr>
                <w:rFonts w:eastAsia="宋体"/>
                <w:color w:val="000000"/>
                <w:sz w:val="20"/>
                <w:szCs w:val="20"/>
                <w:lang w:bidi="ar"/>
              </w:rPr>
              <w:t>345</w:t>
            </w:r>
            <w:r>
              <w:rPr>
                <w:rFonts w:eastAsia="仿宋"/>
                <w:color w:val="000000"/>
                <w:sz w:val="20"/>
                <w:szCs w:val="20"/>
                <w:lang w:bidi="ar"/>
              </w:rPr>
              <w:t>；烘炉、风机、包装等设备制造</w:t>
            </w:r>
            <w:r>
              <w:rPr>
                <w:rFonts w:eastAsia="宋体"/>
                <w:color w:val="000000"/>
                <w:sz w:val="20"/>
                <w:szCs w:val="20"/>
                <w:lang w:bidi="ar"/>
              </w:rPr>
              <w:t xml:space="preserve"> 346</w:t>
            </w:r>
            <w:r>
              <w:rPr>
                <w:rFonts w:eastAsia="仿宋"/>
                <w:color w:val="000000"/>
                <w:sz w:val="20"/>
                <w:szCs w:val="20"/>
                <w:lang w:bidi="ar"/>
              </w:rPr>
              <w:t>；文化、办公用机械制造</w:t>
            </w:r>
            <w:r>
              <w:rPr>
                <w:rFonts w:eastAsia="宋体"/>
                <w:color w:val="000000"/>
                <w:sz w:val="20"/>
                <w:szCs w:val="20"/>
                <w:lang w:bidi="ar"/>
              </w:rPr>
              <w:t xml:space="preserve"> 347</w:t>
            </w:r>
            <w:r>
              <w:rPr>
                <w:rFonts w:eastAsia="仿宋"/>
                <w:color w:val="000000"/>
                <w:sz w:val="20"/>
                <w:szCs w:val="20"/>
                <w:lang w:bidi="ar"/>
              </w:rPr>
              <w:t>；通用零部件制造</w:t>
            </w:r>
            <w:r>
              <w:rPr>
                <w:rFonts w:eastAsia="宋体"/>
                <w:color w:val="000000"/>
                <w:sz w:val="20"/>
                <w:szCs w:val="20"/>
                <w:lang w:bidi="ar"/>
              </w:rPr>
              <w:t xml:space="preserve"> 348</w:t>
            </w:r>
            <w:r>
              <w:rPr>
                <w:rFonts w:eastAsia="仿宋"/>
                <w:color w:val="000000"/>
                <w:sz w:val="20"/>
                <w:szCs w:val="20"/>
                <w:lang w:bidi="ar"/>
              </w:rPr>
              <w:t>；其他通用设备制造业</w:t>
            </w:r>
            <w:r>
              <w:rPr>
                <w:rFonts w:eastAsia="宋体"/>
                <w:color w:val="000000"/>
                <w:sz w:val="20"/>
                <w:szCs w:val="20"/>
                <w:lang w:bidi="ar"/>
              </w:rPr>
              <w:t xml:space="preserve"> 349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05"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三十二、专用设备制造业</w:t>
            </w:r>
            <w:r>
              <w:rPr>
                <w:rFonts w:eastAsia="宋体"/>
                <w:color w:val="000000"/>
                <w:sz w:val="20"/>
                <w:szCs w:val="20"/>
                <w:lang w:bidi="ar"/>
              </w:rPr>
              <w:t xml:space="preserve"> 35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6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采矿、冶金、建筑专用设备制造</w:t>
            </w:r>
            <w:r>
              <w:rPr>
                <w:rFonts w:eastAsia="宋体"/>
                <w:color w:val="000000"/>
                <w:sz w:val="20"/>
                <w:szCs w:val="20"/>
                <w:lang w:bidi="ar"/>
              </w:rPr>
              <w:t xml:space="preserve"> 351</w:t>
            </w:r>
            <w:r>
              <w:rPr>
                <w:rFonts w:eastAsia="仿宋"/>
                <w:color w:val="000000"/>
                <w:sz w:val="20"/>
                <w:szCs w:val="20"/>
                <w:lang w:bidi="ar"/>
              </w:rPr>
              <w:t>；化工、木材、非金属加工专用设备制</w:t>
            </w:r>
            <w:r>
              <w:rPr>
                <w:rFonts w:eastAsia="宋体"/>
                <w:color w:val="000000"/>
                <w:sz w:val="20"/>
                <w:szCs w:val="20"/>
                <w:lang w:bidi="ar"/>
              </w:rPr>
              <w:t xml:space="preserve"> </w:t>
            </w:r>
            <w:r>
              <w:rPr>
                <w:rFonts w:eastAsia="仿宋"/>
                <w:color w:val="000000"/>
                <w:sz w:val="20"/>
                <w:szCs w:val="20"/>
                <w:lang w:bidi="ar"/>
              </w:rPr>
              <w:t>造</w:t>
            </w:r>
            <w:r>
              <w:rPr>
                <w:rFonts w:eastAsia="宋体"/>
                <w:color w:val="000000"/>
                <w:sz w:val="20"/>
                <w:szCs w:val="20"/>
                <w:lang w:bidi="ar"/>
              </w:rPr>
              <w:t>352</w:t>
            </w:r>
            <w:r>
              <w:rPr>
                <w:rFonts w:eastAsia="仿宋"/>
                <w:color w:val="000000"/>
                <w:sz w:val="20"/>
                <w:szCs w:val="20"/>
                <w:lang w:bidi="ar"/>
              </w:rPr>
              <w:t>；食品、饮料、烟草及饲料生产专用设备制造</w:t>
            </w:r>
            <w:r>
              <w:rPr>
                <w:rFonts w:eastAsia="宋体"/>
                <w:color w:val="000000"/>
                <w:sz w:val="20"/>
                <w:szCs w:val="20"/>
                <w:lang w:bidi="ar"/>
              </w:rPr>
              <w:t xml:space="preserve"> 353</w:t>
            </w:r>
            <w:r>
              <w:rPr>
                <w:rFonts w:eastAsia="仿宋"/>
                <w:color w:val="000000"/>
                <w:sz w:val="20"/>
                <w:szCs w:val="20"/>
                <w:lang w:bidi="ar"/>
              </w:rPr>
              <w:t>；印刷、制药、日化及日用品生产专用设备制造</w:t>
            </w:r>
            <w:r>
              <w:rPr>
                <w:rFonts w:eastAsia="宋体"/>
                <w:color w:val="000000"/>
                <w:sz w:val="20"/>
                <w:szCs w:val="20"/>
                <w:lang w:bidi="ar"/>
              </w:rPr>
              <w:t>354</w:t>
            </w:r>
            <w:r>
              <w:rPr>
                <w:rFonts w:eastAsia="仿宋"/>
                <w:color w:val="000000"/>
                <w:sz w:val="20"/>
                <w:szCs w:val="20"/>
                <w:lang w:bidi="ar"/>
              </w:rPr>
              <w:t>；纺织、服装和皮革加工专用设备制造</w:t>
            </w:r>
            <w:r>
              <w:rPr>
                <w:rFonts w:eastAsia="宋体"/>
                <w:color w:val="000000"/>
                <w:sz w:val="20"/>
                <w:szCs w:val="20"/>
                <w:lang w:bidi="ar"/>
              </w:rPr>
              <w:t>355</w:t>
            </w:r>
            <w:r>
              <w:rPr>
                <w:rFonts w:eastAsia="仿宋"/>
                <w:color w:val="000000"/>
                <w:sz w:val="20"/>
                <w:szCs w:val="20"/>
                <w:lang w:bidi="ar"/>
              </w:rPr>
              <w:t>；电子和电工机械专用设备制造</w:t>
            </w:r>
            <w:r>
              <w:rPr>
                <w:rFonts w:eastAsia="宋体"/>
                <w:color w:val="000000"/>
                <w:sz w:val="20"/>
                <w:szCs w:val="20"/>
                <w:lang w:bidi="ar"/>
              </w:rPr>
              <w:t xml:space="preserve"> 356</w:t>
            </w:r>
            <w:r>
              <w:rPr>
                <w:rFonts w:eastAsia="仿宋"/>
                <w:color w:val="000000"/>
                <w:sz w:val="20"/>
                <w:szCs w:val="20"/>
                <w:lang w:bidi="ar"/>
              </w:rPr>
              <w:t>；农、林、牧、渔专用机械制造</w:t>
            </w:r>
            <w:r>
              <w:rPr>
                <w:rFonts w:eastAsia="宋体"/>
                <w:color w:val="000000"/>
                <w:sz w:val="20"/>
                <w:szCs w:val="20"/>
                <w:lang w:bidi="ar"/>
              </w:rPr>
              <w:t xml:space="preserve"> 357</w:t>
            </w:r>
            <w:r>
              <w:rPr>
                <w:rFonts w:eastAsia="仿宋"/>
                <w:color w:val="000000"/>
                <w:sz w:val="20"/>
                <w:szCs w:val="20"/>
                <w:lang w:bidi="ar"/>
              </w:rPr>
              <w:t>；医疗仪器设备及器械制造</w:t>
            </w:r>
            <w:r>
              <w:rPr>
                <w:rFonts w:eastAsia="宋体"/>
                <w:color w:val="000000"/>
                <w:sz w:val="20"/>
                <w:szCs w:val="20"/>
                <w:lang w:bidi="ar"/>
              </w:rPr>
              <w:t>358</w:t>
            </w:r>
            <w:r>
              <w:rPr>
                <w:rFonts w:eastAsia="仿宋"/>
                <w:color w:val="000000"/>
                <w:sz w:val="20"/>
                <w:szCs w:val="20"/>
                <w:lang w:bidi="ar"/>
              </w:rPr>
              <w:t>；环保、邮政、社会公共服务及其他专用设备制造</w:t>
            </w:r>
            <w:r>
              <w:rPr>
                <w:rFonts w:eastAsia="宋体"/>
                <w:color w:val="000000"/>
                <w:sz w:val="20"/>
                <w:szCs w:val="20"/>
                <w:lang w:bidi="ar"/>
              </w:rPr>
              <w:t xml:space="preserve"> 359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6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三十三、汽车制造业</w:t>
            </w:r>
            <w:r>
              <w:rPr>
                <w:rFonts w:eastAsia="宋体"/>
                <w:color w:val="000000"/>
                <w:sz w:val="20"/>
                <w:szCs w:val="20"/>
                <w:lang w:bidi="ar"/>
              </w:rPr>
              <w:t xml:space="preserve"> 36</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汽车整车制造</w:t>
            </w:r>
            <w:r>
              <w:rPr>
                <w:rFonts w:eastAsia="宋体"/>
                <w:color w:val="000000"/>
                <w:sz w:val="20"/>
                <w:szCs w:val="20"/>
                <w:lang w:bidi="ar"/>
              </w:rPr>
              <w:t xml:space="preserve"> 361</w:t>
            </w:r>
            <w:r>
              <w:rPr>
                <w:rFonts w:eastAsia="仿宋"/>
                <w:color w:val="000000"/>
                <w:sz w:val="20"/>
                <w:szCs w:val="20"/>
                <w:lang w:bidi="ar"/>
              </w:rPr>
              <w:t>；汽车用发动机制造</w:t>
            </w:r>
            <w:r>
              <w:rPr>
                <w:rFonts w:eastAsia="宋体"/>
                <w:color w:val="000000"/>
                <w:sz w:val="20"/>
                <w:szCs w:val="20"/>
                <w:lang w:bidi="ar"/>
              </w:rPr>
              <w:t xml:space="preserve">362 </w:t>
            </w:r>
            <w:r>
              <w:rPr>
                <w:rFonts w:eastAsia="仿宋"/>
                <w:color w:val="000000"/>
                <w:sz w:val="20"/>
                <w:szCs w:val="20"/>
                <w:lang w:bidi="ar"/>
              </w:rPr>
              <w:t>；改装汽车制造</w:t>
            </w:r>
            <w:r>
              <w:rPr>
                <w:rFonts w:eastAsia="宋体"/>
                <w:color w:val="000000"/>
                <w:sz w:val="20"/>
                <w:szCs w:val="20"/>
                <w:lang w:bidi="ar"/>
              </w:rPr>
              <w:t xml:space="preserve">363 </w:t>
            </w:r>
            <w:r>
              <w:rPr>
                <w:rFonts w:eastAsia="仿宋"/>
                <w:color w:val="000000"/>
                <w:sz w:val="20"/>
                <w:szCs w:val="20"/>
                <w:lang w:bidi="ar"/>
              </w:rPr>
              <w:t>；低速汽车制造</w:t>
            </w:r>
            <w:r>
              <w:rPr>
                <w:rFonts w:eastAsia="宋体"/>
                <w:color w:val="000000"/>
                <w:sz w:val="20"/>
                <w:szCs w:val="20"/>
                <w:lang w:bidi="ar"/>
              </w:rPr>
              <w:t>364</w:t>
            </w:r>
            <w:r>
              <w:rPr>
                <w:rFonts w:eastAsia="仿宋"/>
                <w:color w:val="000000"/>
                <w:sz w:val="20"/>
                <w:szCs w:val="20"/>
                <w:lang w:bidi="ar"/>
              </w:rPr>
              <w:t>；电车制造</w:t>
            </w:r>
            <w:r>
              <w:rPr>
                <w:rFonts w:eastAsia="宋体"/>
                <w:color w:val="000000"/>
                <w:sz w:val="20"/>
                <w:szCs w:val="20"/>
                <w:lang w:bidi="ar"/>
              </w:rPr>
              <w:t xml:space="preserve"> 365</w:t>
            </w:r>
            <w:r>
              <w:rPr>
                <w:rFonts w:eastAsia="仿宋"/>
                <w:color w:val="000000"/>
                <w:sz w:val="20"/>
                <w:szCs w:val="20"/>
                <w:lang w:bidi="ar"/>
              </w:rPr>
              <w:t>；汽车车身、挂车制造</w:t>
            </w:r>
            <w:r>
              <w:rPr>
                <w:rFonts w:eastAsia="宋体"/>
                <w:color w:val="000000"/>
                <w:sz w:val="20"/>
                <w:szCs w:val="20"/>
                <w:lang w:bidi="ar"/>
              </w:rPr>
              <w:t>366</w:t>
            </w:r>
            <w:r>
              <w:rPr>
                <w:rFonts w:eastAsia="仿宋"/>
                <w:color w:val="000000"/>
                <w:sz w:val="20"/>
                <w:szCs w:val="20"/>
                <w:lang w:bidi="ar"/>
              </w:rPr>
              <w:t>；汽车零部件及配件制造</w:t>
            </w:r>
            <w:r>
              <w:rPr>
                <w:rFonts w:eastAsia="宋体"/>
                <w:color w:val="000000"/>
                <w:sz w:val="20"/>
                <w:szCs w:val="20"/>
                <w:lang w:bidi="ar"/>
              </w:rPr>
              <w:t xml:space="preserve"> 367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汽车整车制造（仅组装的除外）；有电镀工艺的；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汽车用发动机制造（仅组装的除外）；年用溶剂型涂料（含稀释剂）</w:t>
            </w:r>
            <w:r>
              <w:rPr>
                <w:rFonts w:eastAsia="宋体"/>
                <w:color w:val="000000"/>
                <w:sz w:val="20"/>
                <w:szCs w:val="20"/>
                <w:lang w:bidi="ar"/>
              </w:rPr>
              <w:t xml:space="preserve">10 </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三十四、铁路、船舶、航空航天和其他运输设备制造业</w:t>
            </w:r>
            <w:r>
              <w:rPr>
                <w:rFonts w:eastAsia="宋体"/>
                <w:color w:val="000000"/>
                <w:sz w:val="20"/>
                <w:szCs w:val="20"/>
                <w:lang w:bidi="ar"/>
              </w:rPr>
              <w:t xml:space="preserve"> 37</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铁路运输设备制造</w:t>
            </w:r>
            <w:r>
              <w:rPr>
                <w:rFonts w:eastAsia="宋体"/>
                <w:color w:val="000000"/>
                <w:sz w:val="20"/>
                <w:szCs w:val="20"/>
                <w:lang w:bidi="ar"/>
              </w:rPr>
              <w:t>371</w:t>
            </w:r>
            <w:r>
              <w:rPr>
                <w:rFonts w:eastAsia="仿宋"/>
                <w:color w:val="000000"/>
                <w:sz w:val="20"/>
                <w:szCs w:val="20"/>
                <w:lang w:bidi="ar"/>
              </w:rPr>
              <w:t>；城市轨道交通设备制造</w:t>
            </w:r>
            <w:r>
              <w:rPr>
                <w:rFonts w:eastAsia="宋体"/>
                <w:color w:val="000000"/>
                <w:sz w:val="20"/>
                <w:szCs w:val="20"/>
                <w:lang w:bidi="ar"/>
              </w:rPr>
              <w:t xml:space="preserve"> 372</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机车、车辆、高铁车组、城市轨道交通设备制造；发动机生产；有电镀工艺的；年用溶剂型涂料（含稀释剂）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宋体"/>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船舶及相关装置制造</w:t>
            </w:r>
            <w:r>
              <w:rPr>
                <w:rFonts w:eastAsia="宋体"/>
                <w:color w:val="000000"/>
                <w:sz w:val="20"/>
                <w:szCs w:val="20"/>
                <w:lang w:bidi="ar"/>
              </w:rPr>
              <w:t>373</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造船、拆船、修船厂；有电镀工艺的；</w:t>
            </w:r>
            <w:r>
              <w:rPr>
                <w:rFonts w:eastAsia="宋体"/>
                <w:color w:val="000000"/>
                <w:sz w:val="20"/>
                <w:szCs w:val="20"/>
                <w:lang w:bidi="ar"/>
              </w:rPr>
              <w:t xml:space="preserve"> </w:t>
            </w: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其他（仅组装的除外；木船建造和维修除外；年用非溶剂型低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航空、航天器及设备制造</w:t>
            </w:r>
            <w:r>
              <w:rPr>
                <w:rFonts w:eastAsia="宋体"/>
                <w:color w:val="000000"/>
                <w:sz w:val="20"/>
                <w:szCs w:val="20"/>
                <w:lang w:bidi="ar"/>
              </w:rPr>
              <w:t xml:space="preserve"> 374</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08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75</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摩托车制造</w:t>
            </w:r>
            <w:r>
              <w:rPr>
                <w:rFonts w:eastAsia="宋体"/>
                <w:color w:val="000000"/>
                <w:sz w:val="20"/>
                <w:szCs w:val="20"/>
                <w:lang w:bidi="ar"/>
              </w:rPr>
              <w:t xml:space="preserve"> 375</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38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摩托车整车制造（仅组装的除外）；发动机制造（仅组装的除外）；年用溶剂型涂料（含稀释剂）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638"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自行车和残疾人座车制造</w:t>
            </w:r>
            <w:r>
              <w:rPr>
                <w:rFonts w:eastAsia="宋体"/>
                <w:color w:val="000000"/>
                <w:sz w:val="20"/>
                <w:szCs w:val="20"/>
                <w:lang w:bidi="ar"/>
              </w:rPr>
              <w:t xml:space="preserve"> 376</w:t>
            </w:r>
            <w:r>
              <w:rPr>
                <w:rFonts w:eastAsia="仿宋"/>
                <w:color w:val="000000"/>
                <w:sz w:val="20"/>
                <w:szCs w:val="20"/>
                <w:lang w:bidi="ar"/>
              </w:rPr>
              <w:t>；助动车制造</w:t>
            </w:r>
            <w:r>
              <w:rPr>
                <w:rFonts w:eastAsia="宋体"/>
                <w:color w:val="000000"/>
                <w:sz w:val="20"/>
                <w:szCs w:val="20"/>
                <w:lang w:bidi="ar"/>
              </w:rPr>
              <w:t xml:space="preserve"> 377</w:t>
            </w:r>
            <w:r>
              <w:rPr>
                <w:rFonts w:eastAsia="仿宋"/>
                <w:color w:val="000000"/>
                <w:sz w:val="20"/>
                <w:szCs w:val="20"/>
                <w:lang w:bidi="ar"/>
              </w:rPr>
              <w:t>；非公路休闲车及</w:t>
            </w:r>
            <w:r>
              <w:rPr>
                <w:rFonts w:eastAsia="宋体"/>
                <w:color w:val="000000"/>
                <w:sz w:val="20"/>
                <w:szCs w:val="20"/>
                <w:lang w:bidi="ar"/>
              </w:rPr>
              <w:t xml:space="preserve"> </w:t>
            </w:r>
            <w:r>
              <w:rPr>
                <w:rFonts w:eastAsia="仿宋"/>
                <w:color w:val="000000"/>
                <w:sz w:val="20"/>
                <w:szCs w:val="20"/>
                <w:lang w:bidi="ar"/>
              </w:rPr>
              <w:t>零配件制造</w:t>
            </w:r>
            <w:r>
              <w:rPr>
                <w:rFonts w:eastAsia="宋体"/>
                <w:color w:val="000000"/>
                <w:sz w:val="20"/>
                <w:szCs w:val="20"/>
                <w:lang w:bidi="ar"/>
              </w:rPr>
              <w:t xml:space="preserve"> 378</w:t>
            </w:r>
            <w:r>
              <w:rPr>
                <w:rFonts w:eastAsia="仿宋"/>
                <w:color w:val="000000"/>
                <w:sz w:val="20"/>
                <w:szCs w:val="20"/>
                <w:lang w:bidi="ar"/>
              </w:rPr>
              <w:t>；潜水救捞及其他未列明运输设备制造</w:t>
            </w:r>
            <w:r>
              <w:rPr>
                <w:rFonts w:eastAsia="宋体"/>
                <w:color w:val="000000"/>
                <w:sz w:val="20"/>
                <w:szCs w:val="20"/>
                <w:lang w:bidi="ar"/>
              </w:rPr>
              <w:t xml:space="preserve"> 379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84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三十五、电气机械和器材制造业</w:t>
            </w:r>
            <w:r>
              <w:rPr>
                <w:rFonts w:eastAsia="宋体"/>
                <w:color w:val="000000"/>
                <w:sz w:val="20"/>
                <w:szCs w:val="20"/>
                <w:lang w:bidi="ar"/>
              </w:rPr>
              <w:t xml:space="preserve"> 38</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77</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电机制造</w:t>
            </w:r>
            <w:r>
              <w:rPr>
                <w:rFonts w:eastAsia="宋体"/>
                <w:color w:val="000000"/>
                <w:sz w:val="20"/>
                <w:szCs w:val="20"/>
                <w:lang w:bidi="ar"/>
              </w:rPr>
              <w:t xml:space="preserve"> 381</w:t>
            </w:r>
            <w:r>
              <w:rPr>
                <w:rFonts w:eastAsia="仿宋"/>
                <w:color w:val="000000"/>
                <w:sz w:val="20"/>
                <w:szCs w:val="20"/>
                <w:lang w:bidi="ar"/>
              </w:rPr>
              <w:t>；输配电及控制设备制造</w:t>
            </w:r>
            <w:r>
              <w:rPr>
                <w:rFonts w:eastAsia="宋体"/>
                <w:color w:val="000000"/>
                <w:sz w:val="20"/>
                <w:szCs w:val="20"/>
                <w:lang w:bidi="ar"/>
              </w:rPr>
              <w:t>382</w:t>
            </w:r>
            <w:r>
              <w:rPr>
                <w:rFonts w:eastAsia="仿宋"/>
                <w:color w:val="000000"/>
                <w:sz w:val="20"/>
                <w:szCs w:val="20"/>
                <w:lang w:bidi="ar"/>
              </w:rPr>
              <w:t>；电线、电缆、光缆及电工器材制造</w:t>
            </w:r>
            <w:r>
              <w:rPr>
                <w:rFonts w:eastAsia="宋体"/>
                <w:color w:val="000000"/>
                <w:sz w:val="20"/>
                <w:szCs w:val="20"/>
                <w:lang w:bidi="ar"/>
              </w:rPr>
              <w:t>383</w:t>
            </w:r>
            <w:r>
              <w:rPr>
                <w:rFonts w:eastAsia="仿宋"/>
                <w:color w:val="000000"/>
                <w:sz w:val="20"/>
                <w:szCs w:val="20"/>
                <w:lang w:bidi="ar"/>
              </w:rPr>
              <w:t>；电池制造</w:t>
            </w:r>
            <w:r>
              <w:rPr>
                <w:rFonts w:eastAsia="宋体"/>
                <w:color w:val="000000"/>
                <w:sz w:val="20"/>
                <w:szCs w:val="20"/>
                <w:lang w:bidi="ar"/>
              </w:rPr>
              <w:t xml:space="preserve"> 384</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家用电力器具制造</w:t>
            </w:r>
            <w:r>
              <w:rPr>
                <w:rFonts w:eastAsia="宋体"/>
                <w:color w:val="000000"/>
                <w:sz w:val="20"/>
                <w:szCs w:val="20"/>
                <w:lang w:bidi="ar"/>
              </w:rPr>
              <w:t>385</w:t>
            </w:r>
            <w:r>
              <w:rPr>
                <w:rFonts w:eastAsia="仿宋"/>
                <w:color w:val="000000"/>
                <w:sz w:val="20"/>
                <w:szCs w:val="20"/>
                <w:lang w:bidi="ar"/>
              </w:rPr>
              <w:t>；非电力家用器具制造</w:t>
            </w:r>
            <w:r>
              <w:rPr>
                <w:rFonts w:eastAsia="宋体"/>
                <w:color w:val="000000"/>
                <w:sz w:val="20"/>
                <w:szCs w:val="20"/>
                <w:lang w:bidi="ar"/>
              </w:rPr>
              <w:t xml:space="preserve"> 386</w:t>
            </w:r>
            <w:r>
              <w:rPr>
                <w:rFonts w:eastAsia="仿宋"/>
                <w:color w:val="000000"/>
                <w:sz w:val="20"/>
                <w:szCs w:val="20"/>
                <w:lang w:bidi="ar"/>
              </w:rPr>
              <w:t>；照明器具制造</w:t>
            </w:r>
            <w:r>
              <w:rPr>
                <w:rFonts w:eastAsia="宋体"/>
                <w:color w:val="000000"/>
                <w:sz w:val="20"/>
                <w:szCs w:val="20"/>
                <w:lang w:bidi="ar"/>
              </w:rPr>
              <w:t xml:space="preserve"> 387</w:t>
            </w:r>
            <w:r>
              <w:rPr>
                <w:rFonts w:eastAsia="仿宋"/>
                <w:color w:val="000000"/>
                <w:sz w:val="20"/>
                <w:szCs w:val="20"/>
                <w:lang w:bidi="ar"/>
              </w:rPr>
              <w:t>；其他电气机械及器材制造</w:t>
            </w:r>
            <w:r>
              <w:rPr>
                <w:rFonts w:eastAsia="宋体"/>
                <w:color w:val="000000"/>
                <w:sz w:val="20"/>
                <w:szCs w:val="20"/>
                <w:lang w:bidi="ar"/>
              </w:rPr>
              <w:t xml:space="preserve"> 389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铅蓄电池制造；有电镀工艺的；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太阳能电池片生产；年用溶剂型涂料（含稀释剂）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三十六、计算机、通信和其他电子设备制造业</w:t>
            </w:r>
            <w:r>
              <w:rPr>
                <w:rFonts w:eastAsia="宋体"/>
                <w:color w:val="000000"/>
                <w:sz w:val="20"/>
                <w:szCs w:val="20"/>
                <w:lang w:bidi="ar"/>
              </w:rPr>
              <w:t xml:space="preserve"> 39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计算机制造</w:t>
            </w:r>
            <w:r>
              <w:rPr>
                <w:rFonts w:eastAsia="宋体"/>
                <w:color w:val="000000"/>
                <w:sz w:val="20"/>
                <w:szCs w:val="20"/>
                <w:lang w:bidi="ar"/>
              </w:rPr>
              <w:t xml:space="preserve"> 391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hint="eastAsia" w:eastAsia="仿宋"/>
                <w:color w:val="000000"/>
                <w:sz w:val="20"/>
                <w:szCs w:val="20"/>
                <w:lang w:eastAsia="zh-CN" w:bidi="ar"/>
              </w:rPr>
            </w:pPr>
            <w:r>
              <w:rPr>
                <w:rFonts w:eastAsia="仿宋"/>
                <w:color w:val="000000"/>
                <w:sz w:val="20"/>
                <w:szCs w:val="20"/>
                <w:lang w:bidi="ar"/>
              </w:rPr>
              <w:t>显示器件制造；集成电路制造；</w:t>
            </w:r>
            <w:r>
              <w:rPr>
                <w:rFonts w:eastAsia="宋体"/>
                <w:color w:val="000000"/>
                <w:sz w:val="20"/>
                <w:szCs w:val="20"/>
                <w:lang w:bidi="ar"/>
              </w:rPr>
              <w:t xml:space="preserve"> </w:t>
            </w:r>
            <w:r>
              <w:rPr>
                <w:rFonts w:eastAsia="仿宋"/>
                <w:color w:val="000000"/>
                <w:sz w:val="20"/>
                <w:szCs w:val="20"/>
                <w:lang w:bidi="ar"/>
              </w:rPr>
              <w:t>使用有机溶剂的；有酸洗的</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79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智能消费设备制造</w:t>
            </w:r>
            <w:r>
              <w:rPr>
                <w:rFonts w:eastAsia="宋体"/>
                <w:color w:val="000000"/>
                <w:sz w:val="20"/>
                <w:szCs w:val="20"/>
                <w:lang w:bidi="ar"/>
              </w:rPr>
              <w:t xml:space="preserve"> 396</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3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电子器件制造</w:t>
            </w:r>
            <w:r>
              <w:rPr>
                <w:rFonts w:eastAsia="宋体"/>
                <w:color w:val="000000"/>
                <w:sz w:val="20"/>
                <w:szCs w:val="20"/>
                <w:lang w:bidi="ar"/>
              </w:rPr>
              <w:t xml:space="preserve"> 397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hint="eastAsia" w:eastAsia="仿宋"/>
                <w:color w:val="000000"/>
                <w:sz w:val="20"/>
                <w:szCs w:val="20"/>
                <w:lang w:eastAsia="zh-CN" w:bidi="ar"/>
              </w:rPr>
            </w:pPr>
            <w:r>
              <w:rPr>
                <w:rFonts w:eastAsia="仿宋"/>
                <w:color w:val="000000"/>
                <w:sz w:val="20"/>
                <w:szCs w:val="20"/>
                <w:lang w:bidi="ar"/>
              </w:rPr>
              <w:t>显示器件制造；集成电路制造；</w:t>
            </w:r>
            <w:r>
              <w:rPr>
                <w:rFonts w:eastAsia="宋体"/>
                <w:color w:val="000000"/>
                <w:sz w:val="20"/>
                <w:szCs w:val="20"/>
                <w:lang w:bidi="ar"/>
              </w:rPr>
              <w:t xml:space="preserve"> </w:t>
            </w:r>
            <w:r>
              <w:rPr>
                <w:rFonts w:eastAsia="仿宋"/>
                <w:color w:val="000000"/>
                <w:sz w:val="20"/>
                <w:szCs w:val="20"/>
                <w:lang w:bidi="ar"/>
              </w:rPr>
              <w:t>使用有机溶剂的；有酸洗的</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电子元件及电子专用材料制造</w:t>
            </w:r>
            <w:r>
              <w:rPr>
                <w:rFonts w:eastAsia="宋体"/>
                <w:color w:val="000000"/>
                <w:sz w:val="20"/>
                <w:szCs w:val="20"/>
                <w:lang w:bidi="ar"/>
              </w:rPr>
              <w:t xml:space="preserve"> 398</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半导体材料制造；电子化工材料制造</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hint="eastAsia" w:eastAsia="仿宋"/>
                <w:color w:val="000000"/>
                <w:sz w:val="20"/>
                <w:szCs w:val="20"/>
                <w:lang w:eastAsia="zh-CN" w:bidi="ar"/>
              </w:rPr>
            </w:pPr>
            <w:r>
              <w:rPr>
                <w:rFonts w:eastAsia="仿宋"/>
                <w:color w:val="000000"/>
                <w:sz w:val="20"/>
                <w:szCs w:val="20"/>
                <w:lang w:bidi="ar"/>
              </w:rPr>
              <w:t>印刷电路板制造；电子专用材料制造（电子化工材料制造除外）；使用有机溶剂的；有酸洗的</w:t>
            </w:r>
          </w:p>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以上均不含仅分割、焊接、组装的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81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通信设备制造</w:t>
            </w:r>
            <w:r>
              <w:rPr>
                <w:rFonts w:eastAsia="宋体"/>
                <w:color w:val="000000"/>
                <w:sz w:val="20"/>
                <w:szCs w:val="20"/>
                <w:lang w:bidi="ar"/>
              </w:rPr>
              <w:t xml:space="preserve"> 392</w:t>
            </w:r>
            <w:r>
              <w:rPr>
                <w:rFonts w:eastAsia="仿宋"/>
                <w:color w:val="000000"/>
                <w:sz w:val="20"/>
                <w:szCs w:val="20"/>
                <w:lang w:bidi="ar"/>
              </w:rPr>
              <w:t>；广播电视设备制造</w:t>
            </w:r>
            <w:r>
              <w:rPr>
                <w:rFonts w:eastAsia="宋体"/>
                <w:color w:val="000000"/>
                <w:sz w:val="20"/>
                <w:szCs w:val="20"/>
                <w:lang w:bidi="ar"/>
              </w:rPr>
              <w:t>393</w:t>
            </w:r>
            <w:r>
              <w:rPr>
                <w:rFonts w:eastAsia="仿宋"/>
                <w:color w:val="000000"/>
                <w:sz w:val="20"/>
                <w:szCs w:val="20"/>
                <w:lang w:bidi="ar"/>
              </w:rPr>
              <w:t>；雷达及配套设备制造</w:t>
            </w:r>
            <w:r>
              <w:rPr>
                <w:rFonts w:eastAsia="宋体"/>
                <w:color w:val="000000"/>
                <w:sz w:val="20"/>
                <w:szCs w:val="20"/>
                <w:lang w:bidi="ar"/>
              </w:rPr>
              <w:t xml:space="preserve"> 394</w:t>
            </w:r>
            <w:r>
              <w:rPr>
                <w:rFonts w:eastAsia="仿宋"/>
                <w:color w:val="000000"/>
                <w:sz w:val="20"/>
                <w:szCs w:val="20"/>
                <w:lang w:bidi="ar"/>
              </w:rPr>
              <w:t>；非专业视听设备制造</w:t>
            </w:r>
            <w:r>
              <w:rPr>
                <w:rFonts w:eastAsia="宋体"/>
                <w:color w:val="000000"/>
                <w:sz w:val="20"/>
                <w:szCs w:val="20"/>
                <w:lang w:bidi="ar"/>
              </w:rPr>
              <w:t xml:space="preserve"> 395</w:t>
            </w:r>
            <w:r>
              <w:rPr>
                <w:rFonts w:eastAsia="仿宋"/>
                <w:color w:val="000000"/>
                <w:sz w:val="20"/>
                <w:szCs w:val="20"/>
                <w:lang w:bidi="ar"/>
              </w:rPr>
              <w:t>；其他电子设备制造</w:t>
            </w:r>
            <w:r>
              <w:rPr>
                <w:rFonts w:eastAsia="宋体"/>
                <w:color w:val="000000"/>
                <w:sz w:val="20"/>
                <w:szCs w:val="20"/>
                <w:lang w:bidi="ar"/>
              </w:rPr>
              <w:t xml:space="preserve"> 399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全部（仅分割、焊接、组装的除外）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三十七、仪器仪表制造业</w:t>
            </w:r>
            <w:r>
              <w:rPr>
                <w:rFonts w:eastAsia="宋体"/>
                <w:color w:val="000000"/>
                <w:sz w:val="20"/>
                <w:szCs w:val="20"/>
                <w:lang w:bidi="ar"/>
              </w:rPr>
              <w:t xml:space="preserve"> 40</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829"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通用仪器仪表制造</w:t>
            </w:r>
            <w:r>
              <w:rPr>
                <w:rFonts w:eastAsia="宋体"/>
                <w:color w:val="000000"/>
                <w:sz w:val="20"/>
                <w:szCs w:val="20"/>
                <w:lang w:bidi="ar"/>
              </w:rPr>
              <w:t>401</w:t>
            </w:r>
            <w:r>
              <w:rPr>
                <w:rFonts w:eastAsia="仿宋"/>
                <w:color w:val="000000"/>
                <w:sz w:val="20"/>
                <w:szCs w:val="20"/>
                <w:lang w:bidi="ar"/>
              </w:rPr>
              <w:t>；专用仪器仪表制造</w:t>
            </w:r>
            <w:r>
              <w:rPr>
                <w:rFonts w:eastAsia="宋体"/>
                <w:color w:val="000000"/>
                <w:sz w:val="20"/>
                <w:szCs w:val="20"/>
                <w:lang w:bidi="ar"/>
              </w:rPr>
              <w:t xml:space="preserve"> 402</w:t>
            </w:r>
            <w:r>
              <w:rPr>
                <w:rFonts w:eastAsia="仿宋"/>
                <w:color w:val="000000"/>
                <w:sz w:val="20"/>
                <w:szCs w:val="20"/>
                <w:lang w:bidi="ar"/>
              </w:rPr>
              <w:t>；钟表与计时仪器制造</w:t>
            </w:r>
            <w:r>
              <w:rPr>
                <w:rFonts w:eastAsia="宋体"/>
                <w:color w:val="000000"/>
                <w:sz w:val="20"/>
                <w:szCs w:val="20"/>
                <w:lang w:bidi="ar"/>
              </w:rPr>
              <w:t xml:space="preserve"> 403*</w:t>
            </w:r>
            <w:r>
              <w:rPr>
                <w:rFonts w:eastAsia="仿宋"/>
                <w:color w:val="000000"/>
                <w:sz w:val="20"/>
                <w:szCs w:val="20"/>
                <w:lang w:bidi="ar"/>
              </w:rPr>
              <w:t>；光学仪器制造</w:t>
            </w:r>
            <w:r>
              <w:rPr>
                <w:rFonts w:eastAsia="宋体"/>
                <w:color w:val="000000"/>
                <w:sz w:val="20"/>
                <w:szCs w:val="20"/>
                <w:lang w:bidi="ar"/>
              </w:rPr>
              <w:t xml:space="preserve"> 404</w:t>
            </w:r>
            <w:r>
              <w:rPr>
                <w:rFonts w:eastAsia="仿宋"/>
                <w:color w:val="000000"/>
                <w:sz w:val="20"/>
                <w:szCs w:val="20"/>
                <w:lang w:bidi="ar"/>
              </w:rPr>
              <w:t>；衡器制造</w:t>
            </w:r>
            <w:r>
              <w:rPr>
                <w:rFonts w:eastAsia="宋体"/>
                <w:color w:val="000000"/>
                <w:sz w:val="20"/>
                <w:szCs w:val="20"/>
                <w:lang w:bidi="ar"/>
              </w:rPr>
              <w:t xml:space="preserve"> 405</w:t>
            </w:r>
            <w:r>
              <w:rPr>
                <w:rFonts w:eastAsia="仿宋"/>
                <w:color w:val="000000"/>
                <w:sz w:val="20"/>
                <w:szCs w:val="20"/>
                <w:lang w:bidi="ar"/>
              </w:rPr>
              <w:t>；其他仪器仪表制造业</w:t>
            </w:r>
            <w:r>
              <w:rPr>
                <w:rFonts w:eastAsia="宋体"/>
                <w:color w:val="000000"/>
                <w:sz w:val="20"/>
                <w:szCs w:val="20"/>
                <w:lang w:bidi="ar"/>
              </w:rPr>
              <w:t xml:space="preserve"> 409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其他（仅分割、焊接、组装的除外；年用非溶剂型低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吨以下的除外）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904"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三十八、其他制造业</w:t>
            </w:r>
            <w:r>
              <w:rPr>
                <w:rFonts w:eastAsia="宋体"/>
                <w:color w:val="000000"/>
                <w:sz w:val="20"/>
                <w:szCs w:val="20"/>
                <w:lang w:bidi="ar"/>
              </w:rPr>
              <w:t xml:space="preserve"> 41</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85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日用杂品制造</w:t>
            </w:r>
            <w:r>
              <w:rPr>
                <w:rFonts w:eastAsia="宋体"/>
                <w:color w:val="000000"/>
                <w:sz w:val="20"/>
                <w:szCs w:val="20"/>
                <w:lang w:bidi="ar"/>
              </w:rPr>
              <w:t xml:space="preserve"> 411*</w:t>
            </w:r>
            <w:r>
              <w:rPr>
                <w:rFonts w:eastAsia="仿宋"/>
                <w:color w:val="000000"/>
                <w:sz w:val="20"/>
                <w:szCs w:val="20"/>
                <w:lang w:bidi="ar"/>
              </w:rPr>
              <w:t>；其他未列明制造业</w:t>
            </w:r>
            <w:r>
              <w:rPr>
                <w:rFonts w:eastAsia="宋体"/>
                <w:color w:val="000000"/>
                <w:sz w:val="20"/>
                <w:szCs w:val="20"/>
                <w:lang w:bidi="ar"/>
              </w:rPr>
              <w:t>419*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 xml:space="preserve"> 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85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三十九、废弃资源综合利用业</w:t>
            </w:r>
            <w:r>
              <w:rPr>
                <w:rFonts w:eastAsia="宋体"/>
                <w:color w:val="000000"/>
                <w:sz w:val="20"/>
                <w:szCs w:val="20"/>
                <w:lang w:bidi="ar"/>
              </w:rPr>
              <w:t xml:space="preserve"> 42</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金属废料和碎屑加工处理</w:t>
            </w:r>
            <w:r>
              <w:rPr>
                <w:rFonts w:eastAsia="宋体"/>
                <w:color w:val="000000"/>
                <w:sz w:val="20"/>
                <w:szCs w:val="20"/>
                <w:lang w:bidi="ar"/>
              </w:rPr>
              <w:t xml:space="preserve"> 421</w:t>
            </w:r>
            <w:r>
              <w:rPr>
                <w:rFonts w:eastAsia="仿宋"/>
                <w:color w:val="000000"/>
                <w:sz w:val="20"/>
                <w:szCs w:val="20"/>
                <w:lang w:bidi="ar"/>
              </w:rPr>
              <w:t>；非金属废料和碎屑加工处理</w:t>
            </w:r>
            <w:r>
              <w:rPr>
                <w:rFonts w:eastAsia="宋体"/>
                <w:color w:val="000000"/>
                <w:sz w:val="20"/>
                <w:szCs w:val="20"/>
                <w:lang w:bidi="ar"/>
              </w:rPr>
              <w:t>422</w:t>
            </w:r>
            <w:r>
              <w:rPr>
                <w:rFonts w:eastAsia="仿宋"/>
                <w:color w:val="000000"/>
                <w:sz w:val="20"/>
                <w:szCs w:val="20"/>
                <w:lang w:bidi="ar"/>
              </w:rPr>
              <w:t>（</w:t>
            </w:r>
            <w:r>
              <w:rPr>
                <w:rFonts w:eastAsia="宋体"/>
                <w:color w:val="000000"/>
                <w:sz w:val="20"/>
                <w:szCs w:val="20"/>
                <w:lang w:bidi="ar"/>
              </w:rPr>
              <w:t>421</w:t>
            </w:r>
            <w:r>
              <w:rPr>
                <w:rFonts w:eastAsia="仿宋"/>
                <w:color w:val="000000"/>
                <w:sz w:val="20"/>
                <w:szCs w:val="20"/>
                <w:lang w:bidi="ar"/>
              </w:rPr>
              <w:t>和</w:t>
            </w:r>
            <w:r>
              <w:rPr>
                <w:rFonts w:eastAsia="宋体"/>
                <w:color w:val="000000"/>
                <w:sz w:val="20"/>
                <w:szCs w:val="20"/>
                <w:lang w:bidi="ar"/>
              </w:rPr>
              <w:t>422</w:t>
            </w:r>
            <w:r>
              <w:rPr>
                <w:rFonts w:eastAsia="仿宋"/>
                <w:color w:val="000000"/>
                <w:sz w:val="20"/>
                <w:szCs w:val="20"/>
                <w:lang w:bidi="ar"/>
              </w:rPr>
              <w:t>均不含原料为危险废物的，</w:t>
            </w:r>
            <w:r>
              <w:rPr>
                <w:rFonts w:eastAsia="宋体"/>
                <w:color w:val="000000"/>
                <w:sz w:val="20"/>
                <w:szCs w:val="20"/>
                <w:lang w:bidi="ar"/>
              </w:rPr>
              <w:t xml:space="preserve"> </w:t>
            </w:r>
            <w:r>
              <w:rPr>
                <w:rFonts w:eastAsia="仿宋"/>
                <w:color w:val="000000"/>
                <w:sz w:val="20"/>
                <w:szCs w:val="20"/>
                <w:lang w:bidi="ar"/>
              </w:rPr>
              <w:t>均不含仅分拣、破碎的）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废电池、废油加工处理</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废弃电器电子产品、废机动车、废电机、废电线电缆、废钢、废铁、金属和金属化合物矿灰及残渣、有色金属废料与碎屑、废塑料、废轮胎、废船、含水洗工艺的其他废料和碎屑加工处理（农业生产产生的废旧秧盘、薄膜破碎和清洗工艺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四十、金属制品、机械和设备修理业</w:t>
            </w:r>
            <w:r>
              <w:rPr>
                <w:rFonts w:eastAsia="宋体"/>
                <w:color w:val="000000"/>
                <w:sz w:val="20"/>
                <w:szCs w:val="20"/>
                <w:lang w:bidi="ar"/>
              </w:rPr>
              <w:t xml:space="preserve"> 43</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020"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金属制品修理</w:t>
            </w:r>
            <w:r>
              <w:rPr>
                <w:rFonts w:eastAsia="宋体"/>
                <w:color w:val="000000"/>
                <w:sz w:val="20"/>
                <w:szCs w:val="20"/>
                <w:lang w:bidi="ar"/>
              </w:rPr>
              <w:t xml:space="preserve"> 431</w:t>
            </w:r>
            <w:r>
              <w:rPr>
                <w:rFonts w:eastAsia="仿宋"/>
                <w:color w:val="000000"/>
                <w:sz w:val="20"/>
                <w:szCs w:val="20"/>
                <w:lang w:bidi="ar"/>
              </w:rPr>
              <w:t>；通用设备修理</w:t>
            </w:r>
            <w:r>
              <w:rPr>
                <w:rFonts w:eastAsia="宋体"/>
                <w:color w:val="000000"/>
                <w:sz w:val="20"/>
                <w:szCs w:val="20"/>
                <w:lang w:bidi="ar"/>
              </w:rPr>
              <w:t xml:space="preserve"> 432</w:t>
            </w:r>
            <w:r>
              <w:rPr>
                <w:rFonts w:eastAsia="仿宋"/>
                <w:color w:val="000000"/>
                <w:sz w:val="20"/>
                <w:szCs w:val="20"/>
                <w:lang w:bidi="ar"/>
              </w:rPr>
              <w:t>；专用设备修理</w:t>
            </w:r>
            <w:r>
              <w:rPr>
                <w:rFonts w:eastAsia="宋体"/>
                <w:color w:val="000000"/>
                <w:sz w:val="20"/>
                <w:szCs w:val="20"/>
                <w:lang w:bidi="ar"/>
              </w:rPr>
              <w:t xml:space="preserve"> 433</w:t>
            </w:r>
            <w:r>
              <w:rPr>
                <w:rFonts w:eastAsia="仿宋"/>
                <w:color w:val="000000"/>
                <w:sz w:val="20"/>
                <w:szCs w:val="20"/>
                <w:lang w:bidi="ar"/>
              </w:rPr>
              <w:t>；铁路、船舶、航空航天等运输设备修理</w:t>
            </w:r>
            <w:r>
              <w:rPr>
                <w:rFonts w:eastAsia="宋体"/>
                <w:color w:val="000000"/>
                <w:sz w:val="20"/>
                <w:szCs w:val="20"/>
                <w:lang w:bidi="ar"/>
              </w:rPr>
              <w:t xml:space="preserve">434 </w:t>
            </w:r>
            <w:r>
              <w:rPr>
                <w:rFonts w:eastAsia="仿宋"/>
                <w:color w:val="000000"/>
                <w:sz w:val="20"/>
                <w:szCs w:val="20"/>
                <w:lang w:bidi="ar"/>
              </w:rPr>
              <w:t>；电气设备修理</w:t>
            </w:r>
            <w:r>
              <w:rPr>
                <w:rFonts w:eastAsia="宋体"/>
                <w:color w:val="000000"/>
                <w:sz w:val="20"/>
                <w:szCs w:val="20"/>
                <w:lang w:bidi="ar"/>
              </w:rPr>
              <w:t xml:space="preserve">435 </w:t>
            </w:r>
            <w:r>
              <w:rPr>
                <w:rFonts w:eastAsia="仿宋"/>
                <w:color w:val="000000"/>
                <w:sz w:val="20"/>
                <w:szCs w:val="20"/>
                <w:lang w:bidi="ar"/>
              </w:rPr>
              <w:t>；仪器仪表修理</w:t>
            </w:r>
            <w:r>
              <w:rPr>
                <w:rFonts w:eastAsia="宋体"/>
                <w:color w:val="000000"/>
                <w:sz w:val="20"/>
                <w:szCs w:val="20"/>
                <w:lang w:bidi="ar"/>
              </w:rPr>
              <w:t>436</w:t>
            </w:r>
            <w:r>
              <w:rPr>
                <w:rFonts w:eastAsia="仿宋"/>
                <w:color w:val="000000"/>
                <w:sz w:val="20"/>
                <w:szCs w:val="20"/>
                <w:lang w:bidi="ar"/>
              </w:rPr>
              <w:t>；其他机械和设备修理业</w:t>
            </w:r>
            <w:r>
              <w:rPr>
                <w:rFonts w:eastAsia="宋体"/>
                <w:color w:val="000000"/>
                <w:sz w:val="20"/>
                <w:szCs w:val="20"/>
                <w:lang w:bidi="ar"/>
              </w:rPr>
              <w:t xml:space="preserve"> 439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有电镀工艺的；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 xml:space="preserve"> 10</w:t>
            </w:r>
            <w:r>
              <w:rPr>
                <w:rFonts w:eastAsia="仿宋"/>
                <w:color w:val="000000"/>
                <w:sz w:val="20"/>
                <w:szCs w:val="20"/>
                <w:lang w:bidi="ar"/>
              </w:rPr>
              <w:t>吨以下的，或年用非溶剂型低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1020"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年用溶剂型涂料（含稀释剂）</w:t>
            </w:r>
            <w:r>
              <w:rPr>
                <w:rFonts w:eastAsia="宋体"/>
                <w:color w:val="000000"/>
                <w:sz w:val="20"/>
                <w:szCs w:val="20"/>
                <w:lang w:bidi="ar"/>
              </w:rPr>
              <w:t>10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四十一、电力、热力生产和供应业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火力发电</w:t>
            </w:r>
            <w:r>
              <w:rPr>
                <w:rFonts w:eastAsia="宋体"/>
                <w:color w:val="000000"/>
                <w:sz w:val="20"/>
                <w:szCs w:val="20"/>
                <w:lang w:bidi="ar"/>
              </w:rPr>
              <w:t xml:space="preserve"> 4411</w:t>
            </w:r>
            <w:r>
              <w:rPr>
                <w:rFonts w:eastAsia="仿宋"/>
                <w:color w:val="000000"/>
                <w:sz w:val="20"/>
                <w:szCs w:val="20"/>
                <w:lang w:bidi="ar"/>
              </w:rPr>
              <w:t>；热电联产</w:t>
            </w:r>
            <w:r>
              <w:rPr>
                <w:rFonts w:eastAsia="宋体"/>
                <w:color w:val="000000"/>
                <w:sz w:val="20"/>
                <w:szCs w:val="20"/>
                <w:lang w:bidi="ar"/>
              </w:rPr>
              <w:t xml:space="preserve"> 4412</w:t>
            </w:r>
            <w:r>
              <w:rPr>
                <w:rFonts w:eastAsia="仿宋"/>
                <w:color w:val="000000"/>
                <w:sz w:val="20"/>
                <w:szCs w:val="20"/>
                <w:lang w:bidi="ar"/>
              </w:rPr>
              <w:t>（</w:t>
            </w:r>
            <w:r>
              <w:rPr>
                <w:rFonts w:eastAsia="宋体"/>
                <w:color w:val="000000"/>
                <w:sz w:val="20"/>
                <w:szCs w:val="20"/>
                <w:lang w:bidi="ar"/>
              </w:rPr>
              <w:t>4411</w:t>
            </w:r>
            <w:r>
              <w:rPr>
                <w:rFonts w:eastAsia="仿宋"/>
                <w:color w:val="000000"/>
                <w:sz w:val="20"/>
                <w:szCs w:val="20"/>
                <w:lang w:bidi="ar"/>
              </w:rPr>
              <w:t>和</w:t>
            </w:r>
            <w:r>
              <w:rPr>
                <w:rFonts w:eastAsia="宋体"/>
                <w:color w:val="000000"/>
                <w:sz w:val="20"/>
                <w:szCs w:val="20"/>
                <w:lang w:bidi="ar"/>
              </w:rPr>
              <w:t>4412</w:t>
            </w:r>
            <w:r>
              <w:rPr>
                <w:rFonts w:eastAsia="仿宋"/>
                <w:color w:val="000000"/>
                <w:sz w:val="20"/>
                <w:szCs w:val="20"/>
                <w:lang w:bidi="ar"/>
              </w:rPr>
              <w:t>均含掺烧生活垃圾发电、掺烧污泥发电）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火力发电和热电联产（发电机组节能改造的除外；燃气发电除外；单纯利用余热、余压、余气（含煤矿瓦斯）发电的除外）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燃气发电；单纯利用余气（含煤矿瓦斯）发电</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88</w:t>
            </w:r>
          </w:p>
        </w:tc>
        <w:tc>
          <w:tcPr>
            <w:tcW w:w="2804"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水力发电</w:t>
            </w:r>
            <w:r>
              <w:rPr>
                <w:rFonts w:eastAsia="宋体"/>
                <w:color w:val="000000"/>
                <w:sz w:val="20"/>
                <w:szCs w:val="20"/>
                <w:lang w:bidi="ar"/>
              </w:rPr>
              <w:t xml:space="preserve"> 4413</w:t>
            </w:r>
          </w:p>
        </w:tc>
        <w:tc>
          <w:tcPr>
            <w:tcW w:w="3652"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总装机</w:t>
            </w:r>
            <w:r>
              <w:rPr>
                <w:rFonts w:eastAsia="宋体"/>
                <w:color w:val="000000"/>
                <w:sz w:val="20"/>
                <w:szCs w:val="20"/>
                <w:lang w:bidi="ar"/>
              </w:rPr>
              <w:t>1000</w:t>
            </w:r>
            <w:r>
              <w:rPr>
                <w:rFonts w:eastAsia="仿宋"/>
                <w:color w:val="000000"/>
                <w:sz w:val="20"/>
                <w:szCs w:val="20"/>
                <w:lang w:bidi="ar"/>
              </w:rPr>
              <w:t>千瓦及以上的常规水电（仅更换发电设备的增效扩容项目除外）；抽水蓄能电站；涉及环境敏感区的</w:t>
            </w:r>
          </w:p>
        </w:tc>
        <w:tc>
          <w:tcPr>
            <w:tcW w:w="1522"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类（单站装机容量</w:t>
            </w:r>
            <w:r>
              <w:rPr>
                <w:rFonts w:eastAsia="宋体"/>
                <w:color w:val="000000"/>
                <w:sz w:val="20"/>
                <w:szCs w:val="20"/>
                <w:lang w:bidi="ar"/>
              </w:rPr>
              <w:t>5</w:t>
            </w:r>
            <w:r>
              <w:rPr>
                <w:rFonts w:eastAsia="仿宋"/>
                <w:color w:val="000000"/>
                <w:sz w:val="20"/>
                <w:szCs w:val="20"/>
                <w:lang w:bidi="ar"/>
              </w:rPr>
              <w:t>万千瓦及以上）</w:t>
            </w:r>
          </w:p>
        </w:tc>
        <w:tc>
          <w:tcPr>
            <w:tcW w:w="3749"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kern w:val="0"/>
                <w:sz w:val="20"/>
                <w:szCs w:val="20"/>
                <w:lang w:bidi="ar"/>
              </w:rPr>
            </w:pPr>
          </w:p>
        </w:tc>
        <w:tc>
          <w:tcPr>
            <w:tcW w:w="2804"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3652"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1522"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lang w:bidi="ar"/>
              </w:rPr>
            </w:pPr>
            <w:r>
              <w:rPr>
                <w:rFonts w:eastAsia="宋体"/>
                <w:color w:val="000000"/>
                <w:sz w:val="20"/>
                <w:szCs w:val="20"/>
                <w:lang w:bidi="ar"/>
              </w:rPr>
              <w:t>Ⅱ</w:t>
            </w:r>
            <w:r>
              <w:rPr>
                <w:rFonts w:eastAsia="仿宋"/>
                <w:color w:val="000000"/>
                <w:sz w:val="20"/>
                <w:szCs w:val="20"/>
                <w:lang w:bidi="ar"/>
              </w:rPr>
              <w:t>类（单站装机容量</w:t>
            </w:r>
            <w:r>
              <w:rPr>
                <w:rFonts w:eastAsia="宋体"/>
                <w:color w:val="000000"/>
                <w:sz w:val="20"/>
                <w:szCs w:val="20"/>
                <w:lang w:bidi="ar"/>
              </w:rPr>
              <w:t>1000</w:t>
            </w:r>
            <w:r>
              <w:rPr>
                <w:rFonts w:eastAsia="仿宋"/>
                <w:color w:val="000000"/>
                <w:sz w:val="20"/>
                <w:szCs w:val="20"/>
                <w:lang w:bidi="ar"/>
              </w:rPr>
              <w:t>千瓦（含）以上及</w:t>
            </w:r>
            <w:r>
              <w:rPr>
                <w:rFonts w:eastAsia="宋体"/>
                <w:color w:val="000000"/>
                <w:sz w:val="20"/>
                <w:szCs w:val="20"/>
                <w:lang w:bidi="ar"/>
              </w:rPr>
              <w:t>5</w:t>
            </w:r>
            <w:r>
              <w:rPr>
                <w:rFonts w:eastAsia="仿宋"/>
                <w:color w:val="000000"/>
                <w:sz w:val="20"/>
                <w:szCs w:val="20"/>
                <w:lang w:bidi="ar"/>
              </w:rPr>
              <w:t>万千瓦以下）</w:t>
            </w:r>
          </w:p>
        </w:tc>
        <w:tc>
          <w:tcPr>
            <w:tcW w:w="3749"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仿宋"/>
                <w:color w:val="000000"/>
                <w:sz w:val="20"/>
                <w:szCs w:val="20"/>
                <w:lang w:bidi="ar"/>
              </w:rPr>
            </w:pPr>
          </w:p>
        </w:tc>
        <w:tc>
          <w:tcPr>
            <w:tcW w:w="1260" w:type="dxa"/>
            <w:vMerge w:val="continue"/>
            <w:tcBorders>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kern w:val="0"/>
                <w:sz w:val="20"/>
                <w:szCs w:val="20"/>
                <w:lang w:bidi="ar"/>
              </w:rPr>
            </w:pPr>
          </w:p>
        </w:tc>
        <w:tc>
          <w:tcPr>
            <w:tcW w:w="1608" w:type="dxa"/>
            <w:vMerge w:val="continue"/>
            <w:tcBorders>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89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生物质能发电</w:t>
            </w:r>
            <w:r>
              <w:rPr>
                <w:rFonts w:eastAsia="宋体"/>
                <w:color w:val="000000"/>
                <w:sz w:val="20"/>
                <w:szCs w:val="20"/>
                <w:lang w:bidi="ar"/>
              </w:rPr>
              <w:t xml:space="preserve"> 4417</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生活垃圾发电（掺烧生活垃圾发电的除外）；污泥发电（掺烧污泥发电的除外）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利用农林生物质、沼气、垃圾填埋气发电的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陆上风力发电</w:t>
            </w:r>
            <w:r>
              <w:rPr>
                <w:rFonts w:eastAsia="宋体"/>
                <w:color w:val="000000"/>
                <w:sz w:val="20"/>
                <w:szCs w:val="20"/>
                <w:lang w:bidi="ar"/>
              </w:rPr>
              <w:t xml:space="preserve"> 4415</w:t>
            </w:r>
            <w:r>
              <w:rPr>
                <w:rFonts w:eastAsia="仿宋"/>
                <w:color w:val="000000"/>
                <w:sz w:val="20"/>
                <w:szCs w:val="20"/>
                <w:lang w:bidi="ar"/>
              </w:rPr>
              <w:t>；太阳能发电</w:t>
            </w:r>
            <w:r>
              <w:rPr>
                <w:rFonts w:eastAsia="宋体"/>
                <w:color w:val="000000"/>
                <w:sz w:val="20"/>
                <w:szCs w:val="20"/>
                <w:lang w:bidi="ar"/>
              </w:rPr>
              <w:t xml:space="preserve"> 4416</w:t>
            </w:r>
            <w:r>
              <w:rPr>
                <w:rFonts w:eastAsia="仿宋"/>
                <w:color w:val="000000"/>
                <w:sz w:val="20"/>
                <w:szCs w:val="20"/>
                <w:lang w:bidi="ar"/>
              </w:rPr>
              <w:t>（不含居民家用光伏发电）；其他电力生产</w:t>
            </w:r>
            <w:r>
              <w:rPr>
                <w:rFonts w:eastAsia="宋体"/>
                <w:color w:val="000000"/>
                <w:sz w:val="20"/>
                <w:szCs w:val="20"/>
                <w:lang w:bidi="ar"/>
              </w:rPr>
              <w:t>4419</w:t>
            </w:r>
            <w:r>
              <w:rPr>
                <w:rFonts w:eastAsia="仿宋"/>
                <w:color w:val="000000"/>
                <w:sz w:val="20"/>
                <w:szCs w:val="20"/>
                <w:lang w:bidi="ar"/>
              </w:rPr>
              <w:t>（不含海上的潮汐能、波浪能、温差能等发电）</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涉及环境敏感区的总装机容量</w:t>
            </w:r>
            <w:r>
              <w:rPr>
                <w:rFonts w:eastAsia="宋体"/>
                <w:color w:val="000000"/>
                <w:sz w:val="20"/>
                <w:szCs w:val="20"/>
                <w:lang w:bidi="ar"/>
              </w:rPr>
              <w:t>5</w:t>
            </w:r>
            <w:r>
              <w:rPr>
                <w:rFonts w:eastAsia="仿宋"/>
                <w:color w:val="000000"/>
                <w:sz w:val="20"/>
                <w:szCs w:val="20"/>
                <w:lang w:bidi="ar"/>
              </w:rPr>
              <w:t>万千瓦及以上的陆上风力发电</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陆地利用地热、太阳能热等发电；地面集中光伏电站（总容量大于</w:t>
            </w:r>
            <w:r>
              <w:rPr>
                <w:rFonts w:eastAsia="宋体"/>
                <w:color w:val="000000"/>
                <w:sz w:val="20"/>
                <w:szCs w:val="20"/>
                <w:lang w:bidi="ar"/>
              </w:rPr>
              <w:t>6000</w:t>
            </w:r>
            <w:r>
              <w:rPr>
                <w:rFonts w:eastAsia="仿宋"/>
                <w:color w:val="000000"/>
                <w:sz w:val="20"/>
                <w:szCs w:val="20"/>
                <w:lang w:bidi="ar"/>
              </w:rPr>
              <w:t>千瓦，且接入电压等级不小于</w:t>
            </w:r>
            <w:r>
              <w:rPr>
                <w:rFonts w:eastAsia="宋体"/>
                <w:color w:val="000000"/>
                <w:sz w:val="20"/>
                <w:szCs w:val="20"/>
                <w:lang w:bidi="ar"/>
              </w:rPr>
              <w:t>10</w:t>
            </w:r>
            <w:r>
              <w:rPr>
                <w:rFonts w:eastAsia="仿宋"/>
                <w:color w:val="000000"/>
                <w:sz w:val="20"/>
                <w:szCs w:val="20"/>
                <w:lang w:bidi="ar"/>
              </w:rPr>
              <w:t>千伏）；其他风力发电</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34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热力生产和供应工程（包括建设单位自建自用的供热工程）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燃煤、燃油锅炉总容量</w:t>
            </w:r>
            <w:r>
              <w:rPr>
                <w:rFonts w:eastAsia="宋体"/>
                <w:color w:val="000000"/>
                <w:sz w:val="20"/>
                <w:szCs w:val="20"/>
                <w:lang w:bidi="ar"/>
              </w:rPr>
              <w:t>65</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 xml:space="preserve">45.5 </w:t>
            </w:r>
            <w:r>
              <w:rPr>
                <w:rFonts w:eastAsia="仿宋"/>
                <w:color w:val="000000"/>
                <w:sz w:val="20"/>
                <w:szCs w:val="20"/>
                <w:lang w:bidi="ar"/>
              </w:rPr>
              <w:t>兆瓦）以上的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燃煤、燃油锅炉总容量</w:t>
            </w:r>
            <w:r>
              <w:rPr>
                <w:rFonts w:eastAsia="宋体"/>
                <w:color w:val="000000"/>
                <w:sz w:val="20"/>
                <w:szCs w:val="20"/>
                <w:lang w:bidi="ar"/>
              </w:rPr>
              <w:t>65</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45.5</w:t>
            </w:r>
            <w:r>
              <w:rPr>
                <w:rFonts w:eastAsia="仿宋"/>
                <w:color w:val="000000"/>
                <w:sz w:val="20"/>
                <w:szCs w:val="20"/>
                <w:lang w:bidi="ar"/>
              </w:rPr>
              <w:t>兆瓦）及以下的；天然气锅炉总容量</w:t>
            </w:r>
            <w:r>
              <w:rPr>
                <w:rFonts w:eastAsia="宋体"/>
                <w:color w:val="000000"/>
                <w:sz w:val="20"/>
                <w:szCs w:val="20"/>
                <w:lang w:bidi="ar"/>
              </w:rPr>
              <w:t>1</w:t>
            </w:r>
            <w:r>
              <w:rPr>
                <w:rFonts w:eastAsia="仿宋"/>
                <w:color w:val="000000"/>
                <w:sz w:val="20"/>
                <w:szCs w:val="20"/>
                <w:lang w:bidi="ar"/>
              </w:rPr>
              <w:t>吨</w:t>
            </w:r>
            <w:r>
              <w:rPr>
                <w:rFonts w:eastAsia="宋体"/>
                <w:color w:val="000000"/>
                <w:sz w:val="20"/>
                <w:szCs w:val="20"/>
                <w:lang w:bidi="ar"/>
              </w:rPr>
              <w:t>/</w:t>
            </w:r>
            <w:r>
              <w:rPr>
                <w:rFonts w:eastAsia="仿宋"/>
                <w:color w:val="000000"/>
                <w:sz w:val="20"/>
                <w:szCs w:val="20"/>
                <w:lang w:bidi="ar"/>
              </w:rPr>
              <w:t>小时（</w:t>
            </w:r>
            <w:r>
              <w:rPr>
                <w:rFonts w:eastAsia="宋体"/>
                <w:color w:val="000000"/>
                <w:sz w:val="20"/>
                <w:szCs w:val="20"/>
                <w:lang w:bidi="ar"/>
              </w:rPr>
              <w:t>0.7</w:t>
            </w:r>
            <w:r>
              <w:rPr>
                <w:rFonts w:eastAsia="仿宋"/>
                <w:color w:val="000000"/>
                <w:sz w:val="20"/>
                <w:szCs w:val="20"/>
                <w:lang w:bidi="ar"/>
              </w:rPr>
              <w:t>兆瓦）以上的；使用其他高污染燃料的（高污染燃料指国环规大气〔</w:t>
            </w:r>
            <w:r>
              <w:rPr>
                <w:rFonts w:eastAsia="宋体"/>
                <w:color w:val="000000"/>
                <w:sz w:val="20"/>
                <w:szCs w:val="20"/>
                <w:lang w:bidi="ar"/>
              </w:rPr>
              <w:t>2017</w:t>
            </w:r>
            <w:r>
              <w:rPr>
                <w:rFonts w:eastAsia="仿宋"/>
                <w:color w:val="000000"/>
                <w:sz w:val="20"/>
                <w:szCs w:val="20"/>
                <w:lang w:bidi="ar"/>
              </w:rPr>
              <w:t>〕</w:t>
            </w:r>
            <w:r>
              <w:rPr>
                <w:rFonts w:eastAsia="宋体"/>
                <w:color w:val="000000"/>
                <w:sz w:val="20"/>
                <w:szCs w:val="20"/>
                <w:lang w:bidi="ar"/>
              </w:rPr>
              <w:t>2</w:t>
            </w:r>
            <w:r>
              <w:rPr>
                <w:rFonts w:eastAsia="仿宋"/>
                <w:color w:val="000000"/>
                <w:sz w:val="20"/>
                <w:szCs w:val="20"/>
                <w:lang w:bidi="ar"/>
              </w:rPr>
              <w:t>号《高污染燃料目录》中规定的燃料）</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四十二、燃气生产和供应业</w:t>
            </w:r>
            <w:r>
              <w:rPr>
                <w:rFonts w:eastAsia="宋体"/>
                <w:color w:val="000000"/>
                <w:sz w:val="20"/>
                <w:szCs w:val="20"/>
                <w:lang w:bidi="ar"/>
              </w:rPr>
              <w:t xml:space="preserve"> 45</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燃气生产和供应业</w:t>
            </w:r>
            <w:r>
              <w:rPr>
                <w:rFonts w:eastAsia="宋体"/>
                <w:color w:val="000000"/>
                <w:sz w:val="20"/>
                <w:szCs w:val="20"/>
                <w:lang w:bidi="ar"/>
              </w:rPr>
              <w:t xml:space="preserve"> 451</w:t>
            </w:r>
            <w:r>
              <w:rPr>
                <w:rFonts w:eastAsia="仿宋"/>
                <w:color w:val="000000"/>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煤气生产</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生物质燃气生产和供应业</w:t>
            </w:r>
            <w:r>
              <w:rPr>
                <w:rFonts w:eastAsia="宋体"/>
                <w:color w:val="000000"/>
                <w:sz w:val="20"/>
                <w:szCs w:val="20"/>
                <w:lang w:bidi="ar"/>
              </w:rPr>
              <w:t xml:space="preserve"> 452</w:t>
            </w:r>
            <w:r>
              <w:rPr>
                <w:rFonts w:eastAsia="仿宋"/>
                <w:color w:val="000000"/>
                <w:sz w:val="20"/>
                <w:szCs w:val="20"/>
                <w:lang w:bidi="ar"/>
              </w:rPr>
              <w:t>（不含供应工程）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四十三、水的生产和供应业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642"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自来水生产和供应</w:t>
            </w:r>
            <w:r>
              <w:rPr>
                <w:rFonts w:eastAsia="宋体"/>
                <w:color w:val="000000"/>
                <w:sz w:val="20"/>
                <w:szCs w:val="20"/>
                <w:lang w:bidi="ar"/>
              </w:rPr>
              <w:t xml:space="preserve"> 461</w:t>
            </w:r>
            <w:r>
              <w:rPr>
                <w:rFonts w:eastAsia="仿宋"/>
                <w:color w:val="000000"/>
                <w:sz w:val="20"/>
                <w:szCs w:val="20"/>
                <w:lang w:bidi="ar"/>
              </w:rPr>
              <w:t>（不含供应工程；不含村庄供应工程）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20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污水处理及其再生利用</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新建、扩建日处理</w:t>
            </w:r>
            <w:r>
              <w:rPr>
                <w:rFonts w:eastAsia="宋体"/>
                <w:color w:val="000000"/>
                <w:sz w:val="20"/>
                <w:szCs w:val="20"/>
                <w:lang w:bidi="ar"/>
              </w:rPr>
              <w:t>10</w:t>
            </w:r>
            <w:r>
              <w:rPr>
                <w:rFonts w:eastAsia="仿宋"/>
                <w:color w:val="000000"/>
                <w:sz w:val="20"/>
                <w:szCs w:val="20"/>
                <w:lang w:bidi="ar"/>
              </w:rPr>
              <w:t>万吨及以上城乡污水处理的；新建、扩建工业废水集中处理的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新建、扩建日处理</w:t>
            </w:r>
            <w:r>
              <w:rPr>
                <w:rFonts w:eastAsia="宋体"/>
                <w:color w:val="000000"/>
                <w:sz w:val="20"/>
                <w:szCs w:val="20"/>
                <w:lang w:bidi="ar"/>
              </w:rPr>
              <w:t>10</w:t>
            </w:r>
            <w:r>
              <w:rPr>
                <w:rFonts w:eastAsia="仿宋"/>
                <w:color w:val="000000"/>
                <w:sz w:val="20"/>
                <w:szCs w:val="20"/>
                <w:lang w:bidi="ar"/>
              </w:rPr>
              <w:t>万吨以下</w:t>
            </w:r>
            <w:r>
              <w:rPr>
                <w:rFonts w:eastAsia="宋体"/>
                <w:color w:val="000000"/>
                <w:sz w:val="20"/>
                <w:szCs w:val="20"/>
                <w:lang w:bidi="ar"/>
              </w:rPr>
              <w:t>500</w:t>
            </w:r>
            <w:r>
              <w:rPr>
                <w:rFonts w:eastAsia="仿宋"/>
                <w:color w:val="000000"/>
                <w:sz w:val="20"/>
                <w:szCs w:val="20"/>
                <w:lang w:bidi="ar"/>
              </w:rPr>
              <w:t>吨及以上城乡污水处理的；</w:t>
            </w:r>
            <w:r>
              <w:rPr>
                <w:rFonts w:eastAsia="宋体"/>
                <w:color w:val="000000"/>
                <w:sz w:val="20"/>
                <w:szCs w:val="20"/>
                <w:lang w:bidi="ar"/>
              </w:rPr>
              <w:t xml:space="preserve"> </w:t>
            </w:r>
            <w:r>
              <w:rPr>
                <w:rFonts w:eastAsia="仿宋"/>
                <w:color w:val="000000"/>
                <w:sz w:val="20"/>
                <w:szCs w:val="20"/>
                <w:lang w:bidi="ar"/>
              </w:rPr>
              <w:t>新建、扩建其他工业废水处理的（不含建设单位自建自用仅处理生活污水的；不含出水间接排入地表水体且不排放重金属的）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海水淡化处理</w:t>
            </w:r>
            <w:r>
              <w:rPr>
                <w:rFonts w:eastAsia="宋体"/>
                <w:color w:val="000000"/>
                <w:sz w:val="20"/>
                <w:szCs w:val="20"/>
                <w:lang w:bidi="ar"/>
              </w:rPr>
              <w:t xml:space="preserve"> 463</w:t>
            </w:r>
            <w:r>
              <w:rPr>
                <w:rFonts w:eastAsia="仿宋"/>
                <w:color w:val="000000"/>
                <w:sz w:val="20"/>
                <w:szCs w:val="20"/>
                <w:lang w:bidi="ar"/>
              </w:rPr>
              <w:t>；其他水的处理、利用与分配</w:t>
            </w:r>
            <w:r>
              <w:rPr>
                <w:rFonts w:eastAsia="宋体"/>
                <w:color w:val="000000"/>
                <w:sz w:val="20"/>
                <w:szCs w:val="20"/>
                <w:lang w:bidi="ar"/>
              </w:rPr>
              <w:t xml:space="preserve"> 469</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四十四、房地产业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房地产开发、商业综合体、宾馆、酒店、办公用房、标准厂房等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四十五、研究和试验发展</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56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专业实验室、研发（试验）基地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P3</w:t>
            </w:r>
            <w:r>
              <w:rPr>
                <w:rFonts w:eastAsia="仿宋"/>
                <w:color w:val="000000"/>
                <w:sz w:val="20"/>
                <w:szCs w:val="20"/>
                <w:lang w:bidi="ar"/>
              </w:rPr>
              <w:t>、</w:t>
            </w:r>
            <w:r>
              <w:rPr>
                <w:rFonts w:eastAsia="宋体"/>
                <w:color w:val="000000"/>
                <w:sz w:val="20"/>
                <w:szCs w:val="20"/>
                <w:lang w:bidi="ar"/>
              </w:rPr>
              <w:t>P4</w:t>
            </w:r>
            <w:r>
              <w:rPr>
                <w:rFonts w:eastAsia="仿宋"/>
                <w:color w:val="000000"/>
                <w:sz w:val="20"/>
                <w:szCs w:val="20"/>
                <w:lang w:bidi="ar"/>
              </w:rPr>
              <w:t>生物安全实验室；转基因实验室</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其他（不产生实验废气、废水、危险废物的除外）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四十六、专业技术服务业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99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陆地矿产资源地质勘查（含油气资源勘探）；二氧化碳地质封存</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四十七、生态保护和环境治理业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脱硫、脱硝、除尘、</w:t>
            </w:r>
            <w:r>
              <w:rPr>
                <w:rFonts w:eastAsia="宋体"/>
                <w:color w:val="000000"/>
                <w:sz w:val="20"/>
                <w:szCs w:val="20"/>
                <w:lang w:bidi="ar"/>
              </w:rPr>
              <w:t>VOCs</w:t>
            </w:r>
            <w:r>
              <w:rPr>
                <w:rFonts w:eastAsia="仿宋"/>
                <w:color w:val="000000"/>
                <w:sz w:val="20"/>
                <w:szCs w:val="20"/>
                <w:lang w:bidi="ar"/>
              </w:rPr>
              <w:t>治理等大气污染治理工程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危险废物（不含医疗废物）利用及处置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危险废物利用及处置（产生单位内部回收再利用的除外；单纯收集、贮存的除外）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医疗废物处置、病死及病害动物无害化处理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医疗废物集中处置（单纯收集、贮存的除外）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103</w:t>
            </w:r>
          </w:p>
        </w:tc>
        <w:tc>
          <w:tcPr>
            <w:tcW w:w="2804" w:type="dxa"/>
            <w:vMerge w:val="restart"/>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一般工业固体废物（含污水处理污泥）、建筑施工废弃物处置及综合利用</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hint="eastAsia" w:eastAsia="宋体"/>
                <w:color w:val="000000"/>
                <w:sz w:val="20"/>
                <w:szCs w:val="20"/>
                <w:lang w:eastAsia="zh-CN" w:bidi="ar"/>
              </w:rPr>
            </w:pPr>
            <w:r>
              <w:rPr>
                <w:rFonts w:eastAsia="仿宋"/>
                <w:color w:val="000000"/>
                <w:sz w:val="20"/>
                <w:szCs w:val="20"/>
                <w:lang w:bidi="ar"/>
              </w:rPr>
              <w:t>一般工业固体废物（含污水处理污泥）</w:t>
            </w:r>
            <w:r>
              <w:rPr>
                <w:rFonts w:eastAsia="宋体"/>
                <w:color w:val="000000"/>
                <w:sz w:val="20"/>
                <w:szCs w:val="20"/>
                <w:lang w:bidi="ar"/>
              </w:rPr>
              <w:t xml:space="preserve"> </w:t>
            </w:r>
            <w:r>
              <w:rPr>
                <w:rFonts w:eastAsia="仿宋"/>
                <w:color w:val="000000"/>
                <w:sz w:val="20"/>
                <w:szCs w:val="20"/>
                <w:lang w:bidi="ar"/>
              </w:rPr>
              <w:t>采取填埋、焚烧（水泥窑协同处置的改造项目除外）方式的</w:t>
            </w:r>
            <w:r>
              <w:rPr>
                <w:rFonts w:eastAsia="宋体"/>
                <w:color w:val="000000"/>
                <w:sz w:val="20"/>
                <w:szCs w:val="20"/>
                <w:lang w:bidi="ar"/>
              </w:rPr>
              <w:t xml:space="preserve">  </w:t>
            </w:r>
          </w:p>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sz w:val="20"/>
                <w:szCs w:val="20"/>
                <w:lang w:bidi="ar"/>
              </w:rPr>
              <w:t xml:space="preserve"> </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一般工业固体废物焚烧水泥窑协同处置的改造项目</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nil"/>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nil"/>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四十八、公共设施管理业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生活垃圾（含餐厨废弃物）转运站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日转运能力</w:t>
            </w:r>
            <w:r>
              <w:rPr>
                <w:rFonts w:eastAsia="宋体"/>
                <w:color w:val="000000"/>
                <w:sz w:val="20"/>
                <w:szCs w:val="20"/>
                <w:lang w:bidi="ar"/>
              </w:rPr>
              <w:t>150</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106</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生活垃圾（含餐厨废弃物）集中处置（生活垃圾发电除外）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采取填埋方式的；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其他处置方式日处置能力</w:t>
            </w:r>
            <w:r>
              <w:rPr>
                <w:rFonts w:eastAsia="宋体"/>
                <w:color w:val="000000"/>
                <w:sz w:val="20"/>
                <w:szCs w:val="20"/>
                <w:lang w:bidi="ar"/>
              </w:rPr>
              <w:t>50</w:t>
            </w:r>
            <w:r>
              <w:rPr>
                <w:rFonts w:eastAsia="仿宋"/>
                <w:color w:val="000000"/>
                <w:sz w:val="20"/>
                <w:szCs w:val="20"/>
                <w:lang w:bidi="ar"/>
              </w:rPr>
              <w:t>吨以下</w:t>
            </w:r>
            <w:r>
              <w:rPr>
                <w:rFonts w:eastAsia="宋体"/>
                <w:color w:val="000000"/>
                <w:sz w:val="20"/>
                <w:szCs w:val="20"/>
                <w:lang w:bidi="ar"/>
              </w:rPr>
              <w:t>10</w:t>
            </w:r>
            <w:r>
              <w:rPr>
                <w:rFonts w:eastAsia="仿宋"/>
                <w:color w:val="000000"/>
                <w:sz w:val="20"/>
                <w:szCs w:val="20"/>
                <w:lang w:bidi="ar"/>
              </w:rPr>
              <w:t>吨及以上的</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其他处置方式日处置能力</w:t>
            </w:r>
            <w:r>
              <w:rPr>
                <w:rFonts w:eastAsia="宋体"/>
                <w:color w:val="000000"/>
                <w:sz w:val="20"/>
                <w:szCs w:val="20"/>
                <w:lang w:bidi="ar"/>
              </w:rPr>
              <w:t>50</w:t>
            </w:r>
            <w:r>
              <w:rPr>
                <w:rFonts w:eastAsia="仿宋"/>
                <w:color w:val="000000"/>
                <w:sz w:val="20"/>
                <w:szCs w:val="20"/>
                <w:lang w:bidi="ar"/>
              </w:rPr>
              <w:t>吨及以上的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9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粪便处置工程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日处理</w:t>
            </w:r>
            <w:r>
              <w:rPr>
                <w:rFonts w:eastAsia="宋体"/>
                <w:color w:val="000000"/>
                <w:sz w:val="20"/>
                <w:szCs w:val="20"/>
                <w:lang w:bidi="ar"/>
              </w:rPr>
              <w:t>50</w:t>
            </w:r>
            <w:r>
              <w:rPr>
                <w:rFonts w:eastAsia="仿宋"/>
                <w:color w:val="000000"/>
                <w:sz w:val="20"/>
                <w:szCs w:val="20"/>
                <w:lang w:bidi="ar"/>
              </w:rPr>
              <w:t>吨及以上</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四十九、卫生</w:t>
            </w:r>
            <w:r>
              <w:rPr>
                <w:rFonts w:eastAsia="宋体"/>
                <w:color w:val="000000"/>
                <w:sz w:val="20"/>
                <w:szCs w:val="20"/>
                <w:lang w:bidi="ar"/>
              </w:rPr>
              <w:t xml:space="preserve"> 84</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医院</w:t>
            </w:r>
            <w:r>
              <w:rPr>
                <w:rFonts w:eastAsia="宋体"/>
                <w:color w:val="000000"/>
                <w:sz w:val="20"/>
                <w:szCs w:val="20"/>
                <w:lang w:bidi="ar"/>
              </w:rPr>
              <w:t xml:space="preserve"> 841</w:t>
            </w:r>
            <w:r>
              <w:rPr>
                <w:rFonts w:eastAsia="仿宋"/>
                <w:color w:val="000000"/>
                <w:sz w:val="20"/>
                <w:szCs w:val="20"/>
                <w:lang w:bidi="ar"/>
              </w:rPr>
              <w:t>；专科疾病防治院（所、站）</w:t>
            </w:r>
            <w:r>
              <w:rPr>
                <w:rFonts w:eastAsia="宋体"/>
                <w:color w:val="000000"/>
                <w:sz w:val="20"/>
                <w:szCs w:val="20"/>
                <w:lang w:bidi="ar"/>
              </w:rPr>
              <w:t>8432</w:t>
            </w:r>
            <w:r>
              <w:rPr>
                <w:rFonts w:eastAsia="仿宋"/>
                <w:color w:val="000000"/>
                <w:sz w:val="20"/>
                <w:szCs w:val="20"/>
                <w:lang w:bidi="ar"/>
              </w:rPr>
              <w:t>；</w:t>
            </w:r>
            <w:r>
              <w:rPr>
                <w:rFonts w:eastAsia="宋体"/>
                <w:color w:val="000000"/>
                <w:sz w:val="20"/>
                <w:szCs w:val="20"/>
                <w:lang w:bidi="ar"/>
              </w:rPr>
              <w:t xml:space="preserve"> </w:t>
            </w:r>
            <w:r>
              <w:rPr>
                <w:rFonts w:eastAsia="仿宋"/>
                <w:color w:val="000000"/>
                <w:sz w:val="20"/>
                <w:szCs w:val="20"/>
                <w:lang w:bidi="ar"/>
              </w:rPr>
              <w:t>妇幼保健院（所、站）</w:t>
            </w:r>
            <w:r>
              <w:rPr>
                <w:rFonts w:eastAsia="宋体"/>
                <w:color w:val="000000"/>
                <w:sz w:val="20"/>
                <w:szCs w:val="20"/>
                <w:lang w:bidi="ar"/>
              </w:rPr>
              <w:t xml:space="preserve"> 8433</w:t>
            </w:r>
            <w:r>
              <w:rPr>
                <w:rFonts w:eastAsia="仿宋"/>
                <w:color w:val="000000"/>
                <w:sz w:val="20"/>
                <w:szCs w:val="20"/>
                <w:lang w:bidi="ar"/>
              </w:rPr>
              <w:t>；急救中心（站）</w:t>
            </w:r>
            <w:r>
              <w:rPr>
                <w:rFonts w:eastAsia="宋体"/>
                <w:color w:val="000000"/>
                <w:sz w:val="20"/>
                <w:szCs w:val="20"/>
                <w:lang w:bidi="ar"/>
              </w:rPr>
              <w:t xml:space="preserve"> </w:t>
            </w:r>
            <w:r>
              <w:rPr>
                <w:rFonts w:eastAsia="仿宋"/>
                <w:color w:val="000000"/>
                <w:sz w:val="20"/>
                <w:szCs w:val="20"/>
                <w:lang w:bidi="ar"/>
              </w:rPr>
              <w:t>服务</w:t>
            </w:r>
            <w:r>
              <w:rPr>
                <w:rFonts w:eastAsia="宋体"/>
                <w:color w:val="000000"/>
                <w:sz w:val="20"/>
                <w:szCs w:val="20"/>
                <w:lang w:bidi="ar"/>
              </w:rPr>
              <w:t xml:space="preserve"> 8434</w:t>
            </w:r>
            <w:r>
              <w:rPr>
                <w:rFonts w:eastAsia="仿宋"/>
                <w:color w:val="000000"/>
                <w:sz w:val="20"/>
                <w:szCs w:val="20"/>
                <w:lang w:bidi="ar"/>
              </w:rPr>
              <w:t>；采供血机构服务</w:t>
            </w:r>
            <w:r>
              <w:rPr>
                <w:rFonts w:eastAsia="宋体"/>
                <w:color w:val="000000"/>
                <w:sz w:val="20"/>
                <w:szCs w:val="20"/>
                <w:lang w:bidi="ar"/>
              </w:rPr>
              <w:t xml:space="preserve"> 8435</w:t>
            </w:r>
            <w:r>
              <w:rPr>
                <w:rFonts w:eastAsia="仿宋"/>
                <w:color w:val="000000"/>
                <w:sz w:val="20"/>
                <w:szCs w:val="20"/>
                <w:lang w:bidi="ar"/>
              </w:rPr>
              <w:t>；基层医疗卫生服务</w:t>
            </w:r>
            <w:r>
              <w:rPr>
                <w:rFonts w:eastAsia="宋体"/>
                <w:color w:val="000000"/>
                <w:sz w:val="20"/>
                <w:szCs w:val="20"/>
                <w:lang w:bidi="ar"/>
              </w:rPr>
              <w:t xml:space="preserve"> 842</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新建、扩建住院床位</w:t>
            </w:r>
            <w:r>
              <w:rPr>
                <w:rFonts w:eastAsia="宋体"/>
                <w:color w:val="000000"/>
                <w:sz w:val="20"/>
                <w:szCs w:val="20"/>
                <w:lang w:bidi="ar"/>
              </w:rPr>
              <w:t>500</w:t>
            </w:r>
            <w:r>
              <w:rPr>
                <w:rFonts w:eastAsia="仿宋"/>
                <w:color w:val="000000"/>
                <w:sz w:val="20"/>
                <w:szCs w:val="20"/>
                <w:lang w:bidi="ar"/>
              </w:rPr>
              <w:t>张及以上的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其他（住院床位</w:t>
            </w:r>
            <w:r>
              <w:rPr>
                <w:rFonts w:eastAsia="宋体"/>
                <w:color w:val="000000"/>
                <w:sz w:val="20"/>
                <w:szCs w:val="20"/>
                <w:lang w:bidi="ar"/>
              </w:rPr>
              <w:t>20</w:t>
            </w:r>
            <w:r>
              <w:rPr>
                <w:rFonts w:eastAsia="仿宋"/>
                <w:color w:val="000000"/>
                <w:sz w:val="20"/>
                <w:szCs w:val="20"/>
                <w:lang w:bidi="ar"/>
              </w:rPr>
              <w:t>张以下的除外）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7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109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疾病预防控制中心</w:t>
            </w:r>
            <w:r>
              <w:rPr>
                <w:rFonts w:eastAsia="宋体"/>
                <w:color w:val="000000"/>
                <w:sz w:val="20"/>
                <w:szCs w:val="20"/>
                <w:lang w:bidi="ar"/>
              </w:rPr>
              <w:t xml:space="preserve"> 8431</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五十、社会事业与服务业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学校、福利院、养老院（建筑面积</w:t>
            </w:r>
            <w:r>
              <w:rPr>
                <w:rFonts w:eastAsia="宋体"/>
                <w:color w:val="000000"/>
                <w:sz w:val="20"/>
                <w:szCs w:val="20"/>
                <w:lang w:bidi="ar"/>
              </w:rPr>
              <w:t>5000</w:t>
            </w:r>
            <w:r>
              <w:rPr>
                <w:rFonts w:eastAsia="仿宋"/>
                <w:color w:val="000000"/>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新建涉及环境敏感区的；有化学、生物实验室的学校</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批发、零售市场（建筑面积</w:t>
            </w:r>
            <w:r>
              <w:rPr>
                <w:rFonts w:eastAsia="宋体"/>
                <w:color w:val="000000"/>
                <w:sz w:val="20"/>
                <w:szCs w:val="20"/>
                <w:lang w:bidi="ar"/>
              </w:rPr>
              <w:t>5000</w:t>
            </w:r>
            <w:r>
              <w:rPr>
                <w:rFonts w:eastAsia="仿宋"/>
                <w:color w:val="000000"/>
                <w:sz w:val="20"/>
                <w:szCs w:val="20"/>
                <w:lang w:bidi="ar"/>
              </w:rPr>
              <w:t>平方米及以上的）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高尔夫球场、滑雪场、狩猎场、赛车场、跑马场、射击场、水上运动中心等</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高尔夫球场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展览馆、博物馆、美术馆、影剧院、音乐厅、文化馆、图书馆、档案馆、纪念馆、体育场、体育馆等（不含村庄文化体育场所）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公园（含动物园、主题公园；不含城市公园、植物园、村庄公园）；人工湖、人工湿地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特大型、大型主题公园；容积</w:t>
            </w:r>
            <w:r>
              <w:rPr>
                <w:rFonts w:eastAsia="宋体"/>
                <w:color w:val="000000"/>
                <w:sz w:val="20"/>
                <w:szCs w:val="20"/>
                <w:lang w:bidi="ar"/>
              </w:rPr>
              <w:t>500</w:t>
            </w:r>
            <w:r>
              <w:rPr>
                <w:rFonts w:eastAsia="仿宋"/>
                <w:color w:val="000000"/>
                <w:sz w:val="20"/>
                <w:szCs w:val="20"/>
                <w:lang w:bidi="ar"/>
              </w:rPr>
              <w:t>万立方米及以上的人工湖、人工湿地；涉及环境敏感区的容积</w:t>
            </w:r>
            <w:r>
              <w:rPr>
                <w:rFonts w:eastAsia="宋体"/>
                <w:color w:val="000000"/>
                <w:sz w:val="20"/>
                <w:szCs w:val="20"/>
                <w:lang w:bidi="ar"/>
              </w:rPr>
              <w:t>5</w:t>
            </w:r>
            <w:r>
              <w:rPr>
                <w:rFonts w:eastAsia="仿宋"/>
                <w:color w:val="000000"/>
                <w:sz w:val="20"/>
                <w:szCs w:val="20"/>
                <w:lang w:bidi="ar"/>
              </w:rPr>
              <w:t>万立方米及以上</w:t>
            </w:r>
            <w:r>
              <w:rPr>
                <w:rFonts w:eastAsia="宋体"/>
                <w:color w:val="000000"/>
                <w:sz w:val="20"/>
                <w:szCs w:val="20"/>
                <w:lang w:bidi="ar"/>
              </w:rPr>
              <w:t>500</w:t>
            </w:r>
            <w:r>
              <w:rPr>
                <w:rFonts w:eastAsia="仿宋"/>
                <w:color w:val="000000"/>
                <w:sz w:val="20"/>
                <w:szCs w:val="20"/>
                <w:lang w:bidi="ar"/>
              </w:rPr>
              <w:t>万立方米以下的人工湖、人工湿地；年补水量占引水河流引水断面天然年径流量</w:t>
            </w:r>
            <w:r>
              <w:rPr>
                <w:rFonts w:eastAsia="宋体"/>
                <w:color w:val="000000"/>
                <w:sz w:val="20"/>
                <w:szCs w:val="20"/>
                <w:lang w:bidi="ar"/>
              </w:rPr>
              <w:t>1/4</w:t>
            </w:r>
            <w:r>
              <w:rPr>
                <w:rFonts w:eastAsia="仿宋"/>
                <w:color w:val="000000"/>
                <w:sz w:val="20"/>
                <w:szCs w:val="20"/>
                <w:lang w:bidi="ar"/>
              </w:rPr>
              <w:t>及以上的人工湖、人工湿地</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类（不含特大型主题公园）</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其他公园；不涉及环境敏感区的容积</w:t>
            </w:r>
            <w:r>
              <w:rPr>
                <w:rFonts w:eastAsia="宋体"/>
                <w:color w:val="000000"/>
                <w:sz w:val="20"/>
                <w:szCs w:val="20"/>
                <w:lang w:bidi="ar"/>
              </w:rPr>
              <w:t>5</w:t>
            </w:r>
            <w:r>
              <w:rPr>
                <w:rFonts w:eastAsia="仿宋"/>
                <w:color w:val="000000"/>
                <w:sz w:val="20"/>
                <w:szCs w:val="20"/>
                <w:lang w:bidi="ar"/>
              </w:rPr>
              <w:t>万立方米及以上</w:t>
            </w:r>
            <w:r>
              <w:rPr>
                <w:rFonts w:eastAsia="宋体"/>
                <w:color w:val="000000"/>
                <w:sz w:val="20"/>
                <w:szCs w:val="20"/>
                <w:lang w:bidi="ar"/>
              </w:rPr>
              <w:t>500</w:t>
            </w:r>
            <w:r>
              <w:rPr>
                <w:rFonts w:eastAsia="仿宋"/>
                <w:color w:val="000000"/>
                <w:sz w:val="20"/>
                <w:szCs w:val="20"/>
                <w:lang w:bidi="ar"/>
              </w:rPr>
              <w:t>万立方米以下的人工湖、人工湿地；涉及环境敏感区的容积</w:t>
            </w:r>
            <w:r>
              <w:rPr>
                <w:rFonts w:eastAsia="宋体"/>
                <w:color w:val="000000"/>
                <w:sz w:val="20"/>
                <w:szCs w:val="20"/>
                <w:lang w:bidi="ar"/>
              </w:rPr>
              <w:t xml:space="preserve">5 </w:t>
            </w:r>
            <w:r>
              <w:rPr>
                <w:rFonts w:eastAsia="仿宋"/>
                <w:color w:val="000000"/>
                <w:sz w:val="20"/>
                <w:szCs w:val="20"/>
                <w:lang w:bidi="ar"/>
              </w:rPr>
              <w:t>万立方米以下的人工湖、人工湿地</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旅游开发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缆车、索道建设</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影视基地建设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胶片洗印厂</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驾驶员训练基地、公交枢纽、长途客运站、大型停车场、机动车检测场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119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加油、加气站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城市建成区新建、扩建加油站；</w:t>
            </w:r>
            <w:r>
              <w:rPr>
                <w:rFonts w:eastAsia="宋体"/>
                <w:color w:val="000000"/>
                <w:sz w:val="20"/>
                <w:szCs w:val="20"/>
                <w:lang w:bidi="ar"/>
              </w:rPr>
              <w:t xml:space="preserve"> </w:t>
            </w:r>
            <w:r>
              <w:rPr>
                <w:rFonts w:eastAsia="仿宋"/>
                <w:color w:val="000000"/>
                <w:sz w:val="20"/>
                <w:szCs w:val="20"/>
                <w:lang w:bidi="ar"/>
              </w:rPr>
              <w:t>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洗车场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危险化学品运输车辆清洗场</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汽车、摩托车维修场所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营业面积</w:t>
            </w:r>
            <w:r>
              <w:rPr>
                <w:rFonts w:eastAsia="宋体"/>
                <w:color w:val="000000"/>
                <w:sz w:val="20"/>
                <w:szCs w:val="20"/>
                <w:lang w:bidi="ar"/>
              </w:rPr>
              <w:t>5000</w:t>
            </w:r>
            <w:r>
              <w:rPr>
                <w:rFonts w:eastAsia="仿宋"/>
                <w:color w:val="000000"/>
                <w:sz w:val="20"/>
                <w:szCs w:val="20"/>
                <w:lang w:bidi="ar"/>
              </w:rPr>
              <w:t>平方米及以上且使用溶剂型涂料的；营业面积</w:t>
            </w:r>
            <w:r>
              <w:rPr>
                <w:rFonts w:eastAsia="宋体"/>
                <w:color w:val="000000"/>
                <w:sz w:val="20"/>
                <w:szCs w:val="20"/>
                <w:lang w:bidi="ar"/>
              </w:rPr>
              <w:t>5000</w:t>
            </w:r>
            <w:r>
              <w:rPr>
                <w:rFonts w:eastAsia="仿宋"/>
                <w:color w:val="000000"/>
                <w:sz w:val="20"/>
                <w:szCs w:val="20"/>
                <w:lang w:bidi="ar"/>
              </w:rPr>
              <w:t>平方米及以上且年用非溶剂型低</w:t>
            </w:r>
            <w:r>
              <w:rPr>
                <w:rFonts w:eastAsia="宋体"/>
                <w:color w:val="000000"/>
                <w:sz w:val="20"/>
                <w:szCs w:val="20"/>
                <w:lang w:bidi="ar"/>
              </w:rPr>
              <w:t>VOCs</w:t>
            </w:r>
            <w:r>
              <w:rPr>
                <w:rFonts w:eastAsia="仿宋"/>
                <w:color w:val="000000"/>
                <w:sz w:val="20"/>
                <w:szCs w:val="20"/>
                <w:lang w:bidi="ar"/>
              </w:rPr>
              <w:t>含量涂料</w:t>
            </w:r>
            <w:r>
              <w:rPr>
                <w:rFonts w:eastAsia="宋体"/>
                <w:color w:val="000000"/>
                <w:sz w:val="20"/>
                <w:szCs w:val="20"/>
                <w:lang w:bidi="ar"/>
              </w:rPr>
              <w:t>10</w:t>
            </w:r>
            <w:r>
              <w:rPr>
                <w:rFonts w:eastAsia="仿宋"/>
                <w:color w:val="000000"/>
                <w:sz w:val="20"/>
                <w:szCs w:val="20"/>
                <w:lang w:bidi="ar"/>
              </w:rPr>
              <w:t>吨及以上的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殡仪馆、陵园、公墓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殡仪馆；涉及环境敏感区的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40"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动物医院</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设有动物颅腔、胸腔或腹腔手术设施的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五十一、水利</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124</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水库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库容</w:t>
            </w:r>
            <w:r>
              <w:rPr>
                <w:rFonts w:eastAsia="宋体"/>
                <w:color w:val="000000"/>
                <w:sz w:val="20"/>
                <w:szCs w:val="20"/>
                <w:lang w:bidi="ar"/>
              </w:rPr>
              <w:t>3000</w:t>
            </w:r>
            <w:r>
              <w:rPr>
                <w:rFonts w:eastAsia="仿宋"/>
                <w:color w:val="000000"/>
                <w:sz w:val="20"/>
                <w:szCs w:val="20"/>
                <w:lang w:bidi="ar"/>
              </w:rPr>
              <w:t>万立方米及以上；涉及环境敏感区的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库容</w:t>
            </w:r>
            <w:r>
              <w:rPr>
                <w:rFonts w:eastAsia="宋体"/>
                <w:color w:val="000000"/>
                <w:sz w:val="20"/>
                <w:szCs w:val="20"/>
                <w:lang w:bidi="ar"/>
              </w:rPr>
              <w:t>1000</w:t>
            </w:r>
            <w:r>
              <w:rPr>
                <w:rFonts w:eastAsia="仿宋"/>
                <w:color w:val="000000"/>
                <w:sz w:val="20"/>
                <w:szCs w:val="20"/>
                <w:lang w:bidi="ar"/>
              </w:rPr>
              <w:t>万立方米及以上</w:t>
            </w:r>
            <w:r>
              <w:rPr>
                <w:rFonts w:eastAsia="宋体"/>
                <w:color w:val="000000"/>
                <w:sz w:val="20"/>
                <w:szCs w:val="20"/>
                <w:lang w:bidi="ar"/>
              </w:rPr>
              <w:t>,3000</w:t>
            </w:r>
            <w:r>
              <w:rPr>
                <w:rFonts w:eastAsia="仿宋"/>
                <w:color w:val="000000"/>
                <w:sz w:val="20"/>
                <w:szCs w:val="20"/>
                <w:lang w:bidi="ar"/>
              </w:rPr>
              <w:t>万（不含）立方米以下；涉及环境敏感区的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灌区工程（不含水源工程的）</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其他（不含高标准农田、滴灌等节水改造工程）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引水工程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跨流域调水；大中型河流引水；小型河流年总引水量占引水断面天然年径流量</w:t>
            </w:r>
            <w:r>
              <w:rPr>
                <w:rFonts w:eastAsia="宋体"/>
                <w:color w:val="000000"/>
                <w:sz w:val="20"/>
                <w:szCs w:val="20"/>
                <w:lang w:bidi="ar"/>
              </w:rPr>
              <w:t>1/4</w:t>
            </w:r>
            <w:r>
              <w:rPr>
                <w:rFonts w:eastAsia="仿宋"/>
                <w:color w:val="000000"/>
                <w:sz w:val="20"/>
                <w:szCs w:val="20"/>
                <w:lang w:bidi="ar"/>
              </w:rPr>
              <w:t>及以上；涉及环境敏感区的（不含涉及饮用水水源保护区的水库配套引水工程）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防洪除涝工程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新建大中型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其他（小型沟渠的护坡除外；</w:t>
            </w:r>
            <w:r>
              <w:rPr>
                <w:rFonts w:eastAsia="宋体"/>
                <w:color w:val="000000"/>
                <w:sz w:val="20"/>
                <w:szCs w:val="20"/>
                <w:lang w:bidi="ar"/>
              </w:rPr>
              <w:t xml:space="preserve"> </w:t>
            </w:r>
            <w:r>
              <w:rPr>
                <w:rFonts w:eastAsia="仿宋"/>
                <w:color w:val="000000"/>
                <w:sz w:val="20"/>
                <w:szCs w:val="20"/>
                <w:lang w:bidi="ar"/>
              </w:rPr>
              <w:t>城镇排涝河流水闸、排涝泵站除外）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河湖整治（不含农村塘堰、水渠）</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90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129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地下水开采（农村分散式家庭生活自用水井除外）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日取水量</w:t>
            </w:r>
            <w:r>
              <w:rPr>
                <w:rFonts w:eastAsia="宋体"/>
                <w:color w:val="000000"/>
                <w:sz w:val="20"/>
                <w:szCs w:val="20"/>
                <w:lang w:bidi="ar"/>
              </w:rPr>
              <w:t>1</w:t>
            </w:r>
            <w:r>
              <w:rPr>
                <w:rFonts w:eastAsia="仿宋"/>
                <w:color w:val="000000"/>
                <w:sz w:val="20"/>
                <w:szCs w:val="20"/>
                <w:lang w:bidi="ar"/>
              </w:rPr>
              <w:t>万立方米及以上的；涉及环境敏感区的（不新增供水规模、不改变供水对象的改建工程除外）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五十二、交通运输业、管道运输业</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等级公路（不含维护；不含生命救援、应急保通工程以及国防交通保障项目；不含改扩建四级公路）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w:t>
            </w:r>
            <w:r>
              <w:rPr>
                <w:rFonts w:eastAsia="宋体"/>
                <w:color w:val="000000"/>
                <w:sz w:val="20"/>
                <w:szCs w:val="20"/>
                <w:lang w:bidi="ar"/>
              </w:rPr>
              <w:t>30</w:t>
            </w:r>
            <w:r>
              <w:rPr>
                <w:rFonts w:eastAsia="仿宋"/>
                <w:color w:val="000000"/>
                <w:sz w:val="20"/>
                <w:szCs w:val="20"/>
                <w:lang w:bidi="ar"/>
              </w:rPr>
              <w:t>公里（不含）以上的二级及以上等级公路；新建涉及环境敏感区的二级及以上等级公路</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类【新建</w:t>
            </w:r>
            <w:r>
              <w:rPr>
                <w:rFonts w:eastAsia="宋体"/>
                <w:color w:val="000000"/>
                <w:sz w:val="20"/>
                <w:szCs w:val="20"/>
                <w:lang w:bidi="ar"/>
              </w:rPr>
              <w:t>30</w:t>
            </w:r>
            <w:r>
              <w:rPr>
                <w:rFonts w:eastAsia="仿宋"/>
                <w:color w:val="000000"/>
                <w:sz w:val="20"/>
                <w:szCs w:val="20"/>
                <w:lang w:bidi="ar"/>
              </w:rPr>
              <w:t>千米（不含）以上的国家级高速公路除外】</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其他（配套设施除外；不涉及环境敏感区的三级、四级公路除外）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城市道路（不含维护；不含支路、人行天桥、人行地道）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新建快速路、主干路；城市桥梁、隧道</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新建、增建铁路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新建、增建铁路（</w:t>
            </w:r>
            <w:r>
              <w:rPr>
                <w:rFonts w:eastAsia="宋体"/>
                <w:color w:val="000000"/>
                <w:sz w:val="20"/>
                <w:szCs w:val="20"/>
                <w:lang w:bidi="ar"/>
              </w:rPr>
              <w:t>30</w:t>
            </w:r>
            <w:r>
              <w:rPr>
                <w:rFonts w:eastAsia="仿宋"/>
                <w:color w:val="000000"/>
                <w:sz w:val="20"/>
                <w:szCs w:val="20"/>
                <w:lang w:bidi="ar"/>
              </w:rPr>
              <w:t>公里及以下铁路联络线和</w:t>
            </w:r>
            <w:r>
              <w:rPr>
                <w:rFonts w:eastAsia="宋体"/>
                <w:color w:val="000000"/>
                <w:sz w:val="20"/>
                <w:szCs w:val="20"/>
                <w:lang w:bidi="ar"/>
              </w:rPr>
              <w:t>30</w:t>
            </w:r>
            <w:r>
              <w:rPr>
                <w:rFonts w:eastAsia="仿宋"/>
                <w:color w:val="000000"/>
                <w:sz w:val="20"/>
                <w:szCs w:val="20"/>
                <w:lang w:bidi="ar"/>
              </w:rPr>
              <w:t>公里及以下铁路专用线除外）；涉及环境敏感区的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30</w:t>
            </w:r>
            <w:r>
              <w:rPr>
                <w:rFonts w:eastAsia="仿宋"/>
                <w:color w:val="000000"/>
                <w:sz w:val="20"/>
                <w:szCs w:val="20"/>
                <w:lang w:bidi="ar"/>
              </w:rPr>
              <w:t>公里及以下铁路联络线和</w:t>
            </w:r>
            <w:r>
              <w:rPr>
                <w:rFonts w:eastAsia="宋体"/>
                <w:color w:val="000000"/>
                <w:sz w:val="20"/>
                <w:szCs w:val="20"/>
                <w:lang w:bidi="ar"/>
              </w:rPr>
              <w:t xml:space="preserve">30 </w:t>
            </w:r>
            <w:r>
              <w:rPr>
                <w:rFonts w:eastAsia="仿宋"/>
                <w:color w:val="000000"/>
                <w:sz w:val="20"/>
                <w:szCs w:val="20"/>
                <w:lang w:bidi="ar"/>
              </w:rPr>
              <w:t>公里及以下铁路专用线</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改建铁路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200</w:t>
            </w:r>
            <w:r>
              <w:rPr>
                <w:rFonts w:eastAsia="仿宋"/>
                <w:color w:val="000000"/>
                <w:sz w:val="20"/>
                <w:szCs w:val="20"/>
                <w:lang w:bidi="ar"/>
              </w:rPr>
              <w:t>公里及以上的电气化改造（线路和站场不发生调整的除外）</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铁路枢纽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涉及环境敏感区的新建枢纽</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其他（不新增占地的既有枢纽中部分线路改建除外）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城市轨道交通（不新增占地的停车场改建除外）</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机场</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新建；迁建；增加航空业务量的飞行区扩建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导航台站、供油工程、维修保障等配套工程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供油工程；涉及环境敏感区的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油气、液体化工码头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新建；岸线、水工构筑物、吞吐量、储运量增加的扩建；装卸货种变化的扩建</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139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干散货（含煤炭、矿石）、件杂、多用途、通用码头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单个泊位</w:t>
            </w:r>
            <w:r>
              <w:rPr>
                <w:rFonts w:eastAsia="宋体"/>
                <w:color w:val="000000"/>
                <w:sz w:val="20"/>
                <w:szCs w:val="20"/>
                <w:lang w:bidi="ar"/>
              </w:rPr>
              <w:t>1000</w:t>
            </w:r>
            <w:r>
              <w:rPr>
                <w:rFonts w:eastAsia="仿宋"/>
                <w:color w:val="000000"/>
                <w:sz w:val="20"/>
                <w:szCs w:val="20"/>
                <w:lang w:bidi="ar"/>
              </w:rPr>
              <w:t>吨级及以上的内河港口；单个泊位</w:t>
            </w:r>
            <w:r>
              <w:rPr>
                <w:rFonts w:eastAsia="宋体"/>
                <w:color w:val="000000"/>
                <w:sz w:val="20"/>
                <w:szCs w:val="20"/>
                <w:lang w:bidi="ar"/>
              </w:rPr>
              <w:t>1</w:t>
            </w:r>
            <w:r>
              <w:rPr>
                <w:rFonts w:eastAsia="仿宋"/>
                <w:color w:val="000000"/>
                <w:sz w:val="20"/>
                <w:szCs w:val="20"/>
                <w:lang w:bidi="ar"/>
              </w:rPr>
              <w:t>万吨级及以上的沿海港口；涉及环境敏感区的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140</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集装箱专用码头</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单个泊位</w:t>
            </w:r>
            <w:r>
              <w:rPr>
                <w:rFonts w:eastAsia="宋体"/>
                <w:color w:val="000000"/>
                <w:sz w:val="20"/>
                <w:szCs w:val="20"/>
                <w:lang w:bidi="ar"/>
              </w:rPr>
              <w:t>3000</w:t>
            </w:r>
            <w:r>
              <w:rPr>
                <w:rFonts w:eastAsia="仿宋"/>
                <w:color w:val="000000"/>
                <w:sz w:val="20"/>
                <w:szCs w:val="20"/>
                <w:lang w:bidi="ar"/>
              </w:rPr>
              <w:t>吨级及以上的内河港口；单个泊位</w:t>
            </w:r>
            <w:r>
              <w:rPr>
                <w:rFonts w:eastAsia="宋体"/>
                <w:color w:val="000000"/>
                <w:sz w:val="20"/>
                <w:szCs w:val="20"/>
                <w:lang w:bidi="ar"/>
              </w:rPr>
              <w:t>3</w:t>
            </w:r>
            <w:r>
              <w:rPr>
                <w:rFonts w:eastAsia="仿宋"/>
                <w:color w:val="000000"/>
                <w:sz w:val="20"/>
                <w:szCs w:val="20"/>
                <w:lang w:bidi="ar"/>
              </w:rPr>
              <w:t>万吨级及以上的沿海港口；涉及危险品、化学品的；涉及环境敏感区的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滚装、客运、工作船、游艇码头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铁路轮渡码头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航道工程、水运辅助工程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新建、扩建航道工程；涉及环境敏感区的防波堤、船闸、通航建筑物</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航电枢纽工程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中心渔港码头</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城市（镇）管网及管廊建设（不含给水管道；不含光纤；不含</w:t>
            </w:r>
            <w:r>
              <w:rPr>
                <w:rFonts w:eastAsia="宋体"/>
                <w:color w:val="000000"/>
                <w:sz w:val="20"/>
                <w:szCs w:val="20"/>
                <w:lang w:bidi="ar"/>
              </w:rPr>
              <w:t xml:space="preserve">1.6 </w:t>
            </w:r>
            <w:r>
              <w:rPr>
                <w:rFonts w:eastAsia="仿宋"/>
                <w:color w:val="000000"/>
                <w:sz w:val="20"/>
                <w:szCs w:val="20"/>
                <w:lang w:bidi="ar"/>
              </w:rPr>
              <w:t>兆帕及以下的天然气管道）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原油、成品油、天然气管线（不含城市天然气管线；不含城镇燃气管线；不含企业厂区内管道）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危险化学品输送管线（不含企业厂区内管线）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五十三、装卸搬运和仓储业</w:t>
            </w:r>
            <w:r>
              <w:rPr>
                <w:rFonts w:eastAsia="宋体"/>
                <w:color w:val="000000"/>
                <w:sz w:val="20"/>
                <w:szCs w:val="20"/>
                <w:lang w:bidi="ar"/>
              </w:rPr>
              <w:t xml:space="preserve"> 59</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113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149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危险品仓储</w:t>
            </w:r>
            <w:r>
              <w:rPr>
                <w:rFonts w:eastAsia="宋体"/>
                <w:color w:val="000000"/>
                <w:sz w:val="20"/>
                <w:szCs w:val="20"/>
                <w:lang w:bidi="ar"/>
              </w:rPr>
              <w:t xml:space="preserve"> 594</w:t>
            </w:r>
            <w:r>
              <w:rPr>
                <w:rFonts w:eastAsia="仿宋"/>
                <w:color w:val="000000"/>
                <w:sz w:val="20"/>
                <w:szCs w:val="20"/>
                <w:lang w:bidi="ar"/>
              </w:rPr>
              <w:t>（不含加油站的油库；不含加气站的气库）</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总容量</w:t>
            </w:r>
            <w:r>
              <w:rPr>
                <w:rFonts w:eastAsia="宋体"/>
                <w:color w:val="000000"/>
                <w:sz w:val="20"/>
                <w:szCs w:val="20"/>
                <w:lang w:bidi="ar"/>
              </w:rPr>
              <w:t>20</w:t>
            </w:r>
            <w:r>
              <w:rPr>
                <w:rFonts w:eastAsia="仿宋"/>
                <w:color w:val="000000"/>
                <w:sz w:val="20"/>
                <w:szCs w:val="20"/>
                <w:lang w:bidi="ar"/>
              </w:rPr>
              <w:t>万立方米及以上的油库（含油品码头后方配套油库）；地下油库；地下气库</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其他（含有毒、有害、危险品的仓储；含液化天然气库）</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Ⅱ</w:t>
            </w:r>
            <w:r>
              <w:rPr>
                <w:rFonts w:eastAsia="仿宋"/>
                <w:color w:val="000000"/>
                <w:sz w:val="20"/>
                <w:szCs w:val="20"/>
                <w:lang w:bidi="ar"/>
              </w:rPr>
              <w:t>类</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五十四、海洋工程</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16"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海洋矿产资源勘探开发及其附属工程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新区块油气开发及其附属工程；污水日排放量</w:t>
            </w:r>
            <w:r>
              <w:rPr>
                <w:rFonts w:eastAsia="宋体"/>
                <w:color w:val="000000"/>
                <w:sz w:val="20"/>
                <w:szCs w:val="20"/>
                <w:lang w:bidi="ar"/>
              </w:rPr>
              <w:t>1000</w:t>
            </w:r>
            <w:r>
              <w:rPr>
                <w:rFonts w:eastAsia="仿宋"/>
                <w:color w:val="000000"/>
                <w:sz w:val="20"/>
                <w:szCs w:val="20"/>
                <w:lang w:bidi="ar"/>
              </w:rPr>
              <w:t>立方米及以上或年产油量</w:t>
            </w:r>
            <w:r>
              <w:rPr>
                <w:rFonts w:eastAsia="宋体"/>
                <w:color w:val="000000"/>
                <w:sz w:val="20"/>
                <w:szCs w:val="20"/>
                <w:lang w:bidi="ar"/>
              </w:rPr>
              <w:t>20</w:t>
            </w:r>
            <w:r>
              <w:rPr>
                <w:rFonts w:eastAsia="仿宋"/>
                <w:color w:val="000000"/>
                <w:sz w:val="20"/>
                <w:szCs w:val="20"/>
                <w:lang w:bidi="ar"/>
              </w:rPr>
              <w:t>万吨及以上的海洋油气开发及其附属工程；挖沟埋设单条管道长度</w:t>
            </w:r>
            <w:r>
              <w:rPr>
                <w:rFonts w:eastAsia="宋体"/>
                <w:color w:val="000000"/>
                <w:sz w:val="20"/>
                <w:szCs w:val="20"/>
                <w:lang w:bidi="ar"/>
              </w:rPr>
              <w:t>20</w:t>
            </w:r>
            <w:r>
              <w:rPr>
                <w:rFonts w:eastAsia="仿宋"/>
                <w:color w:val="000000"/>
                <w:sz w:val="20"/>
                <w:szCs w:val="20"/>
                <w:lang w:bidi="ar"/>
              </w:rPr>
              <w:t>公里及以上或涉及环境敏感区的油气集输管道、电（光）缆工程；海洋（海底）矿产资源开发（包括天然气水合物开发；海砂开采；矿盐卤水开发；海床底温泉开发；海底地下水开发等工程）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其他（不含海洋油气勘探工程；不含不在环境敏感区内且排污量未超出原环评批复排放总量的海洋油气调整井工程；不含为油气开采工程配套的海底输水及输送无毒无害物质的管道、电（光）缆原地弃置工程）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415"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海洋能源开发利用类工程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装机容量在</w:t>
            </w:r>
            <w:r>
              <w:rPr>
                <w:rFonts w:eastAsia="宋体"/>
                <w:color w:val="000000"/>
                <w:sz w:val="20"/>
                <w:szCs w:val="20"/>
                <w:lang w:bidi="ar"/>
              </w:rPr>
              <w:t>20</w:t>
            </w:r>
            <w:r>
              <w:rPr>
                <w:rFonts w:eastAsia="仿宋"/>
                <w:color w:val="000000"/>
                <w:sz w:val="20"/>
                <w:szCs w:val="20"/>
                <w:lang w:bidi="ar"/>
              </w:rPr>
              <w:t>兆瓦及以上的潮汐发电、波浪发电、温差发电、海洋生物质能等海洋能源开发利用、输送设施及网络工程；总装机容量</w:t>
            </w:r>
            <w:r>
              <w:rPr>
                <w:rFonts w:eastAsia="宋体"/>
                <w:color w:val="000000"/>
                <w:sz w:val="20"/>
                <w:szCs w:val="20"/>
                <w:lang w:bidi="ar"/>
              </w:rPr>
              <w:t>5</w:t>
            </w:r>
            <w:r>
              <w:rPr>
                <w:rFonts w:eastAsia="仿宋"/>
                <w:color w:val="000000"/>
                <w:sz w:val="20"/>
                <w:szCs w:val="20"/>
                <w:lang w:bidi="ar"/>
              </w:rPr>
              <w:t>万千瓦及以上的海上风电工程及其输送设施及网络工程；涉及环境敏感区的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其他潮汐发电、波浪发电、温差发电、海洋生物质能等海洋能源开发利用、输送设施及网络工程；地热发电；太阳能发电工程及其输送设施及网络工程；其他海上风电工程及其输送设施及网络工程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海底隧道、管道、电（光）缆工程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海底隧道工程；挖沟埋设单条管道长度</w:t>
            </w:r>
            <w:r>
              <w:rPr>
                <w:rFonts w:eastAsia="宋体"/>
                <w:color w:val="000000"/>
                <w:sz w:val="20"/>
                <w:szCs w:val="20"/>
                <w:lang w:bidi="ar"/>
              </w:rPr>
              <w:t>20</w:t>
            </w:r>
            <w:r>
              <w:rPr>
                <w:rFonts w:eastAsia="仿宋"/>
                <w:color w:val="000000"/>
                <w:sz w:val="20"/>
                <w:szCs w:val="20"/>
                <w:lang w:bidi="ar"/>
              </w:rPr>
              <w:t>公里及以上的海上和海底电（光）缆工程、海上和海底输水管道工程、天然气及无毒无害物质输送管道工程；长度</w:t>
            </w:r>
            <w:r>
              <w:rPr>
                <w:rFonts w:eastAsia="宋体"/>
                <w:color w:val="000000"/>
                <w:sz w:val="20"/>
                <w:szCs w:val="20"/>
                <w:lang w:bidi="ar"/>
              </w:rPr>
              <w:t>1</w:t>
            </w:r>
            <w:r>
              <w:rPr>
                <w:rFonts w:eastAsia="仿宋"/>
                <w:color w:val="000000"/>
                <w:sz w:val="20"/>
                <w:szCs w:val="20"/>
                <w:lang w:bidi="ar"/>
              </w:rPr>
              <w:t>公里及以上的海上和海底有毒有害及危险品物质输送管道等工程；涉及环境敏感区的海底管道、电（光）缆工程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其他（海底输送无毒无害物质的管道及电（光）缆原地弃置工程除外）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跨海桥梁工程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非单跨、长度</w:t>
            </w:r>
            <w:r>
              <w:rPr>
                <w:rFonts w:eastAsia="宋体"/>
                <w:color w:val="000000"/>
                <w:sz w:val="20"/>
                <w:szCs w:val="20"/>
                <w:lang w:bidi="ar"/>
              </w:rPr>
              <w:t>0.1</w:t>
            </w:r>
            <w:r>
              <w:rPr>
                <w:rFonts w:eastAsia="仿宋"/>
                <w:color w:val="000000"/>
                <w:sz w:val="20"/>
                <w:szCs w:val="20"/>
                <w:lang w:bidi="ar"/>
              </w:rPr>
              <w:t>公里及以上的公铁桥梁工程；涉及环境敏感区的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围填海工程及海上堤坝工程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围填海工程；长度</w:t>
            </w:r>
            <w:r>
              <w:rPr>
                <w:rFonts w:eastAsia="宋体"/>
                <w:color w:val="000000"/>
                <w:sz w:val="20"/>
                <w:szCs w:val="20"/>
                <w:lang w:bidi="ar"/>
              </w:rPr>
              <w:t>0.5</w:t>
            </w:r>
            <w:r>
              <w:rPr>
                <w:rFonts w:eastAsia="仿宋"/>
                <w:color w:val="000000"/>
                <w:sz w:val="20"/>
                <w:szCs w:val="20"/>
                <w:lang w:bidi="ar"/>
              </w:rPr>
              <w:t>公里及以上的海上堤坝工程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海上娱乐及运动、海上景观开发</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污水日排放量</w:t>
            </w:r>
            <w:r>
              <w:rPr>
                <w:rFonts w:eastAsia="宋体"/>
                <w:color w:val="000000"/>
                <w:sz w:val="20"/>
                <w:szCs w:val="20"/>
                <w:lang w:bidi="ar"/>
              </w:rPr>
              <w:t>200</w:t>
            </w:r>
            <w:r>
              <w:rPr>
                <w:rFonts w:eastAsia="仿宋"/>
                <w:color w:val="000000"/>
                <w:sz w:val="20"/>
                <w:szCs w:val="20"/>
                <w:lang w:bidi="ar"/>
              </w:rPr>
              <w:t>立方米及以上的海上娱乐及运动、海上景观开发</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污水日排放量</w:t>
            </w:r>
            <w:r>
              <w:rPr>
                <w:rFonts w:eastAsia="宋体"/>
                <w:color w:val="000000"/>
                <w:sz w:val="20"/>
                <w:szCs w:val="20"/>
                <w:lang w:bidi="ar"/>
              </w:rPr>
              <w:t>200</w:t>
            </w:r>
            <w:r>
              <w:rPr>
                <w:rFonts w:eastAsia="仿宋"/>
                <w:color w:val="000000"/>
                <w:sz w:val="20"/>
                <w:szCs w:val="20"/>
                <w:lang w:bidi="ar"/>
              </w:rPr>
              <w:t>立方米以下的海上娱乐及运动、海上景观开发</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737"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海洋人工鱼礁工程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固体物质（虚方）投放量</w:t>
            </w:r>
            <w:r>
              <w:rPr>
                <w:rFonts w:eastAsia="宋体"/>
                <w:color w:val="000000"/>
                <w:sz w:val="20"/>
                <w:szCs w:val="20"/>
                <w:lang w:bidi="ar"/>
              </w:rPr>
              <w:t>5</w:t>
            </w:r>
            <w:r>
              <w:rPr>
                <w:rFonts w:eastAsia="仿宋"/>
                <w:color w:val="000000"/>
                <w:sz w:val="20"/>
                <w:szCs w:val="20"/>
                <w:lang w:bidi="ar"/>
              </w:rPr>
              <w:t>万立方米及以上的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固体物质（虚方）投放量</w:t>
            </w:r>
            <w:r>
              <w:rPr>
                <w:rFonts w:eastAsia="宋体"/>
                <w:color w:val="000000"/>
                <w:sz w:val="20"/>
                <w:szCs w:val="20"/>
                <w:lang w:bidi="ar"/>
              </w:rPr>
              <w:t>5</w:t>
            </w:r>
            <w:r>
              <w:rPr>
                <w:rFonts w:eastAsia="仿宋"/>
                <w:color w:val="000000"/>
                <w:sz w:val="20"/>
                <w:szCs w:val="20"/>
                <w:lang w:bidi="ar"/>
              </w:rPr>
              <w:t>万立方米以下</w:t>
            </w:r>
            <w:r>
              <w:rPr>
                <w:rFonts w:eastAsia="宋体"/>
                <w:color w:val="000000"/>
                <w:sz w:val="20"/>
                <w:szCs w:val="20"/>
                <w:lang w:bidi="ar"/>
              </w:rPr>
              <w:t xml:space="preserve">5000 </w:t>
            </w:r>
            <w:r>
              <w:rPr>
                <w:rFonts w:eastAsia="仿宋"/>
                <w:color w:val="000000"/>
                <w:sz w:val="20"/>
                <w:szCs w:val="20"/>
                <w:lang w:bidi="ar"/>
              </w:rPr>
              <w:t>立方米及以上的；涉及环境敏感区的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海上和海底物资储藏设施工程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海上和海底物资储藏设施等工程及其废弃和拆除等；原油、成品油、天然气（含</w:t>
            </w:r>
            <w:r>
              <w:rPr>
                <w:rFonts w:eastAsia="宋体"/>
                <w:color w:val="000000"/>
                <w:sz w:val="20"/>
                <w:szCs w:val="20"/>
                <w:lang w:bidi="ar"/>
              </w:rPr>
              <w:t>LNG</w:t>
            </w:r>
            <w:r>
              <w:rPr>
                <w:rFonts w:eastAsia="仿宋"/>
                <w:color w:val="000000"/>
                <w:sz w:val="20"/>
                <w:szCs w:val="20"/>
                <w:lang w:bidi="ar"/>
              </w:rPr>
              <w:t>、</w:t>
            </w:r>
            <w:r>
              <w:rPr>
                <w:rFonts w:eastAsia="宋体"/>
                <w:color w:val="000000"/>
                <w:sz w:val="20"/>
                <w:szCs w:val="20"/>
                <w:lang w:bidi="ar"/>
              </w:rPr>
              <w:t>LPG</w:t>
            </w:r>
            <w:r>
              <w:rPr>
                <w:rFonts w:eastAsia="仿宋"/>
                <w:color w:val="000000"/>
                <w:sz w:val="20"/>
                <w:szCs w:val="20"/>
                <w:lang w:bidi="ar"/>
              </w:rPr>
              <w:t>）、化学品及其他危险品、其他物质的仓储、储运等工程及其废弃和拆除等；吞吐（储）</w:t>
            </w:r>
            <w:r>
              <w:rPr>
                <w:rFonts w:eastAsia="宋体"/>
                <w:color w:val="000000"/>
                <w:sz w:val="20"/>
                <w:szCs w:val="20"/>
                <w:lang w:bidi="ar"/>
              </w:rPr>
              <w:t xml:space="preserve">50 </w:t>
            </w:r>
            <w:r>
              <w:rPr>
                <w:rFonts w:eastAsia="仿宋"/>
                <w:color w:val="000000"/>
                <w:sz w:val="20"/>
                <w:szCs w:val="20"/>
                <w:lang w:bidi="ar"/>
              </w:rPr>
              <w:t>万吨（万立方米）</w:t>
            </w:r>
            <w:r>
              <w:rPr>
                <w:rFonts w:eastAsia="宋体"/>
                <w:color w:val="000000"/>
                <w:sz w:val="20"/>
                <w:szCs w:val="20"/>
                <w:lang w:bidi="ar"/>
              </w:rPr>
              <w:t xml:space="preserve"> </w:t>
            </w:r>
            <w:r>
              <w:rPr>
                <w:rFonts w:eastAsia="仿宋"/>
                <w:color w:val="000000"/>
                <w:sz w:val="20"/>
                <w:szCs w:val="20"/>
                <w:lang w:bidi="ar"/>
              </w:rPr>
              <w:t>及以上的粉煤灰和废弃物储藏工程、海洋空间资源利用等工程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海洋生态修复工程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万立方米及以上的清淤、滩涂垫高等工程；涉及环境敏感区的堤坝拆除、临时围堰等改变水动力的工程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万立方米以下的清淤、滩涂垫高等工程；涉及环境敏感区的其他海洋生态修复工程</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159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排海工程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低放射性废液排海；污水日排放量</w:t>
            </w:r>
            <w:r>
              <w:rPr>
                <w:rFonts w:eastAsia="宋体"/>
                <w:color w:val="000000"/>
                <w:sz w:val="20"/>
                <w:szCs w:val="20"/>
                <w:lang w:bidi="ar"/>
              </w:rPr>
              <w:t>10</w:t>
            </w:r>
            <w:r>
              <w:rPr>
                <w:rFonts w:eastAsia="仿宋"/>
                <w:color w:val="000000"/>
                <w:sz w:val="20"/>
                <w:szCs w:val="20"/>
                <w:lang w:bidi="ar"/>
              </w:rPr>
              <w:t>万立方米及以上的城镇生活污水排污管道工程；日排放量</w:t>
            </w:r>
            <w:r>
              <w:rPr>
                <w:rFonts w:eastAsia="宋体"/>
                <w:color w:val="000000"/>
                <w:sz w:val="20"/>
                <w:szCs w:val="20"/>
                <w:lang w:bidi="ar"/>
              </w:rPr>
              <w:t>0.5</w:t>
            </w:r>
            <w:r>
              <w:rPr>
                <w:rFonts w:eastAsia="仿宋"/>
                <w:color w:val="000000"/>
                <w:sz w:val="20"/>
                <w:szCs w:val="20"/>
                <w:lang w:bidi="ar"/>
              </w:rPr>
              <w:t>万立方米及以上的工业废水排放工程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其他海洋工程</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工程量在</w:t>
            </w:r>
            <w:r>
              <w:rPr>
                <w:rFonts w:eastAsia="宋体"/>
                <w:color w:val="000000"/>
                <w:sz w:val="20"/>
                <w:szCs w:val="20"/>
                <w:lang w:bidi="ar"/>
              </w:rPr>
              <w:t>10</w:t>
            </w:r>
            <w:r>
              <w:rPr>
                <w:rFonts w:eastAsia="仿宋"/>
                <w:color w:val="000000"/>
                <w:sz w:val="20"/>
                <w:szCs w:val="20"/>
                <w:lang w:bidi="ar"/>
              </w:rPr>
              <w:t>万立方米及以上的疏浚（不含航道工程）、取土（沙）等水下开挖工程；爆破挤淤、炸礁（岩）量在</w:t>
            </w:r>
            <w:r>
              <w:rPr>
                <w:rFonts w:eastAsia="宋体"/>
                <w:color w:val="000000"/>
                <w:sz w:val="20"/>
                <w:szCs w:val="20"/>
                <w:lang w:bidi="ar"/>
              </w:rPr>
              <w:t>0.2</w:t>
            </w:r>
            <w:r>
              <w:rPr>
                <w:rFonts w:eastAsia="仿宋"/>
                <w:color w:val="000000"/>
                <w:sz w:val="20"/>
                <w:szCs w:val="20"/>
                <w:lang w:bidi="ar"/>
              </w:rPr>
              <w:t>万立方米及以上的水下炸礁（岩）及爆破工程</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23" w:hRule="atLeast"/>
          <w:jc w:val="center"/>
        </w:trPr>
        <w:tc>
          <w:tcPr>
            <w:tcW w:w="1351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left"/>
              <w:textAlignment w:val="center"/>
              <w:rPr>
                <w:rFonts w:eastAsia="宋体"/>
                <w:color w:val="000000"/>
                <w:sz w:val="20"/>
                <w:szCs w:val="20"/>
              </w:rPr>
            </w:pPr>
            <w:r>
              <w:rPr>
                <w:rFonts w:eastAsia="黑体"/>
                <w:color w:val="000000"/>
                <w:sz w:val="20"/>
                <w:szCs w:val="20"/>
                <w:lang w:bidi="ar"/>
              </w:rPr>
              <w:t>五十五、核与辐射</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161</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输变电工程</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500</w:t>
            </w:r>
            <w:r>
              <w:rPr>
                <w:rFonts w:eastAsia="仿宋"/>
                <w:color w:val="000000"/>
                <w:sz w:val="20"/>
                <w:szCs w:val="20"/>
                <w:lang w:bidi="ar"/>
              </w:rPr>
              <w:t>千伏及以上的；涉及环境敏感区的</w:t>
            </w:r>
            <w:r>
              <w:rPr>
                <w:rFonts w:eastAsia="宋体"/>
                <w:color w:val="000000"/>
                <w:sz w:val="20"/>
                <w:szCs w:val="20"/>
                <w:lang w:bidi="ar"/>
              </w:rPr>
              <w:t>330</w:t>
            </w:r>
            <w:r>
              <w:rPr>
                <w:rFonts w:eastAsia="仿宋"/>
                <w:color w:val="000000"/>
                <w:sz w:val="20"/>
                <w:szCs w:val="20"/>
                <w:lang w:bidi="ar"/>
              </w:rPr>
              <w:t>千伏及以上的</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类（涉及环境敏感区的</w:t>
            </w:r>
            <w:r>
              <w:rPr>
                <w:rFonts w:eastAsia="宋体"/>
                <w:color w:val="000000"/>
                <w:sz w:val="20"/>
                <w:szCs w:val="20"/>
                <w:lang w:bidi="ar"/>
              </w:rPr>
              <w:t>330</w:t>
            </w:r>
            <w:r>
              <w:rPr>
                <w:rFonts w:eastAsia="仿宋"/>
                <w:color w:val="000000"/>
                <w:sz w:val="20"/>
                <w:szCs w:val="20"/>
                <w:lang w:bidi="ar"/>
              </w:rPr>
              <w:t>千伏（含）以上及</w:t>
            </w:r>
            <w:r>
              <w:rPr>
                <w:rFonts w:eastAsia="宋体"/>
                <w:color w:val="000000"/>
                <w:sz w:val="20"/>
                <w:szCs w:val="20"/>
                <w:lang w:bidi="ar"/>
              </w:rPr>
              <w:t>500</w:t>
            </w:r>
            <w:r>
              <w:rPr>
                <w:rFonts w:eastAsia="仿宋"/>
                <w:color w:val="000000"/>
                <w:sz w:val="20"/>
                <w:szCs w:val="20"/>
                <w:lang w:bidi="ar"/>
              </w:rPr>
              <w:t>千伏（不含）以下的）</w:t>
            </w:r>
          </w:p>
        </w:tc>
        <w:tc>
          <w:tcPr>
            <w:tcW w:w="374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r>
              <w:rPr>
                <w:rFonts w:eastAsia="宋体"/>
                <w:color w:val="000000"/>
                <w:sz w:val="20"/>
                <w:szCs w:val="20"/>
                <w:lang w:bidi="ar"/>
              </w:rPr>
              <w:t>100</w:t>
            </w:r>
            <w:r>
              <w:rPr>
                <w:rFonts w:eastAsia="仿宋"/>
                <w:color w:val="000000"/>
                <w:sz w:val="20"/>
                <w:szCs w:val="20"/>
                <w:lang w:bidi="ar"/>
              </w:rPr>
              <w:t>千伏以下除外）</w:t>
            </w:r>
          </w:p>
        </w:tc>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312"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162</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广播电台、差转台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中波</w:t>
            </w:r>
            <w:r>
              <w:rPr>
                <w:rFonts w:eastAsia="宋体"/>
                <w:color w:val="000000"/>
                <w:sz w:val="20"/>
                <w:szCs w:val="20"/>
                <w:lang w:bidi="ar"/>
              </w:rPr>
              <w:t>50</w:t>
            </w:r>
            <w:r>
              <w:rPr>
                <w:rFonts w:eastAsia="仿宋"/>
                <w:color w:val="000000"/>
                <w:sz w:val="20"/>
                <w:szCs w:val="20"/>
                <w:lang w:bidi="ar"/>
              </w:rPr>
              <w:t>千瓦及以上的；短波</w:t>
            </w:r>
            <w:r>
              <w:rPr>
                <w:rFonts w:eastAsia="宋体"/>
                <w:color w:val="000000"/>
                <w:sz w:val="20"/>
                <w:szCs w:val="20"/>
                <w:lang w:bidi="ar"/>
              </w:rPr>
              <w:t>100</w:t>
            </w:r>
            <w:r>
              <w:rPr>
                <w:rFonts w:eastAsia="仿宋"/>
                <w:color w:val="000000"/>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16"/>
                <w:szCs w:val="16"/>
              </w:rPr>
            </w:pPr>
          </w:p>
        </w:tc>
      </w:tr>
      <w:tr>
        <w:tblPrEx>
          <w:tblCellMar>
            <w:top w:w="57" w:type="dxa"/>
            <w:left w:w="57" w:type="dxa"/>
            <w:bottom w:w="57" w:type="dxa"/>
            <w:right w:w="57" w:type="dxa"/>
          </w:tblCellMar>
        </w:tblPrEx>
        <w:trPr>
          <w:trHeight w:val="96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163</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电视塔台</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r>
              <w:rPr>
                <w:rFonts w:eastAsia="宋体"/>
                <w:color w:val="000000"/>
                <w:sz w:val="20"/>
                <w:szCs w:val="20"/>
                <w:lang w:bidi="ar"/>
              </w:rPr>
              <w:t>100</w:t>
            </w:r>
            <w:r>
              <w:rPr>
                <w:rFonts w:eastAsia="仿宋"/>
                <w:color w:val="000000"/>
                <w:sz w:val="20"/>
                <w:szCs w:val="20"/>
                <w:lang w:bidi="ar"/>
              </w:rPr>
              <w:t>千瓦及以上的涉及环境敏感区的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164</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卫星地球上行站</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165</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雷达</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涉及环境敏感区的</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16"/>
                <w:szCs w:val="16"/>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166</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无线通讯</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167</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textAlignment w:val="center"/>
              <w:rPr>
                <w:rFonts w:eastAsia="宋体"/>
                <w:color w:val="000000"/>
                <w:sz w:val="20"/>
                <w:szCs w:val="20"/>
              </w:rPr>
            </w:pPr>
            <w:r>
              <w:rPr>
                <w:rFonts w:eastAsia="仿宋"/>
                <w:color w:val="000000"/>
                <w:spacing w:val="-6"/>
                <w:sz w:val="20"/>
                <w:szCs w:val="20"/>
                <w:lang w:bidi="ar"/>
              </w:rPr>
              <w:t>核动力厂（核电厂、核热电厂、核供汽供热厂等）；反应堆（研究堆、实验堆、临界装置等）；核燃料生产、加工、贮存、后处理设施；放射性污染治理项目</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主生产工艺或安全重要构筑物的重大变更，但源项不显著增加；次临界装置的新建、扩建、退役</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168</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放射性废物贮存、处理、处置设施</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新建、扩建、退役；放射性废物处置设施的关闭</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独立的放射性废物贮存设施</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169</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铀矿开采、冶炼；其他方式提铀</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新建、扩建、退役</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其他（含工业试验）</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170</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铀矿地质勘查、退役治理</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全部</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794" w:hRule="atLeast"/>
          <w:jc w:val="center"/>
        </w:trPr>
        <w:tc>
          <w:tcPr>
            <w:tcW w:w="5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171</w:t>
            </w:r>
          </w:p>
        </w:tc>
        <w:tc>
          <w:tcPr>
            <w:tcW w:w="2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伴生放射性矿</w:t>
            </w:r>
          </w:p>
        </w:tc>
        <w:tc>
          <w:tcPr>
            <w:tcW w:w="365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采选、冶炼</w:t>
            </w:r>
          </w:p>
        </w:tc>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其他（含放射性污染治理）</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172</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核技术利用建设项目</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生产放射性同位素的（制备</w:t>
            </w:r>
            <w:r>
              <w:rPr>
                <w:rFonts w:eastAsia="宋体"/>
                <w:color w:val="000000"/>
                <w:sz w:val="20"/>
                <w:szCs w:val="20"/>
                <w:lang w:bidi="ar"/>
              </w:rPr>
              <w:t>PET</w:t>
            </w:r>
            <w:r>
              <w:rPr>
                <w:rFonts w:eastAsia="仿宋"/>
                <w:color w:val="000000"/>
                <w:sz w:val="20"/>
                <w:szCs w:val="20"/>
                <w:lang w:bidi="ar"/>
              </w:rPr>
              <w:t>用放射性药物的除外）；使用</w:t>
            </w:r>
            <w:r>
              <w:rPr>
                <w:rFonts w:eastAsia="宋体"/>
                <w:color w:val="000000"/>
                <w:sz w:val="20"/>
                <w:szCs w:val="20"/>
                <w:lang w:bidi="ar"/>
              </w:rPr>
              <w:t>I</w:t>
            </w:r>
            <w:r>
              <w:rPr>
                <w:rFonts w:eastAsia="仿宋"/>
                <w:color w:val="000000"/>
                <w:sz w:val="20"/>
                <w:szCs w:val="20"/>
                <w:lang w:bidi="ar"/>
              </w:rPr>
              <w:t>类放射源的（医疗使用的除外）；销售（含建造）、使用</w:t>
            </w:r>
            <w:r>
              <w:rPr>
                <w:rFonts w:eastAsia="宋体"/>
                <w:color w:val="000000"/>
                <w:sz w:val="20"/>
                <w:szCs w:val="20"/>
                <w:lang w:bidi="ar"/>
              </w:rPr>
              <w:t>I</w:t>
            </w:r>
            <w:r>
              <w:rPr>
                <w:rFonts w:eastAsia="仿宋"/>
                <w:color w:val="000000"/>
                <w:sz w:val="20"/>
                <w:szCs w:val="20"/>
                <w:lang w:bidi="ar"/>
              </w:rPr>
              <w:t>类射线装置的；甲级非密封放射性物质工作场所；以上项目的改、扩建（不含在已许可场所增加不超出已许可活动种类和不高于已许可范围等级的核素或射线装置，且新增规模不超过原环评规模的</w:t>
            </w:r>
            <w:r>
              <w:rPr>
                <w:rFonts w:eastAsia="宋体"/>
                <w:color w:val="000000"/>
                <w:sz w:val="20"/>
                <w:szCs w:val="20"/>
                <w:lang w:bidi="ar"/>
              </w:rPr>
              <w:t>50%</w:t>
            </w:r>
            <w:r>
              <w:rPr>
                <w:rFonts w:eastAsia="仿宋"/>
                <w:color w:val="000000"/>
                <w:sz w:val="20"/>
                <w:szCs w:val="20"/>
                <w:lang w:bidi="ar"/>
              </w:rPr>
              <w:t>）</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制备</w:t>
            </w:r>
            <w:r>
              <w:rPr>
                <w:rFonts w:eastAsia="宋体"/>
                <w:color w:val="000000"/>
                <w:sz w:val="20"/>
                <w:szCs w:val="20"/>
                <w:lang w:bidi="ar"/>
              </w:rPr>
              <w:t>PET</w:t>
            </w:r>
            <w:r>
              <w:rPr>
                <w:rFonts w:eastAsia="仿宋"/>
                <w:color w:val="000000"/>
                <w:sz w:val="20"/>
                <w:szCs w:val="20"/>
                <w:lang w:bidi="ar"/>
              </w:rPr>
              <w:t>用放射性药物的；医疗使用</w:t>
            </w:r>
            <w:r>
              <w:rPr>
                <w:rFonts w:eastAsia="宋体"/>
                <w:color w:val="000000"/>
                <w:sz w:val="20"/>
                <w:szCs w:val="20"/>
                <w:lang w:bidi="ar"/>
              </w:rPr>
              <w:t>Ⅰ</w:t>
            </w:r>
            <w:r>
              <w:rPr>
                <w:rFonts w:eastAsia="仿宋"/>
                <w:color w:val="000000"/>
                <w:sz w:val="20"/>
                <w:szCs w:val="20"/>
                <w:lang w:bidi="ar"/>
              </w:rPr>
              <w:t>类放射源的；使用</w:t>
            </w:r>
            <w:r>
              <w:rPr>
                <w:rFonts w:eastAsia="宋体"/>
                <w:color w:val="000000"/>
                <w:sz w:val="20"/>
                <w:szCs w:val="20"/>
                <w:lang w:bidi="ar"/>
              </w:rPr>
              <w:t>Ⅱ</w:t>
            </w:r>
            <w:r>
              <w:rPr>
                <w:rFonts w:eastAsia="仿宋"/>
                <w:color w:val="000000"/>
                <w:sz w:val="20"/>
                <w:szCs w:val="20"/>
                <w:lang w:bidi="ar"/>
              </w:rPr>
              <w:t>类、</w:t>
            </w:r>
            <w:r>
              <w:rPr>
                <w:rFonts w:eastAsia="宋体"/>
                <w:color w:val="000000"/>
                <w:sz w:val="20"/>
                <w:szCs w:val="20"/>
                <w:lang w:bidi="ar"/>
              </w:rPr>
              <w:t>Ⅲ</w:t>
            </w:r>
            <w:r>
              <w:rPr>
                <w:rFonts w:eastAsia="仿宋"/>
                <w:color w:val="000000"/>
                <w:sz w:val="20"/>
                <w:szCs w:val="20"/>
                <w:lang w:bidi="ar"/>
              </w:rPr>
              <w:t>类放射源的；乙、丙级非密封放射性物质工作场所（医疗机构使用植入治疗用放射性粒子源的除外）；在野外进行放射性同位素示踪试验的；以上项目的改、扩建（不含在已许可场所增加不超出已许可活动种类和不高于已许可范围等级的核素或射线装置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r>
              <w:rPr>
                <w:rFonts w:eastAsia="宋体"/>
                <w:color w:val="000000"/>
                <w:sz w:val="20"/>
                <w:szCs w:val="20"/>
                <w:lang w:bidi="ar"/>
              </w:rPr>
              <w:t>(</w:t>
            </w:r>
            <w:r>
              <w:rPr>
                <w:rFonts w:eastAsia="仿宋"/>
                <w:color w:val="000000"/>
                <w:sz w:val="20"/>
                <w:szCs w:val="20"/>
                <w:lang w:bidi="ar"/>
              </w:rPr>
              <w:t>丙级非密封放射性物质工作场所）</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生产、使用</w:t>
            </w:r>
            <w:r>
              <w:rPr>
                <w:rFonts w:eastAsia="宋体"/>
                <w:color w:val="000000"/>
                <w:sz w:val="20"/>
                <w:szCs w:val="20"/>
                <w:lang w:bidi="ar"/>
              </w:rPr>
              <w:t>Ⅱ</w:t>
            </w:r>
            <w:r>
              <w:rPr>
                <w:rFonts w:eastAsia="仿宋"/>
                <w:color w:val="000000"/>
                <w:sz w:val="20"/>
                <w:szCs w:val="20"/>
                <w:lang w:bidi="ar"/>
              </w:rPr>
              <w:t>类射线装置的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w:t>
            </w:r>
            <w:r>
              <w:rPr>
                <w:rFonts w:eastAsia="宋体"/>
                <w:color w:val="000000"/>
                <w:sz w:val="20"/>
                <w:szCs w:val="20"/>
                <w:lang w:bidi="ar"/>
              </w:rPr>
              <w:t>(</w:t>
            </w:r>
            <w:r>
              <w:rPr>
                <w:rFonts w:eastAsia="仿宋"/>
                <w:color w:val="000000"/>
                <w:sz w:val="20"/>
                <w:szCs w:val="20"/>
                <w:lang w:bidi="ar"/>
              </w:rPr>
              <w:t>除加速器以及中子发生器之外）</w:t>
            </w:r>
          </w:p>
        </w:tc>
        <w:tc>
          <w:tcPr>
            <w:tcW w:w="1608" w:type="dxa"/>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left"/>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173</w:t>
            </w:r>
          </w:p>
        </w:tc>
        <w:tc>
          <w:tcPr>
            <w:tcW w:w="28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核技术利用项目退役</w:t>
            </w:r>
          </w:p>
        </w:tc>
        <w:tc>
          <w:tcPr>
            <w:tcW w:w="36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生产放射性同位素的（制备</w:t>
            </w:r>
            <w:r>
              <w:rPr>
                <w:rFonts w:eastAsia="宋体"/>
                <w:color w:val="000000"/>
                <w:sz w:val="20"/>
                <w:szCs w:val="20"/>
                <w:lang w:bidi="ar"/>
              </w:rPr>
              <w:t>PET</w:t>
            </w:r>
            <w:r>
              <w:rPr>
                <w:rFonts w:eastAsia="仿宋"/>
                <w:color w:val="000000"/>
                <w:sz w:val="20"/>
                <w:szCs w:val="20"/>
                <w:lang w:bidi="ar"/>
              </w:rPr>
              <w:t>用放射性药物的除外）；甲级非密封放射性物质工作场所</w:t>
            </w:r>
          </w:p>
        </w:tc>
        <w:tc>
          <w:tcPr>
            <w:tcW w:w="15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制备</w:t>
            </w:r>
            <w:r>
              <w:rPr>
                <w:rFonts w:eastAsia="宋体"/>
                <w:color w:val="000000"/>
                <w:sz w:val="20"/>
                <w:szCs w:val="20"/>
                <w:lang w:bidi="ar"/>
              </w:rPr>
              <w:t>PET</w:t>
            </w:r>
            <w:r>
              <w:rPr>
                <w:rFonts w:eastAsia="仿宋"/>
                <w:color w:val="000000"/>
                <w:sz w:val="20"/>
                <w:szCs w:val="20"/>
                <w:lang w:bidi="ar"/>
              </w:rPr>
              <w:t>用放射性药物的；乙级非密封放射性物质工作场所使用</w:t>
            </w:r>
            <w:r>
              <w:rPr>
                <w:rFonts w:eastAsia="宋体"/>
                <w:color w:val="000000"/>
                <w:sz w:val="20"/>
                <w:szCs w:val="20"/>
                <w:lang w:bidi="ar"/>
              </w:rPr>
              <w:t>Ⅰ</w:t>
            </w:r>
            <w:r>
              <w:rPr>
                <w:rFonts w:eastAsia="仿宋"/>
                <w:color w:val="000000"/>
                <w:sz w:val="20"/>
                <w:szCs w:val="20"/>
                <w:lang w:bidi="ar"/>
              </w:rPr>
              <w:t>类、</w:t>
            </w:r>
            <w:r>
              <w:rPr>
                <w:rFonts w:eastAsia="宋体"/>
                <w:color w:val="000000"/>
                <w:sz w:val="20"/>
                <w:szCs w:val="20"/>
                <w:lang w:bidi="ar"/>
              </w:rPr>
              <w:t>Ⅱ</w:t>
            </w:r>
            <w:r>
              <w:rPr>
                <w:rFonts w:eastAsia="仿宋"/>
                <w:color w:val="000000"/>
                <w:sz w:val="20"/>
                <w:szCs w:val="20"/>
                <w:lang w:bidi="ar"/>
              </w:rPr>
              <w:t>类、</w:t>
            </w:r>
            <w:r>
              <w:rPr>
                <w:rFonts w:eastAsia="宋体"/>
                <w:color w:val="000000"/>
                <w:sz w:val="20"/>
                <w:szCs w:val="20"/>
                <w:lang w:bidi="ar"/>
              </w:rPr>
              <w:t>Ⅲ</w:t>
            </w:r>
            <w:r>
              <w:rPr>
                <w:rFonts w:eastAsia="仿宋"/>
                <w:color w:val="000000"/>
                <w:sz w:val="20"/>
                <w:szCs w:val="20"/>
                <w:lang w:bidi="ar"/>
              </w:rPr>
              <w:t>类放射源场所存在污染的；使用</w:t>
            </w:r>
            <w:r>
              <w:rPr>
                <w:rFonts w:eastAsia="宋体"/>
                <w:color w:val="000000"/>
                <w:sz w:val="20"/>
                <w:szCs w:val="20"/>
                <w:lang w:bidi="ar"/>
              </w:rPr>
              <w:t>Ⅰ</w:t>
            </w:r>
            <w:r>
              <w:rPr>
                <w:rFonts w:eastAsia="仿宋"/>
                <w:color w:val="000000"/>
                <w:sz w:val="20"/>
                <w:szCs w:val="20"/>
                <w:lang w:bidi="ar"/>
              </w:rPr>
              <w:t>类存在污染的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w:t>
            </w:r>
          </w:p>
        </w:tc>
        <w:tc>
          <w:tcPr>
            <w:tcW w:w="16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r>
        <w:tblPrEx>
          <w:tblCellMar>
            <w:top w:w="57" w:type="dxa"/>
            <w:left w:w="57" w:type="dxa"/>
            <w:bottom w:w="57" w:type="dxa"/>
            <w:right w:w="57" w:type="dxa"/>
          </w:tblCellMar>
        </w:tblPrEx>
        <w:trPr>
          <w:trHeight w:val="23" w:hRule="atLeast"/>
          <w:jc w:val="center"/>
        </w:trPr>
        <w:tc>
          <w:tcPr>
            <w:tcW w:w="5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28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6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15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c>
          <w:tcPr>
            <w:tcW w:w="37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仿宋"/>
                <w:color w:val="000000"/>
                <w:sz w:val="20"/>
                <w:szCs w:val="20"/>
                <w:lang w:bidi="ar"/>
              </w:rPr>
              <w:t>使用</w:t>
            </w:r>
            <w:r>
              <w:rPr>
                <w:rFonts w:eastAsia="宋体"/>
                <w:color w:val="000000"/>
                <w:sz w:val="20"/>
                <w:szCs w:val="20"/>
                <w:lang w:bidi="ar"/>
              </w:rPr>
              <w:t>Ⅱ</w:t>
            </w:r>
            <w:r>
              <w:rPr>
                <w:rFonts w:eastAsia="仿宋"/>
                <w:color w:val="000000"/>
                <w:sz w:val="20"/>
                <w:szCs w:val="20"/>
                <w:lang w:bidi="ar"/>
              </w:rPr>
              <w:t>类射线装置（</w:t>
            </w:r>
            <w:r>
              <w:rPr>
                <w:rFonts w:eastAsia="宋体"/>
                <w:color w:val="000000"/>
                <w:sz w:val="20"/>
                <w:szCs w:val="20"/>
                <w:lang w:bidi="ar"/>
              </w:rPr>
              <w:t>X</w:t>
            </w:r>
            <w:r>
              <w:rPr>
                <w:rFonts w:eastAsia="仿宋"/>
                <w:color w:val="000000"/>
                <w:sz w:val="20"/>
                <w:szCs w:val="20"/>
                <w:lang w:bidi="ar"/>
              </w:rPr>
              <w:t>射线装置和粒子能量不高于</w:t>
            </w:r>
            <w:r>
              <w:rPr>
                <w:rFonts w:eastAsia="宋体"/>
                <w:color w:val="000000"/>
                <w:sz w:val="20"/>
                <w:szCs w:val="20"/>
                <w:lang w:bidi="ar"/>
              </w:rPr>
              <w:t>10</w:t>
            </w:r>
            <w:r>
              <w:rPr>
                <w:rFonts w:eastAsia="仿宋"/>
                <w:color w:val="000000"/>
                <w:sz w:val="20"/>
                <w:szCs w:val="20"/>
                <w:lang w:bidi="ar"/>
              </w:rPr>
              <w:t>兆电子伏的电子加速器除外）存在污染的</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snapToGrid/>
              <w:spacing w:line="240" w:lineRule="auto"/>
              <w:ind w:firstLine="0" w:firstLineChars="0"/>
              <w:jc w:val="center"/>
              <w:textAlignment w:val="center"/>
              <w:rPr>
                <w:rFonts w:eastAsia="宋体"/>
                <w:color w:val="000000"/>
                <w:sz w:val="20"/>
                <w:szCs w:val="20"/>
              </w:rPr>
            </w:pPr>
            <w:r>
              <w:rPr>
                <w:rFonts w:eastAsia="宋体"/>
                <w:color w:val="000000"/>
                <w:kern w:val="0"/>
                <w:sz w:val="20"/>
                <w:szCs w:val="20"/>
                <w:lang w:bidi="ar"/>
              </w:rPr>
              <w:t>Ⅰ</w:t>
            </w:r>
            <w:r>
              <w:rPr>
                <w:rFonts w:eastAsia="仿宋"/>
                <w:color w:val="000000"/>
                <w:sz w:val="20"/>
                <w:szCs w:val="20"/>
                <w:lang w:bidi="ar"/>
              </w:rPr>
              <w:t>类（除加速器以及中子发生器之外）</w:t>
            </w:r>
          </w:p>
        </w:tc>
        <w:tc>
          <w:tcPr>
            <w:tcW w:w="16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adjustRightInd/>
              <w:snapToGrid/>
              <w:spacing w:line="240" w:lineRule="auto"/>
              <w:ind w:firstLine="0" w:firstLineChars="0"/>
              <w:jc w:val="center"/>
              <w:rPr>
                <w:rFonts w:eastAsia="宋体"/>
                <w:color w:val="000000"/>
                <w:sz w:val="20"/>
                <w:szCs w:val="20"/>
              </w:rPr>
            </w:pPr>
          </w:p>
        </w:tc>
      </w:tr>
    </w:tbl>
    <w:p>
      <w:pPr>
        <w:adjustRightInd/>
        <w:snapToGrid/>
        <w:spacing w:line="240" w:lineRule="auto"/>
        <w:ind w:firstLine="0" w:firstLineChars="0"/>
        <w:rPr>
          <w:rFonts w:ascii="仿宋" w:hAnsi="仿宋" w:eastAsia="仿宋" w:cs="仿宋"/>
          <w:b/>
          <w:bCs/>
          <w:sz w:val="24"/>
          <w:szCs w:val="32"/>
        </w:rPr>
      </w:pPr>
    </w:p>
    <w:p>
      <w:pPr>
        <w:adjustRightInd/>
        <w:snapToGrid/>
        <w:spacing w:line="240" w:lineRule="auto"/>
        <w:ind w:firstLine="0" w:firstLineChars="0"/>
        <w:rPr>
          <w:rFonts w:ascii="宋体" w:cs="宋体"/>
          <w:color w:val="000000"/>
          <w:szCs w:val="24"/>
        </w:rPr>
      </w:pPr>
      <w:r>
        <w:rPr>
          <w:rFonts w:hint="eastAsia" w:ascii="仿宋" w:hAnsi="仿宋" w:eastAsia="仿宋" w:cs="仿宋"/>
          <w:b/>
          <w:bCs/>
          <w:sz w:val="24"/>
          <w:szCs w:val="32"/>
        </w:rPr>
        <w:t>说明：</w:t>
      </w:r>
      <w:r>
        <w:rPr>
          <w:rFonts w:hint="eastAsia" w:ascii="仿宋" w:hAnsi="仿宋" w:eastAsia="仿宋" w:cs="仿宋"/>
          <w:sz w:val="24"/>
          <w:szCs w:val="32"/>
        </w:rPr>
        <w:t>“/”表示生态环境部和省生态环境厅审批环境影响评价文件的建设项目或不纳入环评管理的建设项目。</w:t>
      </w:r>
    </w:p>
    <w:p>
      <w:pPr>
        <w:ind w:firstLine="560"/>
        <w:rPr>
          <w:rFonts w:ascii="黑体" w:hAnsi="黑体" w:eastAsia="黑体" w:cs="黑体"/>
        </w:rPr>
        <w:sectPr>
          <w:pgSz w:w="16830" w:h="11900" w:orient="landscape"/>
          <w:pgMar w:top="1145" w:right="1430" w:bottom="1467" w:left="1485" w:header="850" w:footer="992" w:gutter="0"/>
          <w:pgNumType w:fmt="numberInDash"/>
          <w:cols w:space="720" w:num="1"/>
          <w:titlePg/>
          <w:docGrid w:linePitch="326" w:charSpace="0"/>
        </w:sectPr>
      </w:pPr>
    </w:p>
    <w:p>
      <w:pPr>
        <w:pStyle w:val="2"/>
        <w:ind w:firstLine="0" w:firstLineChars="0"/>
        <w:rPr>
          <w:rFonts w:ascii="黑体" w:hAnsi="黑体"/>
        </w:rPr>
      </w:pPr>
      <w:bookmarkStart w:id="104" w:name="_Toc23988"/>
      <w:bookmarkStart w:id="105" w:name="_Toc27827"/>
      <w:bookmarkStart w:id="106" w:name="_Toc130124949"/>
      <w:bookmarkStart w:id="107" w:name="_Toc12012"/>
      <w:bookmarkStart w:id="108" w:name="_Toc130125910"/>
      <w:r>
        <w:t>附件2</w:t>
      </w:r>
      <w:r>
        <w:rPr>
          <w:rFonts w:hint="eastAsia" w:ascii="黑体" w:hAnsi="黑体"/>
        </w:rPr>
        <w:t>：</w:t>
      </w:r>
      <w:bookmarkEnd w:id="104"/>
      <w:bookmarkEnd w:id="105"/>
      <w:bookmarkEnd w:id="106"/>
      <w:bookmarkEnd w:id="107"/>
      <w:bookmarkEnd w:id="108"/>
    </w:p>
    <w:p>
      <w:pPr>
        <w:ind w:firstLine="0" w:firstLineChars="0"/>
        <w:jc w:val="center"/>
        <w:rPr>
          <w:rFonts w:ascii="方正小标宋_GBK" w:eastAsia="方正小标宋_GBK"/>
          <w:sz w:val="32"/>
          <w:szCs w:val="22"/>
        </w:rPr>
      </w:pPr>
      <w:r>
        <w:rPr>
          <w:rFonts w:hint="eastAsia" w:ascii="方正小标宋_GBK" w:eastAsia="方正小标宋_GBK"/>
          <w:sz w:val="32"/>
          <w:szCs w:val="22"/>
        </w:rPr>
        <w:t>昆明市生态环境局</w:t>
      </w:r>
    </w:p>
    <w:p>
      <w:pPr>
        <w:ind w:firstLine="0" w:firstLineChars="0"/>
        <w:jc w:val="center"/>
        <w:rPr>
          <w:rFonts w:ascii="方正小标宋_GBK" w:hAnsi="黑体" w:eastAsia="方正小标宋_GBK"/>
          <w:sz w:val="32"/>
          <w:szCs w:val="36"/>
        </w:rPr>
      </w:pPr>
      <w:r>
        <w:rPr>
          <w:rFonts w:hint="eastAsia" w:ascii="方正小标宋_GBK" w:eastAsia="方正小标宋_GBK"/>
          <w:sz w:val="32"/>
          <w:szCs w:val="22"/>
        </w:rPr>
        <w:t>关于印发《强化重大投资项目环保审批服务保障措施》的通知</w:t>
      </w:r>
    </w:p>
    <w:p>
      <w:pPr>
        <w:spacing w:line="240" w:lineRule="auto"/>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rPr>
        <w:object>
          <v:shape id="_x0000_i1025" o:spt="75" type="#_x0000_t75" style="height:510.05pt;width:411.05pt;" o:ole="t" filled="f" o:preferrelative="t" stroked="f" coordsize="21600,21600">
            <v:path/>
            <v:fill on="f" focussize="0,0"/>
            <v:stroke on="f" joinstyle="miter"/>
            <v:imagedata r:id="rId28" croptop="9173f" o:title=""/>
            <o:lock v:ext="edit" aspectratio="t"/>
            <w10:wrap type="none"/>
            <w10:anchorlock/>
          </v:shape>
          <o:OLEObject Type="Embed" ProgID="Acrobat.Document.DC" ShapeID="_x0000_i1025" DrawAspect="Content" ObjectID="_1468075725" r:id="rId27">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6" o:spt="75" type="#_x0000_t75" style="height:594.1pt;width:411.05pt;" o:ole="t" filled="f" o:preferrelative="t" stroked="f" coordsize="21600,21600">
            <v:path/>
            <v:fill on="f" focussize="0,0"/>
            <v:stroke on="f" joinstyle="miter"/>
            <v:imagedata r:id="rId30" o:title=""/>
            <o:lock v:ext="edit" aspectratio="t"/>
            <w10:wrap type="none"/>
            <w10:anchorlock/>
          </v:shape>
          <o:OLEObject Type="Embed" ProgID="Acrobat.Document.DC" ShapeID="_x0000_i1026" DrawAspect="Content" ObjectID="_1468075726" r:id="rId29">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7" o:spt="75" type="#_x0000_t75" style="height:594.1pt;width:408.25pt;" o:ole="t" filled="f" o:preferrelative="t" stroked="f" coordsize="21600,21600">
            <v:path/>
            <v:fill on="f" focussize="0,0"/>
            <v:stroke on="f" joinstyle="miter"/>
            <v:imagedata r:id="rId32" o:title=""/>
            <o:lock v:ext="edit" aspectratio="t"/>
            <w10:wrap type="none"/>
            <w10:anchorlock/>
          </v:shape>
          <o:OLEObject Type="Embed" ProgID="Acrobat.Document.DC" ShapeID="_x0000_i1027" DrawAspect="Content" ObjectID="_1468075727" r:id="rId31">
            <o:LockedField>false</o:LockedField>
          </o:OLEObject>
        </w:object>
      </w:r>
    </w:p>
    <w:p>
      <w:pPr>
        <w:spacing w:line="240" w:lineRule="auto"/>
        <w:ind w:firstLine="0" w:firstLineChars="0"/>
        <w:jc w:val="center"/>
        <w:rPr>
          <w:rFonts w:ascii="方正小标宋_GBK" w:hAnsi="方正小标宋_GBK" w:eastAsia="方正小标宋_GBK" w:cs="方正小标宋_GBK"/>
        </w:rPr>
      </w:pPr>
      <w:r>
        <w:rPr>
          <w:rFonts w:hint="eastAsia" w:ascii="方正小标宋_GBK" w:hAnsi="方正小标宋_GBK" w:eastAsia="方正小标宋_GBK" w:cs="方正小标宋_GBK"/>
        </w:rPr>
        <w:object>
          <v:shape id="_x0000_i1028" o:spt="75" type="#_x0000_t75" style="height:594.1pt;width:408.25pt;" o:ole="t" filled="f" o:preferrelative="t" stroked="f" coordsize="21600,21600">
            <v:path/>
            <v:fill on="f" focussize="0,0"/>
            <v:stroke on="f" joinstyle="miter"/>
            <v:imagedata r:id="rId34" o:title=""/>
            <o:lock v:ext="edit" aspectratio="t"/>
            <w10:wrap type="none"/>
            <w10:anchorlock/>
          </v:shape>
          <o:OLEObject Type="Embed" ProgID="Acrobat.Document.DC" ShapeID="_x0000_i1028" DrawAspect="Content" ObjectID="_1468075728" r:id="rId33">
            <o:LockedField>false</o:LockedField>
          </o:OLEObject>
        </w:object>
      </w:r>
    </w:p>
    <w:p>
      <w:pPr>
        <w:pStyle w:val="2"/>
        <w:ind w:firstLine="0" w:firstLineChars="0"/>
        <w:sectPr>
          <w:footerReference r:id="rId18" w:type="first"/>
          <w:pgSz w:w="11900" w:h="16830"/>
          <w:pgMar w:top="1430" w:right="1467" w:bottom="1485" w:left="1145" w:header="850" w:footer="992" w:gutter="0"/>
          <w:pgNumType w:fmt="numberInDash"/>
          <w:cols w:space="720" w:num="1"/>
          <w:titlePg/>
          <w:docGrid w:linePitch="326" w:charSpace="0"/>
        </w:sectPr>
      </w:pPr>
    </w:p>
    <w:p>
      <w:pPr>
        <w:pStyle w:val="2"/>
        <w:ind w:firstLine="0" w:firstLineChars="0"/>
      </w:pPr>
      <w:bookmarkStart w:id="109" w:name="_Toc22378"/>
      <w:bookmarkStart w:id="110" w:name="_Toc8918"/>
      <w:bookmarkStart w:id="111" w:name="_Toc4999"/>
      <w:bookmarkStart w:id="112" w:name="_Toc130124950"/>
      <w:bookmarkStart w:id="113" w:name="_Toc130125911"/>
      <w:r>
        <w:t>附件</w:t>
      </w:r>
      <w:r>
        <w:rPr>
          <w:rFonts w:hint="eastAsia"/>
        </w:rPr>
        <w:t>3</w:t>
      </w:r>
      <w:r>
        <w:t>：</w:t>
      </w:r>
      <w:bookmarkEnd w:id="109"/>
      <w:bookmarkEnd w:id="110"/>
      <w:bookmarkEnd w:id="111"/>
      <w:bookmarkEnd w:id="112"/>
      <w:bookmarkEnd w:id="113"/>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建设项目环境影响评价文件审批办事流程办事流程示意图</w:t>
      </w:r>
    </w:p>
    <w:p>
      <w:pPr>
        <w:ind w:firstLine="0" w:firstLineChars="0"/>
        <w:jc w:val="center"/>
        <w:rPr>
          <w:rFonts w:ascii="方正小标宋_GBK" w:hAnsi="方正小标宋_GBK" w:eastAsia="方正小标宋_GBK" w:cs="方正小标宋_GBK"/>
          <w:sz w:val="32"/>
          <w:szCs w:val="22"/>
        </w:rPr>
      </w:pPr>
    </w:p>
    <w:p>
      <w:pPr>
        <w:spacing w:line="240" w:lineRule="auto"/>
        <w:ind w:firstLine="0" w:firstLineChars="0"/>
        <w:jc w:val="center"/>
        <w:rPr>
          <w:rFonts w:ascii="黑体" w:hAnsi="黑体" w:eastAsia="黑体" w:cs="黑体"/>
        </w:rPr>
      </w:pPr>
      <w:r>
        <w:rPr>
          <w:rFonts w:ascii="黑体" w:hAnsi="黑体" w:eastAsia="黑体" w:cs="黑体"/>
        </w:rPr>
        <w:drawing>
          <wp:inline distT="0" distB="0" distL="114300" distR="114300">
            <wp:extent cx="5026660" cy="7166610"/>
            <wp:effectExtent l="0" t="0" r="2540" b="1524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35"/>
                    <a:stretch>
                      <a:fillRect/>
                    </a:stretch>
                  </pic:blipFill>
                  <pic:spPr>
                    <a:xfrm>
                      <a:off x="0" y="0"/>
                      <a:ext cx="5026660" cy="7166610"/>
                    </a:xfrm>
                    <a:prstGeom prst="rect">
                      <a:avLst/>
                    </a:prstGeom>
                    <a:noFill/>
                    <a:ln>
                      <a:noFill/>
                    </a:ln>
                  </pic:spPr>
                </pic:pic>
              </a:graphicData>
            </a:graphic>
          </wp:inline>
        </w:drawing>
      </w:r>
    </w:p>
    <w:p>
      <w:pPr>
        <w:ind w:firstLine="0" w:firstLineChars="0"/>
        <w:jc w:val="center"/>
        <w:rPr>
          <w:rFonts w:ascii="黑体" w:hAnsi="黑体" w:eastAsia="黑体"/>
        </w:rPr>
      </w:pPr>
      <w:r>
        <w:rPr>
          <w:rFonts w:hint="eastAsia" w:ascii="黑体" w:hAnsi="黑体" w:eastAsia="黑体"/>
          <w:sz w:val="24"/>
          <w:szCs w:val="20"/>
        </w:rPr>
        <w:t>建设项目环境影响评价文件审批办事流程图</w:t>
      </w:r>
    </w:p>
    <w:p>
      <w:pPr>
        <w:widowControl/>
        <w:ind w:firstLine="198" w:firstLineChars="71"/>
        <w:jc w:val="left"/>
        <w:rPr>
          <w:rFonts w:ascii="黑体" w:hAnsi="黑体" w:eastAsia="黑体" w:cs="黑体"/>
          <w:szCs w:val="28"/>
        </w:rPr>
        <w:sectPr>
          <w:pgSz w:w="11900" w:h="16830"/>
          <w:pgMar w:top="1430" w:right="1467" w:bottom="1485" w:left="1145" w:header="850" w:footer="992" w:gutter="0"/>
          <w:pgNumType w:fmt="numberInDash"/>
          <w:cols w:space="720" w:num="1"/>
          <w:titlePg/>
          <w:docGrid w:linePitch="326" w:charSpace="0"/>
        </w:sectPr>
      </w:pPr>
      <w:bookmarkStart w:id="114" w:name="OLE_LINK3"/>
    </w:p>
    <w:p>
      <w:pPr>
        <w:pStyle w:val="2"/>
        <w:ind w:firstLine="0" w:firstLineChars="0"/>
      </w:pPr>
      <w:bookmarkStart w:id="115" w:name="_Toc2117"/>
      <w:bookmarkStart w:id="116" w:name="_Toc130125912"/>
      <w:bookmarkStart w:id="117" w:name="_Toc24588"/>
      <w:bookmarkStart w:id="118" w:name="_Toc19836"/>
      <w:bookmarkStart w:id="119" w:name="_Toc130124951"/>
      <w:r>
        <w:rPr>
          <w:rFonts w:hint="eastAsia"/>
        </w:rPr>
        <w:t>附件4：</w:t>
      </w:r>
      <w:bookmarkEnd w:id="115"/>
      <w:bookmarkEnd w:id="116"/>
      <w:bookmarkEnd w:id="117"/>
      <w:bookmarkEnd w:id="118"/>
      <w:bookmarkEnd w:id="119"/>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建设项目环境影响评价文件报批申请表</w:t>
      </w:r>
    </w:p>
    <w:tbl>
      <w:tblPr>
        <w:tblStyle w:val="14"/>
        <w:tblW w:w="498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28"/>
        <w:gridCol w:w="1878"/>
        <w:gridCol w:w="2639"/>
        <w:gridCol w:w="794"/>
        <w:gridCol w:w="33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审批方式</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560"/>
              <w:rPr>
                <w:rFonts w:ascii="黑体" w:hAnsi="黑体" w:eastAsia="黑体"/>
              </w:rPr>
            </w:pPr>
            <w:r>
              <w:rPr>
                <w:rFonts w:hint="eastAsia" w:ascii="黑体" w:hAnsi="黑体" w:eastAsia="黑体"/>
              </w:rPr>
              <w:t xml:space="preserve">告知承诺制审批□ </w:t>
            </w:r>
            <w:r>
              <w:rPr>
                <w:rFonts w:ascii="黑体" w:hAnsi="黑体" w:eastAsia="黑体"/>
              </w:rPr>
              <w:t xml:space="preserve">         </w:t>
            </w:r>
            <w:r>
              <w:rPr>
                <w:rFonts w:hint="eastAsia" w:ascii="黑体" w:hAnsi="黑体" w:eastAsia="黑体"/>
              </w:rPr>
              <w:t>正常审批□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项目名称</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项目代码</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项目建设地点</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项目环评行业类别</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规划环评开展情况</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建设单位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restart"/>
            <w:tcBorders>
              <w:top w:val="single" w:color="000000" w:sz="2" w:space="0"/>
              <w:bottom w:val="nil"/>
              <w:right w:val="single" w:color="auto" w:sz="4"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授权经办人员信息</w:t>
            </w:r>
          </w:p>
        </w:tc>
        <w:tc>
          <w:tcPr>
            <w:tcW w:w="1851" w:type="pct"/>
            <w:gridSpan w:val="2"/>
            <w:tcBorders>
              <w:top w:val="single" w:color="auto" w:sz="4" w:space="0"/>
              <w:left w:val="single" w:color="auto" w:sz="4" w:space="0"/>
              <w:bottom w:val="single" w:color="auto" w:sz="4" w:space="0"/>
              <w:right w:val="nil"/>
            </w:tcBorders>
            <w:shd w:val="clear" w:color="auto" w:fill="auto"/>
            <w:vAlign w:val="center"/>
          </w:tcPr>
          <w:p>
            <w:pPr>
              <w:tabs>
                <w:tab w:val="left" w:pos="2880"/>
                <w:tab w:val="left" w:pos="5760"/>
              </w:tabs>
              <w:spacing w:line="240" w:lineRule="auto"/>
              <w:ind w:firstLine="280" w:firstLineChars="100"/>
              <w:rPr>
                <w:rFonts w:ascii="黑体" w:hAnsi="黑体" w:eastAsia="黑体"/>
              </w:rPr>
            </w:pPr>
            <w:r>
              <w:rPr>
                <w:rFonts w:hint="eastAsia" w:ascii="黑体" w:hAnsi="黑体" w:eastAsia="黑体"/>
              </w:rPr>
              <w:t>姓名：</w:t>
            </w:r>
          </w:p>
        </w:tc>
        <w:tc>
          <w:tcPr>
            <w:tcW w:w="1798" w:type="pct"/>
            <w:tcBorders>
              <w:top w:val="single" w:color="auto" w:sz="4" w:space="0"/>
              <w:left w:val="nil"/>
              <w:bottom w:val="single" w:color="auto" w:sz="4" w:space="0"/>
              <w:right w:val="single" w:color="auto" w:sz="4" w:space="0"/>
            </w:tcBorders>
            <w:shd w:val="clear" w:color="auto" w:fill="auto"/>
            <w:vAlign w:val="center"/>
          </w:tcPr>
          <w:p>
            <w:pPr>
              <w:tabs>
                <w:tab w:val="left" w:pos="2880"/>
                <w:tab w:val="left" w:pos="5760"/>
              </w:tabs>
              <w:spacing w:line="240" w:lineRule="auto"/>
              <w:ind w:firstLine="0" w:firstLineChars="0"/>
              <w:rPr>
                <w:rFonts w:ascii="黑体" w:hAnsi="黑体" w:eastAsia="黑体"/>
              </w:rPr>
            </w:pPr>
            <w:r>
              <w:rPr>
                <w:rFonts w:hint="eastAsia" w:ascii="黑体" w:hAnsi="黑体" w:eastAsia="黑体"/>
              </w:rPr>
              <w:t>联系方式：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vMerge w:val="continue"/>
            <w:tcBorders>
              <w:top w:val="single" w:color="auto" w:sz="4"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p>
        </w:tc>
        <w:tc>
          <w:tcPr>
            <w:tcW w:w="3649" w:type="pct"/>
            <w:gridSpan w:val="3"/>
            <w:tcBorders>
              <w:top w:val="single" w:color="auto" w:sz="4" w:space="0"/>
              <w:bottom w:val="single" w:color="000000" w:sz="2" w:space="0"/>
            </w:tcBorders>
            <w:shd w:val="clear" w:color="auto" w:fill="auto"/>
            <w:vAlign w:val="center"/>
          </w:tcPr>
          <w:p>
            <w:pPr>
              <w:spacing w:line="240" w:lineRule="auto"/>
              <w:ind w:firstLine="280" w:firstLineChars="100"/>
              <w:rPr>
                <w:rFonts w:ascii="黑体" w:hAnsi="黑体" w:eastAsia="黑体"/>
              </w:rPr>
            </w:pPr>
            <w:r>
              <w:rPr>
                <w:rFonts w:hint="eastAsia" w:ascii="黑体" w:hAnsi="黑体" w:eastAsia="黑体"/>
              </w:rPr>
              <w:t>身份证号码：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1350"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rFonts w:ascii="黑体" w:hAnsi="黑体" w:eastAsia="黑体"/>
              </w:rPr>
            </w:pPr>
            <w:r>
              <w:rPr>
                <w:rFonts w:hint="eastAsia" w:ascii="黑体" w:hAnsi="黑体" w:eastAsia="黑体"/>
              </w:rPr>
              <w:t>环评报告编制单位</w:t>
            </w:r>
          </w:p>
        </w:tc>
        <w:tc>
          <w:tcPr>
            <w:tcW w:w="3649" w:type="pct"/>
            <w:gridSpan w:val="3"/>
            <w:tcBorders>
              <w:top w:val="single" w:color="000000" w:sz="2" w:space="0"/>
              <w:bottom w:val="single" w:color="000000" w:sz="2" w:space="0"/>
            </w:tcBorders>
            <w:shd w:val="clear" w:color="auto" w:fill="auto"/>
            <w:vAlign w:val="center"/>
          </w:tcPr>
          <w:p>
            <w:pPr>
              <w:spacing w:line="240" w:lineRule="auto"/>
              <w:ind w:firstLine="0" w:firstLineChars="0"/>
              <w:rPr>
                <w:rFonts w:ascii="黑体" w:hAnsi="黑体" w:eastAsia="黑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7" w:hRule="atLeast"/>
          <w:jc w:val="center"/>
        </w:trPr>
        <w:tc>
          <w:tcPr>
            <w:tcW w:w="2773" w:type="pct"/>
            <w:gridSpan w:val="3"/>
            <w:tcBorders>
              <w:top w:val="single" w:color="000000" w:sz="2" w:space="0"/>
              <w:bottom w:val="single" w:color="000000" w:sz="2" w:space="0"/>
            </w:tcBorders>
            <w:shd w:val="clear" w:color="auto" w:fill="auto"/>
            <w:vAlign w:val="center"/>
          </w:tcPr>
          <w:p>
            <w:pPr>
              <w:spacing w:line="500" w:lineRule="exact"/>
              <w:ind w:firstLine="280" w:firstLineChars="100"/>
              <w:rPr>
                <w:rFonts w:ascii="黑体" w:hAnsi="黑体" w:eastAsia="黑体"/>
              </w:rPr>
            </w:pPr>
            <w:r>
              <w:rPr>
                <w:rFonts w:hint="eastAsia" w:ascii="黑体" w:hAnsi="黑体" w:eastAsia="黑体"/>
              </w:rPr>
              <w:t>□统一社会信用代码 □组织机构代码</w:t>
            </w:r>
          </w:p>
          <w:p>
            <w:pPr>
              <w:spacing w:line="500" w:lineRule="exact"/>
              <w:ind w:firstLine="280" w:firstLineChars="100"/>
              <w:rPr>
                <w:rFonts w:ascii="黑体" w:hAnsi="黑体" w:eastAsia="黑体"/>
                <w:u w:val="single"/>
              </w:rPr>
            </w:pPr>
            <w:r>
              <w:rPr>
                <w:rFonts w:hint="eastAsia" w:ascii="黑体" w:hAnsi="黑体" w:eastAsia="黑体"/>
              </w:rPr>
              <w:t xml:space="preserve">□工商注册号 </w:t>
            </w:r>
            <w:r>
              <w:rPr>
                <w:rFonts w:ascii="黑体" w:hAnsi="黑体" w:eastAsia="黑体"/>
              </w:rPr>
              <w:t xml:space="preserve">      </w:t>
            </w:r>
            <w:r>
              <w:rPr>
                <w:rFonts w:hint="eastAsia" w:ascii="黑体" w:hAnsi="黑体" w:eastAsia="黑体"/>
              </w:rPr>
              <w:t xml:space="preserve">□其他（ </w:t>
            </w:r>
            <w:r>
              <w:rPr>
                <w:rFonts w:ascii="黑体" w:hAnsi="黑体" w:eastAsia="黑体"/>
              </w:rPr>
              <w:t xml:space="preserve">    </w:t>
            </w:r>
            <w:r>
              <w:rPr>
                <w:rFonts w:hint="eastAsia" w:ascii="黑体" w:hAnsi="黑体" w:eastAsia="黑体"/>
              </w:rPr>
              <w:t>）</w:t>
            </w:r>
          </w:p>
        </w:tc>
        <w:tc>
          <w:tcPr>
            <w:tcW w:w="2226" w:type="pct"/>
            <w:gridSpan w:val="2"/>
            <w:tcBorders>
              <w:top w:val="single" w:color="000000" w:sz="2" w:space="0"/>
              <w:bottom w:val="single" w:color="000000" w:sz="2" w:space="0"/>
            </w:tcBorders>
            <w:shd w:val="clear" w:color="auto" w:fill="auto"/>
            <w:vAlign w:val="center"/>
          </w:tcPr>
          <w:p>
            <w:pPr>
              <w:spacing w:line="240" w:lineRule="auto"/>
              <w:ind w:firstLine="0" w:firstLineChars="0"/>
              <w:jc w:val="center"/>
              <w:rPr>
                <w:u w:val="singl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43" w:hRule="atLeast"/>
          <w:jc w:val="center"/>
        </w:trPr>
        <w:tc>
          <w:tcPr>
            <w:tcW w:w="338" w:type="pct"/>
            <w:tcBorders>
              <w:top w:val="single" w:color="000000" w:sz="2" w:space="0"/>
              <w:bottom w:val="single" w:color="000000" w:sz="2" w:space="0"/>
              <w:right w:val="single" w:color="auto" w:sz="4" w:space="0"/>
            </w:tcBorders>
            <w:shd w:val="clear" w:color="auto" w:fill="auto"/>
            <w:textDirection w:val="tbLrV"/>
            <w:vAlign w:val="center"/>
          </w:tcPr>
          <w:p>
            <w:pPr>
              <w:spacing w:line="240" w:lineRule="auto"/>
              <w:ind w:left="113" w:right="113" w:firstLine="0" w:firstLineChars="0"/>
              <w:jc w:val="center"/>
              <w:rPr>
                <w:rFonts w:ascii="黑体" w:hAnsi="黑体" w:eastAsia="黑体"/>
              </w:rPr>
            </w:pPr>
            <w:r>
              <w:rPr>
                <w:rFonts w:hint="eastAsia" w:ascii="黑体" w:hAnsi="黑体" w:eastAsia="黑体"/>
              </w:rPr>
              <w:t>建设单位承诺</w:t>
            </w:r>
          </w:p>
        </w:tc>
        <w:tc>
          <w:tcPr>
            <w:tcW w:w="4661" w:type="pct"/>
            <w:gridSpan w:val="4"/>
            <w:tcBorders>
              <w:top w:val="single" w:color="000000" w:sz="2" w:space="0"/>
              <w:left w:val="single" w:color="auto" w:sz="4" w:space="0"/>
              <w:bottom w:val="single" w:color="000000" w:sz="2" w:space="0"/>
            </w:tcBorders>
            <w:shd w:val="clear" w:color="auto" w:fill="auto"/>
            <w:vAlign w:val="center"/>
          </w:tcPr>
          <w:p>
            <w:pPr>
              <w:keepNext/>
              <w:keepLines/>
              <w:pageBreakBefore/>
              <w:widowControl/>
              <w:spacing w:line="300" w:lineRule="auto"/>
              <w:ind w:firstLine="560"/>
            </w:pPr>
            <w:r>
              <w:rPr>
                <w:rFonts w:hint="eastAsia"/>
              </w:rPr>
              <w:t>一、本单位所提交的各项材料合法真实、准确有效，对填报的内容负责，同意生态环境主管部门将本次申请纳入社会信用考核范畴，若存在失信行为，依法接受信用惩戒。</w:t>
            </w:r>
          </w:p>
          <w:p>
            <w:pPr>
              <w:keepNext/>
              <w:keepLines/>
              <w:pageBreakBefore/>
              <w:widowControl/>
              <w:spacing w:line="300" w:lineRule="auto"/>
              <w:ind w:firstLine="560"/>
            </w:pPr>
            <w:r>
              <w:rPr>
                <w:rFonts w:hint="eastAsia"/>
              </w:rPr>
              <w:t>二、本单位已对《XXXX环境影响报告书（表）》进行审查，认可XXXX单位（环评编制单位）得出的环境影响评价结论。</w:t>
            </w:r>
          </w:p>
          <w:p>
            <w:pPr>
              <w:keepNext/>
              <w:keepLines/>
              <w:pageBreakBefore/>
              <w:widowControl/>
              <w:spacing w:line="300" w:lineRule="auto"/>
              <w:ind w:firstLine="560"/>
            </w:pPr>
            <w:r>
              <w:rPr>
                <w:rFonts w:hint="eastAsia"/>
              </w:rPr>
              <w:t>三、本单位将自觉落实环境保护主体责任，严格按照本项目环评文件所列性质、规模、地点、采用的生产工艺以及拟采取的环境保护措施进行项目建设和生产经营。</w:t>
            </w:r>
            <w:r>
              <w:rPr>
                <w:rFonts w:hint="eastAsia"/>
                <w:lang w:val="en"/>
              </w:rPr>
              <w:t>若建设项目的性质、规模、地点、采用的生产工艺或者防治污染、防止生态破坏的措施发生重大变动的，将依法重新办理相关环境影响评价手续。</w:t>
            </w:r>
          </w:p>
          <w:p>
            <w:pPr>
              <w:keepNext/>
              <w:keepLines/>
              <w:pageBreakBefore/>
              <w:widowControl/>
              <w:spacing w:line="300" w:lineRule="auto"/>
              <w:ind w:firstLine="560"/>
            </w:pPr>
            <w:r>
              <w:rPr>
                <w:rFonts w:hint="eastAsia"/>
              </w:rPr>
              <w:t>四、本单位将严格遵守各项法律法规，坚持守法生产经营，本项目不存在“未批先建”等环境违法行为，项目所需的用地、用房均属依法获得，不存在使用违法建筑等其他违法情形，自觉接受政府、行业组织、社会各界的监督，若存在违法行为隐瞒不报的，自觉接受相关部门的查处，由生态环境部门撤销关于本次申请的审批决定。</w:t>
            </w:r>
          </w:p>
          <w:p>
            <w:pPr>
              <w:keepNext/>
              <w:keepLines/>
              <w:pageBreakBefore/>
              <w:widowControl/>
              <w:spacing w:line="300" w:lineRule="auto"/>
              <w:ind w:firstLine="560"/>
            </w:pPr>
            <w:r>
              <w:rPr>
                <w:rFonts w:hint="eastAsia"/>
              </w:rPr>
              <w:t>五、根据环境保护部《建设项目环境影响评价政府信息公开办事指南（试行）》（环办〔2013〕103号）的有关规定，我单位提交的《XXXX环境影响报告书（表）》公开本电子版，不含涉及国家秘密、商业秘密、个人隐私以及涉及国家安全、公共安全、经济安全和社会稳定的内容。</w:t>
            </w:r>
          </w:p>
          <w:p>
            <w:pPr>
              <w:keepNext/>
              <w:keepLines/>
              <w:pageBreakBefore/>
              <w:widowControl/>
              <w:spacing w:line="300" w:lineRule="auto"/>
              <w:ind w:firstLine="560"/>
            </w:pPr>
            <w:r>
              <w:rPr>
                <w:rFonts w:hint="eastAsia"/>
              </w:rPr>
              <w:t>对于环评文件不宜公开的内容及理由说明如下：</w:t>
            </w:r>
          </w:p>
          <w:p>
            <w:pPr>
              <w:spacing w:line="300" w:lineRule="auto"/>
              <w:ind w:firstLine="560"/>
            </w:pPr>
            <w:r>
              <w:rPr>
                <w:rFonts w:hint="eastAsia"/>
              </w:rPr>
              <w:t>1.……</w:t>
            </w:r>
          </w:p>
          <w:p>
            <w:pPr>
              <w:spacing w:line="300" w:lineRule="auto"/>
              <w:ind w:firstLine="560"/>
            </w:pPr>
            <w:r>
              <w:rPr>
                <w:rFonts w:hint="eastAsia"/>
              </w:rPr>
              <w:t>2.……</w:t>
            </w:r>
          </w:p>
          <w:p>
            <w:pPr>
              <w:spacing w:line="300" w:lineRule="auto"/>
              <w:ind w:firstLine="560"/>
            </w:pPr>
            <w:r>
              <w:t>3</w:t>
            </w:r>
            <w:r>
              <w:rPr>
                <w:rFonts w:hint="eastAsia"/>
              </w:rPr>
              <w:t>.……</w:t>
            </w:r>
          </w:p>
          <w:p>
            <w:pPr>
              <w:spacing w:line="300" w:lineRule="auto"/>
              <w:ind w:firstLine="560"/>
            </w:pPr>
          </w:p>
          <w:p>
            <w:pPr>
              <w:spacing w:line="300" w:lineRule="auto"/>
              <w:ind w:firstLine="560"/>
            </w:pPr>
          </w:p>
          <w:p>
            <w:pPr>
              <w:spacing w:line="300" w:lineRule="auto"/>
              <w:ind w:firstLine="560"/>
            </w:pPr>
          </w:p>
          <w:p>
            <w:pPr>
              <w:spacing w:line="300" w:lineRule="auto"/>
              <w:ind w:firstLine="5040" w:firstLineChars="1800"/>
            </w:pPr>
            <w:r>
              <w:rPr>
                <w:rFonts w:hint="eastAsia"/>
              </w:rPr>
              <w:t>建设单位（盖章）：</w:t>
            </w:r>
          </w:p>
          <w:p>
            <w:pPr>
              <w:spacing w:line="300" w:lineRule="auto"/>
              <w:ind w:firstLine="5600" w:firstLineChars="2000"/>
            </w:pPr>
            <w:r>
              <w:rPr>
                <w:rFonts w:hint="eastAsia"/>
              </w:rPr>
              <w:t>申请日期：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2720" w:hRule="atLeast"/>
          <w:jc w:val="center"/>
        </w:trPr>
        <w:tc>
          <w:tcPr>
            <w:tcW w:w="338" w:type="pct"/>
            <w:tcBorders>
              <w:top w:val="single" w:color="000000" w:sz="2" w:space="0"/>
              <w:bottom w:val="single" w:color="000000" w:sz="2" w:space="0"/>
              <w:right w:val="single" w:color="auto" w:sz="4" w:space="0"/>
            </w:tcBorders>
            <w:shd w:val="clear" w:color="auto" w:fill="auto"/>
            <w:textDirection w:val="tbRlV"/>
            <w:vAlign w:val="center"/>
          </w:tcPr>
          <w:p>
            <w:pPr>
              <w:spacing w:line="240" w:lineRule="auto"/>
              <w:ind w:left="113" w:right="113" w:firstLine="0" w:firstLineChars="0"/>
              <w:jc w:val="center"/>
              <w:rPr>
                <w:rFonts w:ascii="黑体" w:hAnsi="黑体" w:eastAsia="黑体"/>
              </w:rPr>
            </w:pPr>
            <w:r>
              <w:rPr>
                <w:rFonts w:hint="eastAsia" w:ascii="黑体" w:hAnsi="黑体" w:eastAsia="黑体"/>
                <w:szCs w:val="28"/>
              </w:rPr>
              <w:t>相关文书送达方式</w:t>
            </w:r>
          </w:p>
        </w:tc>
        <w:tc>
          <w:tcPr>
            <w:tcW w:w="4661" w:type="pct"/>
            <w:gridSpan w:val="4"/>
            <w:tcBorders>
              <w:top w:val="single" w:color="000000" w:sz="2" w:space="0"/>
              <w:left w:val="single" w:color="auto" w:sz="4" w:space="0"/>
              <w:bottom w:val="single" w:color="000000" w:sz="2" w:space="0"/>
            </w:tcBorders>
            <w:shd w:val="clear" w:color="auto" w:fill="auto"/>
          </w:tcPr>
          <w:p>
            <w:pPr>
              <w:widowControl/>
              <w:ind w:firstLine="560"/>
              <w:rPr>
                <w:rFonts w:ascii="宋体" w:hAnsi="宋体" w:cs="宋体"/>
                <w:kern w:val="0"/>
                <w:szCs w:val="24"/>
              </w:rPr>
            </w:pPr>
            <w:r>
              <w:rPr>
                <w:rFonts w:hint="eastAsia" w:ascii="宋体" w:hAnsi="宋体" w:cs="宋体"/>
                <w:kern w:val="0"/>
                <w:szCs w:val="24"/>
              </w:rPr>
              <w:t>□邮件送达，电子邮箱为：</w:t>
            </w:r>
          </w:p>
          <w:p>
            <w:pPr>
              <w:widowControl/>
              <w:ind w:firstLine="560"/>
              <w:rPr>
                <w:rFonts w:ascii="宋体" w:hAnsi="宋体" w:cs="宋体"/>
                <w:kern w:val="0"/>
                <w:szCs w:val="24"/>
              </w:rPr>
            </w:pPr>
            <w:r>
              <w:rPr>
                <w:rFonts w:hint="eastAsia" w:ascii="宋体" w:hAnsi="宋体" w:cs="宋体"/>
                <w:kern w:val="0"/>
                <w:szCs w:val="24"/>
              </w:rPr>
              <w:t>□快递送达，邮寄地址为：</w:t>
            </w:r>
          </w:p>
          <w:p>
            <w:pPr>
              <w:widowControl/>
              <w:ind w:firstLine="560"/>
              <w:rPr>
                <w:rFonts w:ascii="宋体" w:hAnsi="宋体" w:cs="宋体"/>
                <w:kern w:val="0"/>
                <w:szCs w:val="24"/>
              </w:rPr>
            </w:pPr>
            <w:r>
              <w:rPr>
                <w:rFonts w:hint="eastAsia" w:ascii="宋体" w:hAnsi="宋体" w:cs="宋体"/>
                <w:kern w:val="0"/>
                <w:szCs w:val="24"/>
              </w:rPr>
              <w:t>□申请人窗口自取</w:t>
            </w:r>
          </w:p>
          <w:p>
            <w:pPr>
              <w:widowControl/>
              <w:ind w:firstLine="0" w:firstLineChars="0"/>
              <w:rPr>
                <w:rFonts w:ascii="宋体" w:hAnsi="宋体" w:cs="宋体"/>
                <w:kern w:val="0"/>
                <w:szCs w:val="24"/>
              </w:rPr>
            </w:pPr>
          </w:p>
          <w:p>
            <w:pPr>
              <w:ind w:firstLine="280" w:firstLineChars="100"/>
              <w:rPr>
                <w:rFonts w:ascii="宋体" w:hAnsi="宋体" w:cs="宋体"/>
                <w:kern w:val="0"/>
                <w:szCs w:val="24"/>
              </w:rPr>
            </w:pPr>
            <w:r>
              <w:rPr>
                <w:rFonts w:hint="eastAsia" w:ascii="宋体" w:hAnsi="宋体" w:cs="宋体"/>
                <w:kern w:val="0"/>
                <w:szCs w:val="24"/>
              </w:rPr>
              <w:t>注：以上三种方式均可(打√),请申请人在提交申请表时一并明确。</w:t>
            </w:r>
          </w:p>
        </w:tc>
      </w:tr>
    </w:tbl>
    <w:p>
      <w:pPr>
        <w:ind w:left="440" w:hanging="440" w:hangingChars="200"/>
        <w:rPr>
          <w:sz w:val="22"/>
          <w:szCs w:val="20"/>
        </w:rPr>
      </w:pPr>
      <w:r>
        <w:rPr>
          <w:rFonts w:hint="eastAsia"/>
          <w:sz w:val="22"/>
          <w:szCs w:val="20"/>
        </w:rPr>
        <w:t>注：建设单位和技术单位除在表格规定的地方盖个章外，还需对整份申请加盖骑缝章。本表一式三份，生态环境部门、建设单位、技术单位各存一份。填写说明可不打印。</w:t>
      </w:r>
    </w:p>
    <w:p>
      <w:pPr>
        <w:widowControl/>
        <w:ind w:firstLine="0" w:firstLineChars="0"/>
        <w:rPr>
          <w:rFonts w:ascii="宋体" w:hAnsi="宋体" w:cs="宋体"/>
          <w:kern w:val="0"/>
          <w:szCs w:val="24"/>
        </w:rPr>
        <w:sectPr>
          <w:footerReference r:id="rId20" w:type="first"/>
          <w:footerReference r:id="rId19" w:type="even"/>
          <w:pgSz w:w="11900" w:h="16830"/>
          <w:pgMar w:top="1430" w:right="1467" w:bottom="1485" w:left="1145" w:header="850" w:footer="992" w:gutter="0"/>
          <w:pgNumType w:fmt="numberInDash"/>
          <w:cols w:space="720" w:num="1"/>
          <w:titlePg/>
          <w:docGrid w:linePitch="326" w:charSpace="0"/>
        </w:sectPr>
      </w:pPr>
    </w:p>
    <w:p>
      <w:pPr>
        <w:ind w:firstLine="0" w:firstLineChars="0"/>
        <w:rPr>
          <w:rFonts w:ascii="黑体" w:hAnsi="黑体" w:eastAsia="黑体"/>
        </w:rPr>
      </w:pPr>
      <w:r>
        <w:rPr>
          <w:rFonts w:hint="eastAsia" w:ascii="黑体" w:hAnsi="黑体" w:eastAsia="黑体"/>
        </w:rPr>
        <w:t>填写说明：</w:t>
      </w:r>
    </w:p>
    <w:p>
      <w:pPr>
        <w:ind w:firstLine="560"/>
      </w:pPr>
      <w:r>
        <w:rPr>
          <w:rFonts w:hint="eastAsia"/>
        </w:rPr>
        <w:t>1.审批方式：建设单位根据项目类型进行选择。纳入《云南省生态环境系统应对疫情影响支持服务全省经济社会发展的若干措施》中“环评告知承诺制审批改革试点范围”的44类建设项目及昆明市地方政府专项债券储备项目环评文件实施告知承诺制审批。</w:t>
      </w:r>
    </w:p>
    <w:p>
      <w:pPr>
        <w:ind w:firstLine="560"/>
      </w:pPr>
      <w:r>
        <w:rPr>
          <w:rFonts w:hint="eastAsia"/>
        </w:rPr>
        <w:t>2.项目名称：应按照经济部门核定（核准或备案）的名称进行填写，完整、准确，不得随意更换。</w:t>
      </w:r>
    </w:p>
    <w:p>
      <w:pPr>
        <w:ind w:firstLine="560"/>
      </w:pPr>
      <w:r>
        <w:rPr>
          <w:rFonts w:hint="eastAsia"/>
        </w:rPr>
        <w:t>3.项目代码：同级经济部门审批核发的唯一项目代码。通过发改部门建设投资在线平台获取，一般为一组20位的数字代码，如：2018-3502XX-XX-XX-XXXXXX。</w:t>
      </w:r>
    </w:p>
    <w:p>
      <w:pPr>
        <w:ind w:firstLine="560"/>
      </w:pPr>
      <w:r>
        <w:rPr>
          <w:rFonts w:hint="eastAsia"/>
        </w:rPr>
        <w:t>4.建设地点：拟建项目的实际地点，工业项目具体到门牌号(或地块名称),线性工程应准确填写项目起止</w:t>
      </w:r>
    </w:p>
    <w:p>
      <w:pPr>
        <w:ind w:firstLine="560"/>
      </w:pPr>
      <w:r>
        <w:rPr>
          <w:rFonts w:hint="eastAsia"/>
        </w:rPr>
        <w:t>5.环境影响评价行业类别：指本项目参照《建设项目环境影响评价分类管理名录》规定所对应类别，例如“69、通用设备制造及维修-其他（仅组装的除外）”。</w:t>
      </w:r>
    </w:p>
    <w:p>
      <w:pPr>
        <w:ind w:firstLine="560"/>
      </w:pPr>
      <w:r>
        <w:rPr>
          <w:rFonts w:hint="eastAsia"/>
        </w:rPr>
        <w:t>6.规划环评开展情况：应填写项目所属区域的产业园区及相关规划的规划环评开展情况。</w:t>
      </w:r>
    </w:p>
    <w:p>
      <w:pPr>
        <w:ind w:firstLine="560"/>
      </w:pPr>
      <w:r>
        <w:rPr>
          <w:rFonts w:hint="eastAsia"/>
        </w:rPr>
        <w:t>7.建设单位：完整、准确填写建设单位名称，应与单位设立登记机关登记的一致。</w:t>
      </w:r>
    </w:p>
    <w:p>
      <w:pPr>
        <w:ind w:firstLine="560"/>
      </w:pPr>
      <w:r>
        <w:rPr>
          <w:rFonts w:hint="eastAsia"/>
        </w:rPr>
        <w:t>8.统一社会信用代码（组织机构代码）：完整、准确填写建设单位统一社会信用代码，应与单位设立登记机关登记的一致。其他的注明机构类型。</w:t>
      </w:r>
    </w:p>
    <w:p>
      <w:pPr>
        <w:ind w:firstLine="560"/>
      </w:pPr>
      <w:r>
        <w:rPr>
          <w:rFonts w:hint="eastAsia"/>
        </w:rPr>
        <w:t>9.授权经办人员信息：原则上应当为本单位已经建立稳定劳动合同关系的职工，并明确获得关于办理环评手续的业务授权，其行为（决定）视为建设单位的具体行为（决定）。</w:t>
      </w:r>
    </w:p>
    <w:p>
      <w:pPr>
        <w:ind w:firstLine="560"/>
      </w:pPr>
      <w:r>
        <w:rPr>
          <w:rFonts w:hint="eastAsia"/>
        </w:rPr>
        <w:t>10.环评报告编制单位：指承担本项目环境影响评价工作的技术单位，应当完整、准确填写单位名称，若是建设单位自行组织编制的，填写本单位信息。</w:t>
      </w:r>
    </w:p>
    <w:p>
      <w:pPr>
        <w:ind w:firstLine="560"/>
      </w:pPr>
      <w:r>
        <w:rPr>
          <w:rFonts w:hint="eastAsia"/>
        </w:rPr>
        <w:t>11.统一社会信用代码（组织机构代码）：完整、准确填写环境影响评价机构的统一社会信用代码，应与单位设立登记机关登记的一致，其他的注明机构类型。</w:t>
      </w:r>
    </w:p>
    <w:p>
      <w:pPr>
        <w:ind w:firstLine="560"/>
      </w:pPr>
      <w:r>
        <w:rPr>
          <w:rFonts w:hint="eastAsia"/>
        </w:rPr>
        <w:t>12.建设单位承诺：为格式文本，原则上不允许修改，建设单位若有进行修改的应当在报批时进行说明。有其他承诺事项或内容的，可以进一步补充。</w:t>
      </w:r>
    </w:p>
    <w:p>
      <w:pPr>
        <w:ind w:firstLine="560"/>
      </w:pPr>
      <w:r>
        <w:rPr>
          <w:rFonts w:hint="eastAsia"/>
        </w:rPr>
        <w:t>13.相关文书送达方式：为进一步提高环评审批工作效率，生态环境部门为申请人提供多种申请途径供申请人选择，申请人可以针对审批过程中产生的文书选择一种便利的送达方式。现行的环评文件批复已经全部使用电子批文，因此鼓励申请人选择电子邮件送达等方式。</w:t>
      </w:r>
    </w:p>
    <w:bookmarkEnd w:id="114"/>
    <w:p>
      <w:pPr>
        <w:ind w:firstLine="0" w:firstLineChars="0"/>
        <w:rPr>
          <w:rFonts w:ascii="黑体" w:hAnsi="黑体" w:eastAsia="黑体" w:cs="黑体"/>
          <w:szCs w:val="28"/>
        </w:rPr>
        <w:sectPr>
          <w:pgSz w:w="11906" w:h="16838"/>
          <w:pgMar w:top="1418" w:right="1134" w:bottom="1134" w:left="1418" w:header="851" w:footer="992" w:gutter="0"/>
          <w:pgNumType w:fmt="numberInDash"/>
          <w:cols w:space="425" w:num="1"/>
          <w:docGrid w:type="linesAndChars" w:linePitch="326" w:charSpace="0"/>
        </w:sectPr>
      </w:pPr>
    </w:p>
    <w:p>
      <w:pPr>
        <w:pStyle w:val="2"/>
        <w:ind w:firstLine="0" w:firstLineChars="0"/>
      </w:pPr>
      <w:bookmarkStart w:id="120" w:name="_Toc130125913"/>
      <w:bookmarkStart w:id="121" w:name="_Toc2445"/>
      <w:bookmarkStart w:id="122" w:name="_Toc130124952"/>
      <w:bookmarkStart w:id="123" w:name="_Toc10903"/>
      <w:bookmarkStart w:id="124" w:name="_Toc6856"/>
      <w:r>
        <w:rPr>
          <w:rFonts w:hint="eastAsia"/>
        </w:rPr>
        <w:t>附件5：</w:t>
      </w:r>
      <w:bookmarkEnd w:id="120"/>
      <w:bookmarkEnd w:id="121"/>
      <w:bookmarkEnd w:id="122"/>
      <w:bookmarkEnd w:id="123"/>
      <w:bookmarkEnd w:id="124"/>
    </w:p>
    <w:p>
      <w:pPr>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w:t>
      </w:r>
      <w:r>
        <w:rPr>
          <w:rFonts w:hint="eastAsia" w:ascii="方正小标宋_GBK" w:hAnsi="方正小标宋_GBK" w:eastAsia="方正小标宋_GBK" w:cs="方正小标宋_GBK"/>
          <w:bCs/>
          <w:sz w:val="32"/>
          <w:szCs w:val="32"/>
          <w:lang w:eastAsia="zh-CN"/>
        </w:rPr>
        <w:t>安宁分局</w:t>
      </w:r>
      <w:r>
        <w:rPr>
          <w:rFonts w:hint="eastAsia" w:ascii="方正小标宋_GBK" w:hAnsi="方正小标宋_GBK" w:eastAsia="方正小标宋_GBK" w:cs="方正小标宋_GBK"/>
          <w:bCs/>
          <w:sz w:val="32"/>
          <w:szCs w:val="32"/>
        </w:rPr>
        <w:t>行政许可受理通知单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项目名称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审批方式</w:t>
            </w:r>
          </w:p>
        </w:tc>
        <w:tc>
          <w:tcPr>
            <w:tcW w:w="2227" w:type="pct"/>
            <w:gridSpan w:val="2"/>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审批告知承诺</w:t>
            </w:r>
            <w:r>
              <w:rPr>
                <w:rFonts w:hint="eastAsia" w:ascii="宋体" w:hAnsi="宋体"/>
                <w:color w:val="000000"/>
                <w:kern w:val="0"/>
              </w:rPr>
              <w:t>□</w:t>
            </w:r>
          </w:p>
        </w:tc>
        <w:tc>
          <w:tcPr>
            <w:tcW w:w="1696" w:type="pct"/>
            <w:vAlign w:val="center"/>
          </w:tcPr>
          <w:p>
            <w:pPr>
              <w:widowControl/>
              <w:spacing w:line="300" w:lineRule="exact"/>
              <w:ind w:firstLine="560"/>
              <w:jc w:val="center"/>
              <w:rPr>
                <w:rFonts w:ascii="宋体"/>
                <w:color w:val="000000"/>
                <w:kern w:val="0"/>
              </w:rPr>
            </w:pPr>
            <w:r>
              <w:rPr>
                <w:rFonts w:hint="eastAsia" w:ascii="宋体"/>
                <w:color w:val="000000"/>
                <w:kern w:val="0"/>
              </w:rPr>
              <w:t>正常审批</w:t>
            </w:r>
            <w:r>
              <w:rPr>
                <w:rFonts w:hint="eastAsia" w:ascii="宋体" w:hAnsi="宋体"/>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3"/>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85"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受理意见</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75"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color w:val="000000"/>
                <w:kern w:val="0"/>
              </w:rPr>
              <w:t>承诺办理时限</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受理经办人及</w:t>
            </w:r>
          </w:p>
          <w:p>
            <w:pPr>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spacing w:line="240" w:lineRule="auto"/>
              <w:ind w:firstLine="0" w:firstLineChars="0"/>
              <w:jc w:val="center"/>
              <w:rPr>
                <w:rFonts w:ascii="宋体"/>
              </w:rPr>
            </w:pPr>
          </w:p>
        </w:tc>
        <w:tc>
          <w:tcPr>
            <w:tcW w:w="877" w:type="pct"/>
            <w:vAlign w:val="center"/>
          </w:tcPr>
          <w:p>
            <w:pPr>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注：本受理通知单一式二份，受理机关、建设单位各留存一份。</w:t>
      </w:r>
    </w:p>
    <w:p>
      <w:pPr>
        <w:ind w:firstLine="560"/>
        <w:rPr>
          <w:rFonts w:ascii="宋体" w:cs="宋体"/>
        </w:rPr>
      </w:pPr>
    </w:p>
    <w:p>
      <w:pPr>
        <w:ind w:firstLine="560"/>
        <w:rPr>
          <w:rFonts w:ascii="宋体" w:cs="宋体"/>
        </w:rPr>
      </w:pPr>
    </w:p>
    <w:p>
      <w:pPr>
        <w:ind w:firstLine="7000" w:firstLineChars="2500"/>
        <w:rPr>
          <w:rFonts w:ascii="宋体"/>
        </w:rPr>
      </w:pPr>
      <w:r>
        <w:rPr>
          <w:rFonts w:hint="eastAsia" w:ascii="宋体" w:hAnsi="宋体" w:cs="宋体"/>
        </w:rPr>
        <w:t>（单位公章）</w:t>
      </w:r>
    </w:p>
    <w:p>
      <w:pPr>
        <w:ind w:firstLine="6720" w:firstLineChars="2400"/>
        <w:rPr>
          <w:rFonts w:ascii="黑体" w:hAnsi="黑体" w:eastAsia="黑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ind w:firstLine="560"/>
        <w:jc w:val="left"/>
        <w:rPr>
          <w:rFonts w:ascii="黑体" w:hAnsi="黑体" w:eastAsia="黑体" w:cs="黑体"/>
          <w:szCs w:val="28"/>
        </w:rPr>
        <w:sectPr>
          <w:footerReference r:id="rId21" w:type="default"/>
          <w:pgSz w:w="11906" w:h="16838"/>
          <w:pgMar w:top="1418" w:right="1134" w:bottom="1134" w:left="1418" w:header="851" w:footer="992" w:gutter="0"/>
          <w:pgNumType w:fmt="numberInDash"/>
          <w:cols w:space="425" w:num="1"/>
          <w:docGrid w:type="linesAndChars" w:linePitch="312" w:charSpace="0"/>
        </w:sectPr>
      </w:pPr>
    </w:p>
    <w:p>
      <w:pPr>
        <w:pStyle w:val="2"/>
        <w:ind w:firstLine="0" w:firstLineChars="0"/>
      </w:pPr>
      <w:bookmarkStart w:id="125" w:name="_Toc14448"/>
      <w:bookmarkStart w:id="126" w:name="_Toc7132"/>
      <w:bookmarkStart w:id="127" w:name="_Toc30658"/>
      <w:bookmarkStart w:id="128" w:name="_Toc130125914"/>
      <w:bookmarkStart w:id="129" w:name="_Toc130124953"/>
      <w:r>
        <w:rPr>
          <w:rFonts w:hint="eastAsia"/>
        </w:rPr>
        <w:t>附件6：</w:t>
      </w:r>
      <w:bookmarkEnd w:id="125"/>
      <w:bookmarkEnd w:id="126"/>
      <w:bookmarkEnd w:id="127"/>
      <w:bookmarkEnd w:id="128"/>
      <w:bookmarkEnd w:id="129"/>
    </w:p>
    <w:p>
      <w:pPr>
        <w:spacing w:line="400" w:lineRule="exact"/>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w:t>
      </w:r>
      <w:r>
        <w:rPr>
          <w:rFonts w:hint="eastAsia" w:ascii="方正小标宋_GBK" w:hAnsi="方正小标宋_GBK" w:eastAsia="方正小标宋_GBK" w:cs="方正小标宋_GBK"/>
          <w:bCs/>
          <w:sz w:val="32"/>
          <w:szCs w:val="32"/>
          <w:lang w:eastAsia="zh-CN"/>
        </w:rPr>
        <w:t>安宁分局</w:t>
      </w:r>
      <w:r>
        <w:rPr>
          <w:rFonts w:hint="eastAsia" w:ascii="方正小标宋_GBK" w:hAnsi="方正小标宋_GBK" w:eastAsia="方正小标宋_GBK" w:cs="方正小标宋_GBK"/>
          <w:bCs/>
          <w:sz w:val="32"/>
          <w:szCs w:val="32"/>
        </w:rPr>
        <w:t>行政许可不予受理通知单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2584"/>
        <w:gridCol w:w="1679"/>
        <w:gridCol w:w="32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项目名称</w:t>
            </w:r>
          </w:p>
        </w:tc>
        <w:tc>
          <w:tcPr>
            <w:tcW w:w="3923" w:type="pct"/>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审批方式</w:t>
            </w:r>
          </w:p>
        </w:tc>
        <w:tc>
          <w:tcPr>
            <w:tcW w:w="2227" w:type="pct"/>
            <w:gridSpan w:val="2"/>
            <w:vAlign w:val="center"/>
          </w:tcPr>
          <w:p>
            <w:pPr>
              <w:widowControl/>
              <w:spacing w:line="240" w:lineRule="auto"/>
              <w:ind w:firstLine="0" w:firstLineChars="0"/>
              <w:jc w:val="center"/>
              <w:rPr>
                <w:rFonts w:ascii="宋体" w:hAnsi="宋体" w:cs="宋体"/>
                <w:color w:val="000000"/>
                <w:kern w:val="0"/>
              </w:rPr>
            </w:pPr>
            <w:r>
              <w:rPr>
                <w:rFonts w:hint="eastAsia" w:ascii="宋体" w:hAnsi="宋体" w:cs="宋体"/>
                <w:color w:val="000000"/>
                <w:kern w:val="0"/>
              </w:rPr>
              <w:t>审批告知承诺</w:t>
            </w:r>
            <w:r>
              <w:rPr>
                <w:rFonts w:hint="eastAsia" w:ascii="宋体" w:hAnsi="宋体"/>
                <w:color w:val="000000"/>
                <w:kern w:val="0"/>
              </w:rPr>
              <w:t>□</w:t>
            </w:r>
          </w:p>
        </w:tc>
        <w:tc>
          <w:tcPr>
            <w:tcW w:w="1696" w:type="pct"/>
            <w:vAlign w:val="center"/>
          </w:tcPr>
          <w:p>
            <w:pPr>
              <w:widowControl/>
              <w:spacing w:line="300" w:lineRule="exact"/>
              <w:ind w:firstLine="560"/>
              <w:jc w:val="center"/>
              <w:rPr>
                <w:rFonts w:ascii="宋体"/>
                <w:color w:val="000000"/>
                <w:kern w:val="0"/>
              </w:rPr>
            </w:pPr>
            <w:r>
              <w:rPr>
                <w:rFonts w:hint="eastAsia" w:ascii="宋体"/>
                <w:color w:val="000000"/>
                <w:kern w:val="0"/>
              </w:rPr>
              <w:t>正常审批</w:t>
            </w:r>
            <w:r>
              <w:rPr>
                <w:rFonts w:hint="eastAsia" w:ascii="宋体" w:hAnsi="宋体"/>
                <w:color w:val="000000"/>
                <w:kern w:val="0"/>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3"/>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350" w:type="pct"/>
            <w:vAlign w:val="center"/>
          </w:tcPr>
          <w:p>
            <w:pPr>
              <w:widowControl/>
              <w:spacing w:line="240" w:lineRule="auto"/>
              <w:ind w:firstLine="0" w:firstLineChars="0"/>
              <w:jc w:val="center"/>
              <w:rPr>
                <w:rFonts w:ascii="宋体"/>
                <w:color w:val="000000"/>
                <w:kern w:val="0"/>
              </w:rPr>
            </w:pPr>
          </w:p>
        </w:tc>
        <w:tc>
          <w:tcPr>
            <w:tcW w:w="8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6"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22" w:hRule="atLeast"/>
          <w:jc w:val="center"/>
        </w:trPr>
        <w:tc>
          <w:tcPr>
            <w:tcW w:w="1077" w:type="pct"/>
            <w:vAlign w:val="center"/>
          </w:tcPr>
          <w:p>
            <w:pPr>
              <w:spacing w:line="240" w:lineRule="auto"/>
              <w:ind w:firstLine="0" w:firstLineChars="0"/>
              <w:jc w:val="center"/>
              <w:rPr>
                <w:rFonts w:ascii="宋体" w:hAnsi="宋体" w:cs="宋体"/>
              </w:rPr>
            </w:pPr>
            <w:r>
              <w:rPr>
                <w:rFonts w:hint="eastAsia" w:ascii="宋体" w:hAnsi="宋体" w:cs="宋体"/>
              </w:rPr>
              <w:t>不予受理意见</w:t>
            </w:r>
          </w:p>
          <w:p>
            <w:pPr>
              <w:spacing w:line="240" w:lineRule="auto"/>
              <w:ind w:firstLine="0" w:firstLineChars="0"/>
              <w:jc w:val="center"/>
              <w:rPr>
                <w:rFonts w:ascii="宋体" w:hAnsi="宋体" w:cs="宋体"/>
              </w:rPr>
            </w:pPr>
            <w:r>
              <w:rPr>
                <w:rFonts w:hint="eastAsia" w:ascii="宋体" w:hAnsi="宋体" w:cs="宋体"/>
              </w:rPr>
              <w:t>及原因</w:t>
            </w:r>
          </w:p>
        </w:tc>
        <w:tc>
          <w:tcPr>
            <w:tcW w:w="3923" w:type="pct"/>
            <w:gridSpan w:val="3"/>
            <w:vAlign w:val="center"/>
          </w:tcPr>
          <w:p>
            <w:pPr>
              <w:spacing w:line="240" w:lineRule="auto"/>
              <w:ind w:firstLine="560"/>
            </w:pPr>
            <w:r>
              <w:rPr>
                <w:rFonts w:hint="eastAsia"/>
              </w:rPr>
              <w:t>经审查，你单位向我局提出的（行政许可事项名称）申请及提交的申请材料，经审查，存在《中华人民共和国行政许可法》（及其他有关法律、法规、规章）规定的下列不予受理的情形：</w:t>
            </w:r>
          </w:p>
          <w:p>
            <w:pPr>
              <w:spacing w:line="240" w:lineRule="auto"/>
              <w:ind w:firstLine="560"/>
            </w:pPr>
            <w:r>
              <w:rPr>
                <w:rFonts w:hint="eastAsia"/>
              </w:rPr>
              <w:t xml:space="preserve">根据《中华人民共和国行政许可法》第三十二条第一款第（二）项的规定，我局决定不予受理。 </w:t>
            </w:r>
          </w:p>
          <w:p>
            <w:pPr>
              <w:spacing w:line="240" w:lineRule="auto"/>
              <w:ind w:firstLine="560"/>
            </w:pPr>
            <w:r>
              <w:rPr>
                <w:rFonts w:hint="eastAsia"/>
              </w:rPr>
              <w:t>如你（单位）不服本通知的决定，可以在接到本通知之日起六十日内向</w:t>
            </w:r>
            <w:r>
              <w:rPr>
                <w:rFonts w:hint="eastAsia"/>
                <w:lang w:eastAsia="zh-CN"/>
              </w:rPr>
              <w:t>安宁市</w:t>
            </w:r>
            <w:r>
              <w:rPr>
                <w:rFonts w:hint="eastAsia"/>
              </w:rPr>
              <w:t>市人民政府提起行政复议，也可以在六个月内向</w:t>
            </w:r>
            <w:r>
              <w:rPr>
                <w:rFonts w:hint="eastAsia"/>
                <w:lang w:eastAsia="zh-CN"/>
              </w:rPr>
              <w:t>安宁市</w:t>
            </w:r>
            <w:r>
              <w:rPr>
                <w:rFonts w:hint="eastAsia"/>
              </w:rPr>
              <w:t>人民法院提起行政诉讼。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0"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color w:val="000000"/>
                <w:kern w:val="0"/>
              </w:rPr>
              <w:t>承诺办理时限</w:t>
            </w:r>
          </w:p>
        </w:tc>
        <w:tc>
          <w:tcPr>
            <w:tcW w:w="3923" w:type="pct"/>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82"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受理经办人及</w:t>
            </w:r>
          </w:p>
          <w:p>
            <w:pPr>
              <w:spacing w:line="240" w:lineRule="auto"/>
              <w:ind w:firstLine="0" w:firstLineChars="0"/>
              <w:jc w:val="center"/>
              <w:rPr>
                <w:rFonts w:ascii="宋体"/>
              </w:rPr>
            </w:pPr>
            <w:r>
              <w:rPr>
                <w:rFonts w:hint="eastAsia" w:ascii="宋体" w:hAnsi="宋体" w:cs="宋体"/>
              </w:rPr>
              <w:t>执法证号</w:t>
            </w:r>
          </w:p>
        </w:tc>
        <w:tc>
          <w:tcPr>
            <w:tcW w:w="1350" w:type="pct"/>
            <w:vAlign w:val="center"/>
          </w:tcPr>
          <w:p>
            <w:pPr>
              <w:spacing w:line="240" w:lineRule="auto"/>
              <w:ind w:firstLine="0" w:firstLineChars="0"/>
              <w:jc w:val="center"/>
              <w:rPr>
                <w:rFonts w:ascii="宋体"/>
              </w:rPr>
            </w:pPr>
          </w:p>
        </w:tc>
        <w:tc>
          <w:tcPr>
            <w:tcW w:w="877" w:type="pct"/>
            <w:vAlign w:val="center"/>
          </w:tcPr>
          <w:p>
            <w:pPr>
              <w:spacing w:line="240" w:lineRule="auto"/>
              <w:ind w:firstLine="0" w:firstLineChars="0"/>
              <w:jc w:val="center"/>
              <w:rPr>
                <w:rFonts w:ascii="宋体"/>
              </w:rPr>
            </w:pPr>
            <w:r>
              <w:rPr>
                <w:rFonts w:hint="eastAsia" w:ascii="宋体" w:hAnsi="宋体" w:cs="宋体"/>
              </w:rPr>
              <w:t>联系电话</w:t>
            </w:r>
          </w:p>
        </w:tc>
        <w:tc>
          <w:tcPr>
            <w:tcW w:w="1696"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注：本不予受理通知单一式二份，审批机关、建设单位各留存一份。</w:t>
      </w:r>
    </w:p>
    <w:p>
      <w:pPr>
        <w:ind w:firstLine="7000" w:firstLineChars="2500"/>
        <w:rPr>
          <w:rFonts w:ascii="宋体" w:hAnsi="宋体" w:cs="宋体"/>
        </w:rPr>
      </w:pPr>
    </w:p>
    <w:p>
      <w:pPr>
        <w:ind w:firstLine="7000" w:firstLineChars="2500"/>
        <w:rPr>
          <w:rFonts w:ascii="宋体"/>
        </w:rPr>
      </w:pPr>
      <w:r>
        <w:rPr>
          <w:rFonts w:hint="eastAsia" w:ascii="宋体" w:hAnsi="宋体" w:cs="宋体"/>
        </w:rPr>
        <w:t>（单位公章）</w:t>
      </w:r>
    </w:p>
    <w:p>
      <w:pPr>
        <w:ind w:firstLine="6720" w:firstLineChars="2400"/>
        <w:rPr>
          <w:rFonts w:ascii="宋体" w:hAnsi="宋体" w:cs="宋体"/>
        </w:rPr>
        <w:sectPr>
          <w:pgSz w:w="11906" w:h="16838"/>
          <w:pgMar w:top="1418" w:right="1134" w:bottom="1134" w:left="1418" w:header="851" w:footer="992" w:gutter="0"/>
          <w:pgNumType w:fmt="numberInDash"/>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pStyle w:val="2"/>
        <w:ind w:firstLine="0" w:firstLineChars="0"/>
      </w:pPr>
      <w:bookmarkStart w:id="130" w:name="_Toc130124954"/>
      <w:bookmarkStart w:id="131" w:name="_Toc668"/>
      <w:bookmarkStart w:id="132" w:name="_Toc3367"/>
      <w:bookmarkStart w:id="133" w:name="_Toc14131"/>
      <w:bookmarkStart w:id="134" w:name="_Toc130125915"/>
      <w:r>
        <w:rPr>
          <w:rFonts w:hint="eastAsia"/>
        </w:rPr>
        <w:t>附件7：</w:t>
      </w:r>
      <w:bookmarkEnd w:id="130"/>
      <w:bookmarkEnd w:id="131"/>
      <w:bookmarkEnd w:id="132"/>
      <w:bookmarkEnd w:id="133"/>
      <w:bookmarkEnd w:id="134"/>
    </w:p>
    <w:p>
      <w:pPr>
        <w:ind w:firstLine="0" w:firstLineChars="0"/>
        <w:jc w:val="center"/>
        <w:rPr>
          <w:rFonts w:ascii="方正小标宋_GBK" w:hAnsi="方正小标宋_GBK" w:eastAsia="方正小标宋_GBK" w:cs="方正小标宋_GBK"/>
          <w:sz w:val="32"/>
          <w:szCs w:val="22"/>
        </w:rPr>
      </w:pPr>
      <w:r>
        <w:rPr>
          <w:rFonts w:hint="eastAsia" w:ascii="方正小标宋_GBK" w:hAnsi="方正小标宋_GBK" w:eastAsia="方正小标宋_GBK" w:cs="方正小标宋_GBK"/>
          <w:sz w:val="32"/>
          <w:szCs w:val="22"/>
        </w:rPr>
        <w:t>昆明市生态环境局</w:t>
      </w:r>
      <w:r>
        <w:rPr>
          <w:rFonts w:hint="eastAsia" w:ascii="方正小标宋_GBK" w:hAnsi="方正小标宋_GBK" w:eastAsia="方正小标宋_GBK" w:cs="方正小标宋_GBK"/>
          <w:sz w:val="32"/>
          <w:szCs w:val="22"/>
          <w:lang w:eastAsia="zh-CN"/>
        </w:rPr>
        <w:t>安宁分局</w:t>
      </w:r>
      <w:r>
        <w:rPr>
          <w:rFonts w:hint="eastAsia" w:ascii="方正小标宋_GBK" w:hAnsi="方正小标宋_GBK" w:eastAsia="方正小标宋_GBK" w:cs="方正小标宋_GBK"/>
          <w:sz w:val="32"/>
          <w:szCs w:val="22"/>
        </w:rPr>
        <w:t>行政许可申请材料补正通知单</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61"/>
        <w:gridCol w:w="1966"/>
        <w:gridCol w:w="593"/>
        <w:gridCol w:w="274"/>
        <w:gridCol w:w="1426"/>
        <w:gridCol w:w="32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申请行政许可</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事项名称</w:t>
            </w:r>
          </w:p>
        </w:tc>
        <w:tc>
          <w:tcPr>
            <w:tcW w:w="3923" w:type="pct"/>
            <w:gridSpan w:val="5"/>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4"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申请单位</w:t>
            </w:r>
            <w:r>
              <w:rPr>
                <w:rFonts w:ascii="宋体" w:hAnsi="宋体" w:cs="宋体"/>
                <w:color w:val="000000"/>
                <w:kern w:val="0"/>
              </w:rPr>
              <w:t>/</w:t>
            </w:r>
            <w:r>
              <w:rPr>
                <w:rFonts w:hint="eastAsia" w:ascii="宋体" w:hAnsi="宋体" w:cs="宋体"/>
                <w:color w:val="000000"/>
                <w:kern w:val="0"/>
              </w:rPr>
              <w:t>申请人</w:t>
            </w:r>
          </w:p>
        </w:tc>
        <w:tc>
          <w:tcPr>
            <w:tcW w:w="1337" w:type="pct"/>
            <w:gridSpan w:val="2"/>
            <w:vAlign w:val="center"/>
          </w:tcPr>
          <w:p>
            <w:pPr>
              <w:widowControl/>
              <w:spacing w:line="240" w:lineRule="auto"/>
              <w:ind w:firstLine="0" w:firstLineChars="0"/>
              <w:jc w:val="center"/>
              <w:rPr>
                <w:rFonts w:ascii="宋体"/>
                <w:color w:val="000000"/>
                <w:kern w:val="0"/>
              </w:rPr>
            </w:pPr>
          </w:p>
        </w:tc>
        <w:tc>
          <w:tcPr>
            <w:tcW w:w="888" w:type="pct"/>
            <w:gridSpan w:val="2"/>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法人代表</w:t>
            </w:r>
          </w:p>
        </w:tc>
        <w:tc>
          <w:tcPr>
            <w:tcW w:w="1698"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90"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组织机构统一</w:t>
            </w:r>
          </w:p>
          <w:p>
            <w:pPr>
              <w:widowControl/>
              <w:spacing w:line="240" w:lineRule="auto"/>
              <w:ind w:firstLine="0" w:firstLineChars="0"/>
              <w:jc w:val="center"/>
              <w:rPr>
                <w:rFonts w:ascii="宋体"/>
                <w:color w:val="000000"/>
                <w:kern w:val="0"/>
              </w:rPr>
            </w:pPr>
            <w:r>
              <w:rPr>
                <w:rFonts w:hint="eastAsia" w:ascii="宋体" w:hAnsi="宋体" w:cs="宋体"/>
                <w:color w:val="000000"/>
                <w:kern w:val="0"/>
              </w:rPr>
              <w:t>社会信用代码</w:t>
            </w:r>
          </w:p>
          <w:p>
            <w:pPr>
              <w:widowControl/>
              <w:spacing w:line="240" w:lineRule="auto"/>
              <w:ind w:firstLine="0" w:firstLineChars="0"/>
              <w:jc w:val="center"/>
              <w:rPr>
                <w:rFonts w:ascii="宋体"/>
                <w:color w:val="000000"/>
                <w:kern w:val="0"/>
              </w:rPr>
            </w:pPr>
            <w:r>
              <w:rPr>
                <w:rFonts w:ascii="宋体" w:hAnsi="宋体" w:cs="宋体"/>
                <w:color w:val="000000"/>
                <w:kern w:val="0"/>
              </w:rPr>
              <w:t>/</w:t>
            </w:r>
            <w:r>
              <w:rPr>
                <w:rFonts w:hint="eastAsia" w:ascii="宋体" w:hAnsi="宋体" w:cs="宋体"/>
              </w:rPr>
              <w:t>居民</w:t>
            </w:r>
            <w:r>
              <w:rPr>
                <w:rFonts w:hint="eastAsia" w:ascii="宋体" w:hAnsi="宋体" w:cs="宋体"/>
                <w:color w:val="000000"/>
                <w:kern w:val="0"/>
              </w:rPr>
              <w:t>身份证号</w:t>
            </w:r>
          </w:p>
        </w:tc>
        <w:tc>
          <w:tcPr>
            <w:tcW w:w="3923" w:type="pct"/>
            <w:gridSpan w:val="5"/>
            <w:vAlign w:val="center"/>
          </w:tcPr>
          <w:p>
            <w:pPr>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1" w:hRule="atLeast"/>
          <w:jc w:val="center"/>
        </w:trPr>
        <w:tc>
          <w:tcPr>
            <w:tcW w:w="1077" w:type="pct"/>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联系人</w:t>
            </w:r>
          </w:p>
        </w:tc>
        <w:tc>
          <w:tcPr>
            <w:tcW w:w="1027" w:type="pct"/>
            <w:vAlign w:val="center"/>
          </w:tcPr>
          <w:p>
            <w:pPr>
              <w:widowControl/>
              <w:spacing w:line="240" w:lineRule="auto"/>
              <w:ind w:firstLine="0" w:firstLineChars="0"/>
              <w:jc w:val="center"/>
              <w:rPr>
                <w:rFonts w:ascii="宋体"/>
                <w:color w:val="000000"/>
                <w:kern w:val="0"/>
              </w:rPr>
            </w:pPr>
          </w:p>
        </w:tc>
        <w:tc>
          <w:tcPr>
            <w:tcW w:w="1198" w:type="pct"/>
            <w:gridSpan w:val="3"/>
            <w:vAlign w:val="center"/>
          </w:tcPr>
          <w:p>
            <w:pPr>
              <w:widowControl/>
              <w:spacing w:line="240" w:lineRule="auto"/>
              <w:ind w:firstLine="0" w:firstLineChars="0"/>
              <w:jc w:val="center"/>
              <w:rPr>
                <w:rFonts w:ascii="宋体"/>
                <w:color w:val="000000"/>
                <w:kern w:val="0"/>
              </w:rPr>
            </w:pPr>
            <w:r>
              <w:rPr>
                <w:rFonts w:hint="eastAsia" w:ascii="宋体" w:hAnsi="宋体" w:cs="宋体"/>
                <w:color w:val="000000"/>
                <w:kern w:val="0"/>
              </w:rPr>
              <w:t>联系电话</w:t>
            </w:r>
          </w:p>
        </w:tc>
        <w:tc>
          <w:tcPr>
            <w:tcW w:w="1698" w:type="pct"/>
            <w:vAlign w:val="center"/>
          </w:tcPr>
          <w:p>
            <w:pPr>
              <w:widowControl/>
              <w:spacing w:line="300" w:lineRule="exact"/>
              <w:ind w:firstLine="56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2" w:hRule="atLeast"/>
          <w:jc w:val="center"/>
        </w:trPr>
        <w:tc>
          <w:tcPr>
            <w:tcW w:w="1077" w:type="pct"/>
            <w:vAlign w:val="center"/>
          </w:tcPr>
          <w:p>
            <w:pPr>
              <w:spacing w:line="240" w:lineRule="auto"/>
              <w:ind w:firstLine="0" w:firstLineChars="0"/>
              <w:jc w:val="center"/>
              <w:rPr>
                <w:rFonts w:ascii="宋体" w:hAnsi="宋体" w:cs="宋体"/>
              </w:rPr>
            </w:pPr>
            <w:r>
              <w:rPr>
                <w:rFonts w:hint="eastAsia" w:ascii="宋体" w:hAnsi="宋体" w:cs="宋体"/>
              </w:rPr>
              <w:t>补正意见</w:t>
            </w:r>
          </w:p>
        </w:tc>
        <w:tc>
          <w:tcPr>
            <w:tcW w:w="3923" w:type="pct"/>
            <w:gridSpan w:val="5"/>
          </w:tcPr>
          <w:p>
            <w:pPr>
              <w:ind w:firstLine="560"/>
            </w:pPr>
          </w:p>
          <w:p>
            <w:pPr>
              <w:ind w:firstLine="560"/>
            </w:pPr>
            <w:r>
              <w:rPr>
                <w:rFonts w:hint="eastAsia"/>
              </w:rPr>
              <w:t>经审查，你（单位）提交的申请材料不齐全/不符合法定形式，请你（单位）补正下列材料后重新申请：</w:t>
            </w:r>
          </w:p>
          <w:p>
            <w:pPr>
              <w:ind w:firstLine="560"/>
            </w:pPr>
            <w:r>
              <w:t>1.</w:t>
            </w:r>
          </w:p>
          <w:p>
            <w:pPr>
              <w:ind w:firstLine="560"/>
            </w:pPr>
            <w:r>
              <w:t>2.</w:t>
            </w:r>
          </w:p>
          <w:p>
            <w:pPr>
              <w:ind w:firstLine="560"/>
            </w:pPr>
            <w:r>
              <w:t>3.</w:t>
            </w:r>
          </w:p>
          <w:p>
            <w:pPr>
              <w:ind w:firstLine="560"/>
            </w:pPr>
            <w:r>
              <w:t>4.</w:t>
            </w:r>
          </w:p>
          <w:p>
            <w:pPr>
              <w:ind w:firstLine="560"/>
            </w:pP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27" w:hRule="atLeast"/>
          <w:jc w:val="center"/>
        </w:trPr>
        <w:tc>
          <w:tcPr>
            <w:tcW w:w="1077" w:type="pct"/>
            <w:vAlign w:val="center"/>
          </w:tcPr>
          <w:p>
            <w:pPr>
              <w:spacing w:line="240" w:lineRule="auto"/>
              <w:ind w:firstLine="0" w:firstLineChars="0"/>
              <w:jc w:val="center"/>
              <w:rPr>
                <w:rFonts w:ascii="宋体"/>
              </w:rPr>
            </w:pPr>
            <w:r>
              <w:rPr>
                <w:rFonts w:hint="eastAsia" w:ascii="宋体" w:hAnsi="宋体" w:cs="宋体"/>
              </w:rPr>
              <w:t>补正经办人及</w:t>
            </w:r>
          </w:p>
          <w:p>
            <w:pPr>
              <w:spacing w:line="240" w:lineRule="auto"/>
              <w:ind w:firstLine="0" w:firstLineChars="0"/>
              <w:jc w:val="center"/>
              <w:rPr>
                <w:rFonts w:ascii="宋体"/>
              </w:rPr>
            </w:pPr>
            <w:r>
              <w:rPr>
                <w:rFonts w:hint="eastAsia" w:ascii="宋体" w:hAnsi="宋体" w:cs="宋体"/>
              </w:rPr>
              <w:t>执法证号</w:t>
            </w:r>
          </w:p>
        </w:tc>
        <w:tc>
          <w:tcPr>
            <w:tcW w:w="1480" w:type="pct"/>
            <w:gridSpan w:val="3"/>
            <w:vAlign w:val="center"/>
          </w:tcPr>
          <w:p>
            <w:pPr>
              <w:spacing w:line="240" w:lineRule="auto"/>
              <w:ind w:firstLine="0" w:firstLineChars="0"/>
              <w:jc w:val="center"/>
              <w:rPr>
                <w:rFonts w:ascii="宋体"/>
              </w:rPr>
            </w:pPr>
          </w:p>
        </w:tc>
        <w:tc>
          <w:tcPr>
            <w:tcW w:w="745" w:type="pct"/>
            <w:vAlign w:val="center"/>
          </w:tcPr>
          <w:p>
            <w:pPr>
              <w:spacing w:line="240" w:lineRule="auto"/>
              <w:ind w:firstLine="0" w:firstLineChars="0"/>
              <w:jc w:val="center"/>
              <w:rPr>
                <w:rFonts w:ascii="宋体"/>
              </w:rPr>
            </w:pPr>
            <w:r>
              <w:rPr>
                <w:rFonts w:hint="eastAsia" w:ascii="宋体" w:hAnsi="宋体" w:cs="宋体"/>
              </w:rPr>
              <w:t>联系电话</w:t>
            </w:r>
          </w:p>
        </w:tc>
        <w:tc>
          <w:tcPr>
            <w:tcW w:w="1698" w:type="pct"/>
            <w:vAlign w:val="center"/>
          </w:tcPr>
          <w:p>
            <w:pPr>
              <w:ind w:firstLine="700" w:firstLineChars="25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注：本补正通知单一式二份，补正机关、建设单位各留存一份。</w:t>
      </w:r>
    </w:p>
    <w:p>
      <w:pPr>
        <w:ind w:firstLine="560"/>
        <w:rPr>
          <w:rFonts w:ascii="宋体" w:cs="宋体"/>
        </w:rPr>
      </w:pPr>
    </w:p>
    <w:p>
      <w:pPr>
        <w:ind w:firstLine="560"/>
        <w:rPr>
          <w:rFonts w:ascii="宋体" w:cs="宋体"/>
        </w:rPr>
      </w:pPr>
    </w:p>
    <w:p>
      <w:pPr>
        <w:ind w:firstLine="7000" w:firstLineChars="2500"/>
        <w:rPr>
          <w:rFonts w:ascii="宋体"/>
        </w:rPr>
      </w:pPr>
      <w:r>
        <w:rPr>
          <w:rFonts w:hint="eastAsia" w:ascii="宋体" w:hAnsi="宋体" w:cs="宋体"/>
        </w:rPr>
        <w:t>（单位公章）</w:t>
      </w:r>
    </w:p>
    <w:p>
      <w:pPr>
        <w:ind w:firstLine="6720" w:firstLineChars="2400"/>
        <w:rPr>
          <w:rFonts w:ascii="宋体" w:hAnsi="宋体" w:cs="宋体"/>
        </w:rPr>
        <w:sectPr>
          <w:pgSz w:w="11906" w:h="16838"/>
          <w:pgMar w:top="1418" w:right="1134" w:bottom="1134" w:left="1418" w:header="851" w:footer="992" w:gutter="0"/>
          <w:pgNumType w:fmt="numberInDash"/>
          <w:cols w:space="425" w:num="1"/>
          <w:docGrid w:type="linesAndChars" w:linePitch="312" w:charSpace="0"/>
        </w:sect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pStyle w:val="2"/>
        <w:ind w:firstLine="0" w:firstLineChars="0"/>
      </w:pPr>
      <w:bookmarkStart w:id="135" w:name="_Toc27536"/>
      <w:bookmarkStart w:id="136" w:name="_Toc130125916"/>
      <w:bookmarkStart w:id="137" w:name="_Toc12839"/>
      <w:bookmarkStart w:id="138" w:name="_Toc130124955"/>
      <w:bookmarkStart w:id="139" w:name="_Toc15916"/>
      <w:r>
        <w:rPr>
          <w:rFonts w:hint="eastAsia"/>
        </w:rPr>
        <w:t>附件8：</w:t>
      </w:r>
      <w:bookmarkEnd w:id="135"/>
      <w:bookmarkEnd w:id="136"/>
      <w:bookmarkEnd w:id="137"/>
      <w:bookmarkEnd w:id="138"/>
      <w:bookmarkEnd w:id="139"/>
    </w:p>
    <w:p>
      <w:pPr>
        <w:ind w:firstLine="0" w:firstLineChars="0"/>
        <w:jc w:val="center"/>
        <w:rPr>
          <w:rFonts w:ascii="方正小标宋_GBK" w:hAnsi="方正小标宋_GBK" w:eastAsia="方正小标宋_GBK" w:cs="方正小标宋_GBK"/>
          <w:bCs/>
          <w:sz w:val="32"/>
          <w:szCs w:val="32"/>
        </w:rPr>
      </w:pPr>
      <w:r>
        <w:rPr>
          <w:rFonts w:hint="eastAsia" w:ascii="方正小标宋_GBK" w:hAnsi="方正小标宋_GBK" w:eastAsia="方正小标宋_GBK" w:cs="方正小标宋_GBK"/>
          <w:bCs/>
          <w:sz w:val="32"/>
          <w:szCs w:val="32"/>
        </w:rPr>
        <w:t>昆明市生态环境局</w:t>
      </w:r>
      <w:r>
        <w:rPr>
          <w:rFonts w:hint="eastAsia" w:ascii="方正小标宋_GBK" w:hAnsi="方正小标宋_GBK" w:eastAsia="方正小标宋_GBK" w:cs="方正小标宋_GBK"/>
          <w:bCs/>
          <w:sz w:val="32"/>
          <w:szCs w:val="32"/>
          <w:lang w:eastAsia="zh-CN"/>
        </w:rPr>
        <w:t>安宁分局</w:t>
      </w:r>
      <w:r>
        <w:rPr>
          <w:rFonts w:hint="eastAsia" w:ascii="方正小标宋_GBK" w:hAnsi="方正小标宋_GBK" w:eastAsia="方正小标宋_GBK" w:cs="方正小标宋_GBK"/>
          <w:bCs/>
          <w:sz w:val="32"/>
          <w:szCs w:val="32"/>
        </w:rPr>
        <w:t>行政许可送达回证</w:t>
      </w:r>
    </w:p>
    <w:p>
      <w:pPr>
        <w:ind w:firstLine="0" w:firstLineChars="0"/>
      </w:pPr>
      <w:r>
        <w:rPr>
          <w:rFonts w:hint="eastAsia"/>
        </w:rPr>
        <w:t>编号：</w:t>
      </w:r>
      <w:r>
        <w:t>202</w:t>
      </w:r>
      <w:r>
        <w:rPr>
          <w:rFonts w:hint="eastAsia"/>
        </w:rPr>
        <w:t>3</w:t>
      </w:r>
      <w:r>
        <w:t xml:space="preserve"> </w:t>
      </w:r>
      <w:r>
        <w:rPr>
          <w:rFonts w:ascii="宋体" w:cs="宋体"/>
          <w:color w:val="000000"/>
          <w:kern w:val="0"/>
        </w:rPr>
        <w:t>-</w:t>
      </w:r>
    </w:p>
    <w:tbl>
      <w:tblPr>
        <w:tblStyle w:val="14"/>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3119"/>
        <w:gridCol w:w="1843"/>
        <w:gridCol w:w="22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受送达人</w:t>
            </w:r>
          </w:p>
        </w:tc>
        <w:tc>
          <w:tcPr>
            <w:tcW w:w="7194" w:type="dxa"/>
            <w:gridSpan w:val="3"/>
            <w:vAlign w:val="center"/>
          </w:tcPr>
          <w:p>
            <w:pPr>
              <w:widowControl/>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送达地点</w:t>
            </w:r>
          </w:p>
        </w:tc>
        <w:tc>
          <w:tcPr>
            <w:tcW w:w="3119" w:type="dxa"/>
            <w:vAlign w:val="center"/>
          </w:tcPr>
          <w:p>
            <w:pPr>
              <w:widowControl/>
              <w:spacing w:line="240" w:lineRule="auto"/>
              <w:ind w:firstLine="0" w:firstLineChars="0"/>
              <w:jc w:val="center"/>
              <w:rPr>
                <w:rFonts w:ascii="宋体"/>
              </w:rPr>
            </w:pPr>
            <w:r>
              <w:rPr>
                <w:rFonts w:hint="eastAsia" w:ascii="宋体" w:hAnsi="宋体" w:cs="宋体"/>
              </w:rPr>
              <w:t>申请人直接到</w:t>
            </w:r>
            <w:r>
              <w:rPr>
                <w:rFonts w:hint="eastAsia" w:ascii="宋体" w:hAnsi="宋体" w:cs="宋体"/>
                <w:lang w:eastAsia="zh-CN"/>
              </w:rPr>
              <w:t>安宁</w:t>
            </w:r>
            <w:r>
              <w:rPr>
                <w:rFonts w:hint="eastAsia" w:ascii="宋体" w:hAnsi="宋体" w:cs="宋体"/>
              </w:rPr>
              <w:t>市政务服务中心</w:t>
            </w:r>
            <w:r>
              <w:rPr>
                <w:rFonts w:hint="eastAsia" w:ascii="宋体" w:hAnsi="宋体" w:cs="宋体"/>
                <w:lang w:eastAsia="zh-CN"/>
              </w:rPr>
              <w:t>生态环境分局</w:t>
            </w:r>
            <w:r>
              <w:rPr>
                <w:rFonts w:hint="eastAsia" w:ascii="宋体" w:hAnsi="宋体" w:cs="宋体"/>
              </w:rPr>
              <w:t>窗口领取</w:t>
            </w:r>
          </w:p>
        </w:tc>
        <w:tc>
          <w:tcPr>
            <w:tcW w:w="1843" w:type="dxa"/>
            <w:vAlign w:val="center"/>
          </w:tcPr>
          <w:p>
            <w:pPr>
              <w:widowControl/>
              <w:spacing w:line="240" w:lineRule="auto"/>
              <w:ind w:firstLine="0" w:firstLineChars="0"/>
              <w:jc w:val="center"/>
              <w:rPr>
                <w:rFonts w:ascii="宋体"/>
              </w:rPr>
            </w:pPr>
            <w:r>
              <w:rPr>
                <w:rFonts w:hint="eastAsia" w:ascii="宋体" w:hAnsi="宋体" w:cs="宋体"/>
              </w:rPr>
              <w:t>送达方式</w:t>
            </w:r>
          </w:p>
        </w:tc>
        <w:tc>
          <w:tcPr>
            <w:tcW w:w="2232" w:type="dxa"/>
            <w:vAlign w:val="center"/>
          </w:tcPr>
          <w:p>
            <w:pPr>
              <w:widowControl/>
              <w:spacing w:line="240" w:lineRule="auto"/>
              <w:ind w:firstLine="0" w:firstLineChars="0"/>
              <w:jc w:val="center"/>
              <w:rPr>
                <w:rFonts w:ascii="宋体"/>
              </w:rPr>
            </w:pPr>
            <w:r>
              <w:rPr>
                <w:rFonts w:hint="eastAsia" w:ascii="宋体" w:hAnsi="宋体" w:cs="宋体"/>
              </w:rPr>
              <w:t>直接送达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color w:val="000000"/>
                <w:kern w:val="0"/>
              </w:rPr>
            </w:pPr>
            <w:r>
              <w:rPr>
                <w:rFonts w:hint="eastAsia" w:ascii="宋体" w:hAnsi="宋体" w:cs="宋体"/>
              </w:rPr>
              <w:t>送达时间</w:t>
            </w:r>
          </w:p>
        </w:tc>
        <w:tc>
          <w:tcPr>
            <w:tcW w:w="7194" w:type="dxa"/>
            <w:gridSpan w:val="3"/>
            <w:vAlign w:val="center"/>
          </w:tcPr>
          <w:p>
            <w:pPr>
              <w:widowControl/>
              <w:spacing w:line="240" w:lineRule="auto"/>
              <w:ind w:firstLine="0" w:firstLineChars="0"/>
              <w:jc w:val="center"/>
              <w:rPr>
                <w:rFonts w:ascii="宋体"/>
                <w:color w:val="000000"/>
                <w:kern w:val="0"/>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1"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送达文书名称</w:t>
            </w:r>
          </w:p>
          <w:p>
            <w:pPr>
              <w:widowControl/>
              <w:spacing w:line="240" w:lineRule="auto"/>
              <w:ind w:firstLine="0" w:firstLineChars="0"/>
              <w:jc w:val="center"/>
              <w:rPr>
                <w:rFonts w:ascii="宋体"/>
              </w:rPr>
            </w:pPr>
            <w:r>
              <w:rPr>
                <w:rFonts w:hint="eastAsia" w:ascii="宋体" w:hAnsi="宋体" w:cs="宋体"/>
              </w:rPr>
              <w:t>及文号</w:t>
            </w:r>
          </w:p>
        </w:tc>
        <w:tc>
          <w:tcPr>
            <w:tcW w:w="7194" w:type="dxa"/>
            <w:gridSpan w:val="3"/>
            <w:vAlign w:val="center"/>
          </w:tcPr>
          <w:p>
            <w:pPr>
              <w:spacing w:line="240" w:lineRule="auto"/>
              <w:ind w:firstLine="0" w:firstLineChars="0"/>
              <w:jc w:val="center"/>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受送达人签名或盖章</w:t>
            </w:r>
          </w:p>
        </w:tc>
        <w:tc>
          <w:tcPr>
            <w:tcW w:w="7194" w:type="dxa"/>
            <w:gridSpan w:val="3"/>
            <w:vAlign w:val="center"/>
          </w:tcPr>
          <w:p>
            <w:pPr>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spacing w:line="240" w:lineRule="auto"/>
              <w:ind w:firstLine="0" w:firstLineChars="0"/>
              <w:jc w:val="left"/>
              <w:rPr>
                <w:rFonts w:ascii="宋体"/>
              </w:rPr>
            </w:pPr>
            <w:r>
              <w:rPr>
                <w:rFonts w:hint="eastAsia" w:ascii="宋体" w:hAnsi="宋体" w:cs="宋体"/>
              </w:rPr>
              <w:t>代收人签名及身份证号：</w:t>
            </w:r>
          </w:p>
          <w:p>
            <w:pPr>
              <w:spacing w:line="240" w:lineRule="auto"/>
              <w:ind w:firstLine="0" w:firstLineChars="0"/>
              <w:jc w:val="center"/>
              <w:rPr>
                <w:rFonts w:ascii="宋体"/>
              </w:rPr>
            </w:pPr>
          </w:p>
          <w:p>
            <w:pPr>
              <w:spacing w:line="240" w:lineRule="auto"/>
              <w:ind w:firstLine="0" w:firstLineChars="0"/>
              <w:jc w:val="center"/>
              <w:rPr>
                <w:rFonts w:ascii="宋体"/>
              </w:rPr>
            </w:pPr>
          </w:p>
          <w:p>
            <w:pPr>
              <w:spacing w:line="240" w:lineRule="auto"/>
              <w:ind w:right="720" w:firstLine="0" w:firstLineChars="0"/>
              <w:jc w:val="right"/>
              <w:rPr>
                <w:rFonts w:ascii="宋体" w:hAnsi="宋体" w:cs="宋体"/>
              </w:rPr>
            </w:pPr>
            <w:r>
              <w:rPr>
                <w:rFonts w:hint="eastAsia" w:ascii="宋体" w:hAnsi="宋体" w:cs="宋体"/>
              </w:rPr>
              <w:t>年</w:t>
            </w:r>
            <w:r>
              <w:rPr>
                <w:rFonts w:ascii="宋体" w:hAnsi="宋体" w:cs="宋体"/>
              </w:rPr>
              <w:t xml:space="preserve">    </w:t>
            </w:r>
            <w:r>
              <w:rPr>
                <w:rFonts w:hint="eastAsia" w:ascii="宋体" w:hAnsi="宋体" w:cs="宋体"/>
              </w:rPr>
              <w:t>月</w:t>
            </w:r>
            <w:r>
              <w:rPr>
                <w:rFonts w:ascii="宋体" w:hAnsi="宋体" w:cs="宋体"/>
              </w:rPr>
              <w:t xml:space="preserve">     </w:t>
            </w:r>
            <w:r>
              <w:rPr>
                <w:rFonts w:hint="eastAsia" w:ascii="宋体" w:hAnsi="宋体" w:cs="宋体"/>
              </w:rPr>
              <w:t>日</w:t>
            </w:r>
          </w:p>
          <w:p>
            <w:pPr>
              <w:spacing w:line="240" w:lineRule="auto"/>
              <w:ind w:right="1920" w:firstLine="0" w:firstLineChars="0"/>
              <w:rPr>
                <w:rFonts w:ascii="宋体"/>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0" w:type="auto"/>
            <w:gridSpan w:val="4"/>
            <w:vAlign w:val="center"/>
          </w:tcPr>
          <w:p>
            <w:pPr>
              <w:spacing w:line="240" w:lineRule="auto"/>
              <w:ind w:firstLine="0" w:firstLineChars="0"/>
              <w:jc w:val="left"/>
              <w:rPr>
                <w:rFonts w:ascii="宋体" w:hAnsi="宋体" w:cs="宋体"/>
              </w:rPr>
            </w:pPr>
            <w:r>
              <w:rPr>
                <w:rFonts w:hint="eastAsia" w:ascii="宋体" w:hAnsi="宋体" w:cs="宋体"/>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37" w:hRule="atLeast"/>
          <w:jc w:val="center"/>
        </w:trPr>
        <w:tc>
          <w:tcPr>
            <w:tcW w:w="2376" w:type="dxa"/>
            <w:vAlign w:val="center"/>
          </w:tcPr>
          <w:p>
            <w:pPr>
              <w:widowControl/>
              <w:spacing w:line="240" w:lineRule="auto"/>
              <w:ind w:firstLine="0" w:firstLineChars="0"/>
              <w:jc w:val="center"/>
              <w:rPr>
                <w:rFonts w:ascii="宋体"/>
              </w:rPr>
            </w:pPr>
            <w:r>
              <w:rPr>
                <w:rFonts w:hint="eastAsia" w:ascii="宋体" w:hAnsi="宋体" w:cs="宋体"/>
              </w:rPr>
              <w:t>送达机关</w:t>
            </w:r>
          </w:p>
        </w:tc>
        <w:tc>
          <w:tcPr>
            <w:tcW w:w="3119" w:type="dxa"/>
            <w:vAlign w:val="center"/>
          </w:tcPr>
          <w:p>
            <w:pPr>
              <w:widowControl/>
              <w:spacing w:line="240" w:lineRule="auto"/>
              <w:ind w:firstLine="0" w:firstLineChars="0"/>
              <w:jc w:val="center"/>
              <w:rPr>
                <w:rFonts w:hint="eastAsia" w:ascii="宋体" w:hAnsi="宋体" w:eastAsia="仿宋_GB2312" w:cs="宋体"/>
                <w:lang w:eastAsia="zh-CN"/>
              </w:rPr>
            </w:pPr>
            <w:r>
              <w:rPr>
                <w:rFonts w:hint="eastAsia" w:ascii="宋体" w:hAnsi="宋体" w:cs="宋体"/>
              </w:rPr>
              <w:t>昆明市生态环境局</w:t>
            </w:r>
            <w:r>
              <w:rPr>
                <w:rFonts w:hint="eastAsia" w:ascii="宋体" w:hAnsi="宋体" w:cs="宋体"/>
                <w:lang w:eastAsia="zh-CN"/>
              </w:rPr>
              <w:t>安宁分局</w:t>
            </w:r>
          </w:p>
          <w:p>
            <w:pPr>
              <w:widowControl/>
              <w:spacing w:line="240" w:lineRule="auto"/>
              <w:ind w:firstLine="0" w:firstLineChars="0"/>
              <w:jc w:val="center"/>
              <w:rPr>
                <w:rFonts w:ascii="宋体"/>
              </w:rPr>
            </w:pPr>
            <w:r>
              <w:rPr>
                <w:rFonts w:hint="eastAsia" w:ascii="宋体" w:hAnsi="宋体" w:cs="宋体"/>
              </w:rPr>
              <w:t>（盖章）</w:t>
            </w:r>
          </w:p>
        </w:tc>
        <w:tc>
          <w:tcPr>
            <w:tcW w:w="1843" w:type="dxa"/>
            <w:vAlign w:val="center"/>
          </w:tcPr>
          <w:p>
            <w:pPr>
              <w:widowControl/>
              <w:spacing w:line="240" w:lineRule="auto"/>
              <w:ind w:firstLine="0" w:firstLineChars="0"/>
              <w:jc w:val="center"/>
              <w:rPr>
                <w:rFonts w:ascii="宋体"/>
              </w:rPr>
            </w:pPr>
            <w:r>
              <w:rPr>
                <w:rFonts w:hint="eastAsia" w:ascii="宋体" w:hAnsi="宋体" w:cs="宋体"/>
              </w:rPr>
              <w:t>送达人及执法证号</w:t>
            </w:r>
          </w:p>
        </w:tc>
        <w:tc>
          <w:tcPr>
            <w:tcW w:w="2232" w:type="dxa"/>
            <w:vAlign w:val="center"/>
          </w:tcPr>
          <w:p>
            <w:pPr>
              <w:widowControl/>
              <w:spacing w:line="240" w:lineRule="auto"/>
              <w:ind w:firstLine="0" w:firstLineChars="0"/>
              <w:jc w:val="center"/>
              <w:rPr>
                <w:rFonts w:ascii="宋体"/>
              </w:rPr>
            </w:pPr>
          </w:p>
        </w:tc>
      </w:tr>
    </w:tbl>
    <w:p>
      <w:pPr>
        <w:ind w:firstLine="0" w:firstLineChars="0"/>
        <w:rPr>
          <w:rFonts w:ascii="宋体" w:hAnsi="宋体" w:cs="宋体"/>
          <w:sz w:val="24"/>
          <w:szCs w:val="20"/>
        </w:rPr>
      </w:pPr>
      <w:r>
        <w:rPr>
          <w:rFonts w:hint="eastAsia" w:ascii="宋体" w:hAnsi="宋体" w:cs="宋体"/>
          <w:sz w:val="24"/>
          <w:szCs w:val="20"/>
        </w:rPr>
        <w:t>注：本送达回证一式二份，审批机关、建设单位各留存一份。</w:t>
      </w:r>
    </w:p>
    <w:sectPr>
      <w:pgSz w:w="11906" w:h="16838"/>
      <w:pgMar w:top="1418" w:right="1134" w:bottom="1134" w:left="1418" w:header="851" w:footer="992" w:gutter="0"/>
      <w:pgNumType w:fmt="numberInDash"/>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045"/>
      </w:tabs>
      <w:spacing w:line="240" w:lineRule="auto"/>
      <w:ind w:firstLine="0" w:firstLineChars="0"/>
      <w:jc w:val="center"/>
      <w:rPr>
        <w:spacing w:val="20"/>
        <w:sz w:val="18"/>
        <w:szCs w:val="18"/>
      </w:rPr>
    </w:pPr>
    <w:r>
      <w:rPr>
        <w:rFonts w:hint="eastAsia" w:ascii="黑体" w:hAnsi="黑体" w:eastAsia="黑体" w:cs="黑体"/>
        <w:spacing w:val="20"/>
        <w:szCs w:val="28"/>
      </w:rPr>
      <w:t>昆明市生态环境局   发布</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jc w:val="left"/>
      <w:rPr>
        <w:rFonts w:ascii="宋体" w:hAnsi="宋体"/>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ind w:firstLine="0" w:firstLineChars="0"/>
      <w:rPr>
        <w:rFonts w:ascii="宋体" w:hAnsi="宋体"/>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center"/>
      <w:rPr>
        <w:szCs w:val="28"/>
      </w:rPr>
    </w:pPr>
    <w:r>
      <w:rPr>
        <w:szCs w:val="28"/>
      </w:rPr>
      <w:fldChar w:fldCharType="begin"/>
    </w:r>
    <w:r>
      <w:rPr>
        <w:szCs w:val="28"/>
      </w:rPr>
      <w:instrText xml:space="preserve"> PAGE  \* ROMAN  \* MERGEFORMAT </w:instrText>
    </w:r>
    <w:r>
      <w:rPr>
        <w:szCs w:val="28"/>
      </w:rPr>
      <w:fldChar w:fldCharType="separate"/>
    </w:r>
    <w:r>
      <w:rPr>
        <w:szCs w:val="28"/>
      </w:rPr>
      <w:t>XVIII</w:t>
    </w:r>
    <w:r>
      <w:rPr>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sz w:val="24"/>
        <w:szCs w:val="24"/>
      </w:rPr>
    </w:pPr>
    <w:r>
      <w:rPr>
        <w:sz w:val="24"/>
        <w:szCs w:val="24"/>
      </w:rPr>
      <w:fldChar w:fldCharType="begin"/>
    </w:r>
    <w:r>
      <w:rPr>
        <w:sz w:val="24"/>
        <w:szCs w:val="24"/>
      </w:rPr>
      <w:instrText xml:space="preserve"> </w:instrText>
    </w:r>
    <w:r>
      <w:rPr>
        <w:rFonts w:hint="eastAsia"/>
        <w:sz w:val="24"/>
        <w:szCs w:val="24"/>
      </w:rPr>
      <w:instrText xml:space="preserve">PAGE  \* ROMAN  \* MERGEFORMAT</w:instrText>
    </w:r>
    <w:r>
      <w:rPr>
        <w:sz w:val="24"/>
        <w:szCs w:val="24"/>
      </w:rPr>
      <w:instrText xml:space="preserve"> </w:instrText>
    </w:r>
    <w:r>
      <w:rPr>
        <w:sz w:val="24"/>
        <w:szCs w:val="24"/>
      </w:rPr>
      <w:fldChar w:fldCharType="separate"/>
    </w:r>
    <w:r>
      <w:rPr>
        <w:sz w:val="24"/>
        <w:szCs w:val="24"/>
      </w:rPr>
      <w:t>I</w:t>
    </w:r>
    <w:r>
      <w:rPr>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center"/>
      <w:rPr>
        <w:szCs w:val="28"/>
      </w:rPr>
    </w:pPr>
    <w:r>
      <w:rPr>
        <w:szCs w:val="28"/>
      </w:rPr>
      <w:fldChar w:fldCharType="begin"/>
    </w:r>
    <w:r>
      <w:rPr>
        <w:szCs w:val="28"/>
      </w:rPr>
      <w:instrText xml:space="preserve"> PAGE  \* ROMAN  \* MERGEFORMAT </w:instrText>
    </w:r>
    <w:r>
      <w:rPr>
        <w:szCs w:val="28"/>
      </w:rPr>
      <w:fldChar w:fldCharType="separate"/>
    </w:r>
    <w:r>
      <w:rPr>
        <w:szCs w:val="28"/>
      </w:rPr>
      <w:t>II</w:t>
    </w:r>
    <w:r>
      <w:rPr>
        <w:szCs w:val="2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center"/>
      <w:rPr>
        <w:sz w:val="28"/>
        <w:szCs w:val="28"/>
      </w:rPr>
    </w:pPr>
    <w:r>
      <w:rPr>
        <w:sz w:val="28"/>
        <w:szCs w:val="28"/>
      </w:rPr>
      <w:fldChar w:fldCharType="begin"/>
    </w:r>
    <w:r>
      <w:rPr>
        <w:sz w:val="28"/>
        <w:szCs w:val="28"/>
      </w:rPr>
      <w:instrText xml:space="preserve"> PAGE  \* ROMAN  \* MERGEFORMAT </w:instrText>
    </w:r>
    <w:r>
      <w:rPr>
        <w:sz w:val="28"/>
        <w:szCs w:val="28"/>
      </w:rPr>
      <w:fldChar w:fldCharType="separate"/>
    </w:r>
    <w:r>
      <w:rPr>
        <w:sz w:val="28"/>
        <w:szCs w:val="28"/>
      </w:rPr>
      <w:t>I</w:t>
    </w:r>
    <w:r>
      <w:rPr>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jc w:val="right"/>
      <w:rPr>
        <w:rFonts w:ascii="仿宋_GB2312" w:hAnsi="仿宋_GB2312" w:cs="仿宋_GB2312"/>
        <w:b/>
        <w:bCs/>
        <w:sz w:val="32"/>
        <w:szCs w:val="52"/>
      </w:rPr>
    </w:pPr>
    <w:r>
      <w:rPr>
        <w:rFonts w:ascii="仿宋_GB2312" w:hAnsi="仿宋_GB2312" w:cs="仿宋_GB2312"/>
        <w:sz w:val="32"/>
        <w:szCs w:val="32"/>
      </w:rPr>
      <w:t xml:space="preserve">- </w:t>
    </w:r>
    <w:r>
      <w:rPr>
        <w:rFonts w:hint="eastAsia" w:ascii="仿宋_GB2312" w:hAnsi="仿宋_GB2312" w:cs="仿宋_GB2312"/>
        <w:sz w:val="32"/>
        <w:szCs w:val="32"/>
      </w:rPr>
      <w:fldChar w:fldCharType="begin"/>
    </w:r>
    <w:r>
      <w:rPr>
        <w:rFonts w:hint="eastAsia" w:ascii="仿宋_GB2312" w:hAnsi="仿宋_GB2312" w:cs="仿宋_GB2312"/>
        <w:sz w:val="32"/>
        <w:szCs w:val="32"/>
      </w:rPr>
      <w:instrText xml:space="preserve"> PAGE  \* MERGEFORMAT </w:instrText>
    </w:r>
    <w:r>
      <w:rPr>
        <w:rFonts w:hint="eastAsia" w:ascii="仿宋_GB2312" w:hAnsi="仿宋_GB2312" w:cs="仿宋_GB2312"/>
        <w:sz w:val="32"/>
        <w:szCs w:val="32"/>
      </w:rPr>
      <w:fldChar w:fldCharType="separate"/>
    </w:r>
    <w:r>
      <w:rPr>
        <w:rFonts w:hint="eastAsia" w:ascii="仿宋_GB2312" w:hAnsi="仿宋_GB2312" w:cs="仿宋_GB2312"/>
        <w:sz w:val="32"/>
        <w:szCs w:val="32"/>
      </w:rPr>
      <w:t>5</w:t>
    </w:r>
    <w:r>
      <w:rPr>
        <w:rFonts w:hint="eastAsia" w:ascii="仿宋_GB2312" w:hAnsi="仿宋_GB2312" w:cs="仿宋_GB2312"/>
        <w:sz w:val="32"/>
        <w:szCs w:val="32"/>
      </w:rPr>
      <w:fldChar w:fldCharType="end"/>
    </w:r>
    <w:r>
      <w:rPr>
        <w:rFonts w:ascii="仿宋_GB2312" w:hAnsi="仿宋_GB2312" w:cs="仿宋_GB2312"/>
        <w:sz w:val="32"/>
        <w:szCs w:val="3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0" w:firstLineChars="0"/>
      <w:rPr>
        <w:rFonts w:ascii="仿宋_GB2312" w:hAnsi="仿宋_GB2312" w:cs="仿宋_GB2312"/>
        <w:b/>
        <w:bCs/>
        <w:sz w:val="32"/>
        <w:szCs w:val="52"/>
      </w:rPr>
    </w:pPr>
    <w:r>
      <w:rPr>
        <w:rFonts w:ascii="仿宋_GB2312" w:hAnsi="仿宋_GB2312" w:cs="仿宋_GB2312"/>
        <w:sz w:val="32"/>
        <w:szCs w:val="32"/>
      </w:rPr>
      <w:t xml:space="preserve">- </w:t>
    </w:r>
    <w:r>
      <w:rPr>
        <w:rFonts w:hint="eastAsia" w:ascii="仿宋_GB2312" w:hAnsi="仿宋_GB2312" w:cs="仿宋_GB2312"/>
        <w:sz w:val="32"/>
        <w:szCs w:val="32"/>
      </w:rPr>
      <w:fldChar w:fldCharType="begin"/>
    </w:r>
    <w:r>
      <w:rPr>
        <w:rFonts w:hint="eastAsia" w:ascii="仿宋_GB2312" w:hAnsi="仿宋_GB2312" w:cs="仿宋_GB2312"/>
        <w:sz w:val="32"/>
        <w:szCs w:val="32"/>
      </w:rPr>
      <w:instrText xml:space="preserve"> PAGE  \* MERGEFORMAT </w:instrText>
    </w:r>
    <w:r>
      <w:rPr>
        <w:rFonts w:hint="eastAsia" w:ascii="仿宋_GB2312" w:hAnsi="仿宋_GB2312" w:cs="仿宋_GB2312"/>
        <w:sz w:val="32"/>
        <w:szCs w:val="32"/>
      </w:rPr>
      <w:fldChar w:fldCharType="separate"/>
    </w:r>
    <w:r>
      <w:rPr>
        <w:rFonts w:ascii="仿宋_GB2312" w:hAnsi="仿宋_GB2312" w:cs="仿宋_GB2312"/>
        <w:sz w:val="32"/>
        <w:szCs w:val="32"/>
      </w:rPr>
      <w:t>1</w:t>
    </w:r>
    <w:r>
      <w:rPr>
        <w:rFonts w:hint="eastAsia" w:ascii="仿宋_GB2312" w:hAnsi="仿宋_GB2312" w:cs="仿宋_GB2312"/>
        <w:sz w:val="32"/>
        <w:szCs w:val="32"/>
      </w:rPr>
      <w:fldChar w:fldCharType="end"/>
    </w:r>
    <w:r>
      <w:rPr>
        <w:rFonts w:ascii="仿宋_GB2312" w:hAnsi="仿宋_GB2312" w:cs="仿宋_GB2312"/>
        <w:sz w:val="32"/>
        <w:szCs w:val="3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right"/>
      <w:rPr>
        <w:rFonts w:ascii="宋体" w:hAnsi="宋体"/>
        <w:szCs w:val="2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3328"/>
        <w:tab w:val="right" w:pos="9288"/>
      </w:tabs>
      <w:ind w:firstLine="0" w:firstLineChars="0"/>
      <w:jc w:val="left"/>
      <w:rPr>
        <w:rFonts w:ascii="仿宋_GB2312" w:hAnsi="仿宋_GB2312" w:cs="仿宋_GB2312"/>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ind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8400"/>
  <w:doNotHyphenateCaps/>
  <w:evenAndOddHeaders w:val="1"/>
  <w:drawingGridHorizontalSpacing w:val="120"/>
  <w:drawingGridVerticalSpacing w:val="163"/>
  <w:noPunctuationKerning w:val="1"/>
  <w:characterSpacingControl w:val="doNotCompress"/>
  <w:noLineBreaksAfter w:lang="zh-CN" w:val="$([{£¥·‘“〈《「『【〔〖〝﹙﹛﹝＄（．［｛￡￥"/>
  <w:noLineBreaksBefore w:lang="zh-CN" w:val="!%),.:;&gt;?]}¢¨°·ˇˉ―‖’”…‰′″›℃∶、。〃〉》」』】〕〗〞︶︺︾﹀﹄﹚﹜﹞！＂％＇），．：；？］｀｜｝～￠"/>
  <w:doNotValidateAgainstSchema/>
  <w:doNotDemarcateInvalidXml/>
  <w:footnotePr>
    <w:footnote w:id="0"/>
    <w:footnote w:id="1"/>
  </w:footnotePr>
  <w:endnotePr>
    <w:endnote w:id="0"/>
    <w:endnote w:id="1"/>
  </w:endnotePr>
  <w:compat>
    <w:doNotExpandShiftReturn/>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c4ZDg4ZjA3YzQwMGU5NGExMmFmMDk0MDY3NDUxZGUifQ=="/>
  </w:docVars>
  <w:rsids>
    <w:rsidRoot w:val="00172A27"/>
    <w:rsid w:val="00014605"/>
    <w:rsid w:val="00014632"/>
    <w:rsid w:val="00020A62"/>
    <w:rsid w:val="00050B9D"/>
    <w:rsid w:val="00053B2D"/>
    <w:rsid w:val="000719C9"/>
    <w:rsid w:val="00072DF9"/>
    <w:rsid w:val="00076787"/>
    <w:rsid w:val="00082965"/>
    <w:rsid w:val="000854A6"/>
    <w:rsid w:val="000877DB"/>
    <w:rsid w:val="000B0DA7"/>
    <w:rsid w:val="000B3F45"/>
    <w:rsid w:val="000C17C2"/>
    <w:rsid w:val="000C4B90"/>
    <w:rsid w:val="000D4E8F"/>
    <w:rsid w:val="000D5F2F"/>
    <w:rsid w:val="000E26CF"/>
    <w:rsid w:val="000E4A1B"/>
    <w:rsid w:val="000E578F"/>
    <w:rsid w:val="000E6C85"/>
    <w:rsid w:val="000E7687"/>
    <w:rsid w:val="000F0AB5"/>
    <w:rsid w:val="000F7AAC"/>
    <w:rsid w:val="001020E4"/>
    <w:rsid w:val="001030DB"/>
    <w:rsid w:val="001118A0"/>
    <w:rsid w:val="0011354A"/>
    <w:rsid w:val="001138E7"/>
    <w:rsid w:val="00113CB0"/>
    <w:rsid w:val="001173FC"/>
    <w:rsid w:val="0012049C"/>
    <w:rsid w:val="0012654E"/>
    <w:rsid w:val="00131B00"/>
    <w:rsid w:val="001348CF"/>
    <w:rsid w:val="00140D4B"/>
    <w:rsid w:val="00141C4C"/>
    <w:rsid w:val="00145710"/>
    <w:rsid w:val="00146122"/>
    <w:rsid w:val="00150348"/>
    <w:rsid w:val="00150647"/>
    <w:rsid w:val="0015073E"/>
    <w:rsid w:val="00150C93"/>
    <w:rsid w:val="00151E79"/>
    <w:rsid w:val="00152C18"/>
    <w:rsid w:val="001550C1"/>
    <w:rsid w:val="00157BC6"/>
    <w:rsid w:val="001705E2"/>
    <w:rsid w:val="00172A27"/>
    <w:rsid w:val="001732C4"/>
    <w:rsid w:val="001771C3"/>
    <w:rsid w:val="00182AF3"/>
    <w:rsid w:val="001908C2"/>
    <w:rsid w:val="00194D67"/>
    <w:rsid w:val="00197BE7"/>
    <w:rsid w:val="001A3F41"/>
    <w:rsid w:val="001B0A6B"/>
    <w:rsid w:val="001B3794"/>
    <w:rsid w:val="001B593C"/>
    <w:rsid w:val="001D2585"/>
    <w:rsid w:val="001E1295"/>
    <w:rsid w:val="001F207C"/>
    <w:rsid w:val="001F28BD"/>
    <w:rsid w:val="001F4C93"/>
    <w:rsid w:val="001F6D95"/>
    <w:rsid w:val="002003AC"/>
    <w:rsid w:val="002052C1"/>
    <w:rsid w:val="002067C0"/>
    <w:rsid w:val="00207215"/>
    <w:rsid w:val="00210979"/>
    <w:rsid w:val="00224FB8"/>
    <w:rsid w:val="002316D7"/>
    <w:rsid w:val="002318EE"/>
    <w:rsid w:val="00231F36"/>
    <w:rsid w:val="0023339E"/>
    <w:rsid w:val="00233BE2"/>
    <w:rsid w:val="002423F5"/>
    <w:rsid w:val="0024286F"/>
    <w:rsid w:val="00244B33"/>
    <w:rsid w:val="0025541E"/>
    <w:rsid w:val="00263542"/>
    <w:rsid w:val="00276660"/>
    <w:rsid w:val="00282996"/>
    <w:rsid w:val="00282C5E"/>
    <w:rsid w:val="00286551"/>
    <w:rsid w:val="00291BBC"/>
    <w:rsid w:val="00297534"/>
    <w:rsid w:val="002A3301"/>
    <w:rsid w:val="002A4788"/>
    <w:rsid w:val="002A5D57"/>
    <w:rsid w:val="002B6B95"/>
    <w:rsid w:val="002D24D2"/>
    <w:rsid w:val="002D7840"/>
    <w:rsid w:val="002D79AD"/>
    <w:rsid w:val="002E0950"/>
    <w:rsid w:val="002F6655"/>
    <w:rsid w:val="002F71D1"/>
    <w:rsid w:val="00300779"/>
    <w:rsid w:val="0030199E"/>
    <w:rsid w:val="0030274C"/>
    <w:rsid w:val="00305706"/>
    <w:rsid w:val="003114CD"/>
    <w:rsid w:val="0031244F"/>
    <w:rsid w:val="00314848"/>
    <w:rsid w:val="00322F19"/>
    <w:rsid w:val="00323B3B"/>
    <w:rsid w:val="00325FB7"/>
    <w:rsid w:val="00330F1B"/>
    <w:rsid w:val="003327ED"/>
    <w:rsid w:val="003353DC"/>
    <w:rsid w:val="00337330"/>
    <w:rsid w:val="00346C1E"/>
    <w:rsid w:val="003512BC"/>
    <w:rsid w:val="00354769"/>
    <w:rsid w:val="00370D1C"/>
    <w:rsid w:val="0038492C"/>
    <w:rsid w:val="003A5B4C"/>
    <w:rsid w:val="003A7FDA"/>
    <w:rsid w:val="003B1C0B"/>
    <w:rsid w:val="003B403A"/>
    <w:rsid w:val="003B6EC7"/>
    <w:rsid w:val="003D7D77"/>
    <w:rsid w:val="003E0D46"/>
    <w:rsid w:val="003E2891"/>
    <w:rsid w:val="003E4261"/>
    <w:rsid w:val="003E6032"/>
    <w:rsid w:val="00405B84"/>
    <w:rsid w:val="00406D78"/>
    <w:rsid w:val="00415A43"/>
    <w:rsid w:val="00420C90"/>
    <w:rsid w:val="0042294C"/>
    <w:rsid w:val="0042464D"/>
    <w:rsid w:val="00431795"/>
    <w:rsid w:val="00431F91"/>
    <w:rsid w:val="00435B10"/>
    <w:rsid w:val="00445210"/>
    <w:rsid w:val="00453402"/>
    <w:rsid w:val="00455ECF"/>
    <w:rsid w:val="00461CE5"/>
    <w:rsid w:val="004633AF"/>
    <w:rsid w:val="00465222"/>
    <w:rsid w:val="00467A8F"/>
    <w:rsid w:val="0047086B"/>
    <w:rsid w:val="00471467"/>
    <w:rsid w:val="0047299D"/>
    <w:rsid w:val="0047653E"/>
    <w:rsid w:val="00477D98"/>
    <w:rsid w:val="0049012A"/>
    <w:rsid w:val="004A620F"/>
    <w:rsid w:val="004A6489"/>
    <w:rsid w:val="004B2ADA"/>
    <w:rsid w:val="004B3658"/>
    <w:rsid w:val="004B3694"/>
    <w:rsid w:val="004B4BD9"/>
    <w:rsid w:val="004B5A54"/>
    <w:rsid w:val="004B769E"/>
    <w:rsid w:val="004C4A2D"/>
    <w:rsid w:val="004E41E1"/>
    <w:rsid w:val="004E4392"/>
    <w:rsid w:val="004E472B"/>
    <w:rsid w:val="004E5C60"/>
    <w:rsid w:val="004E715B"/>
    <w:rsid w:val="004F00DD"/>
    <w:rsid w:val="004F306F"/>
    <w:rsid w:val="004F3E30"/>
    <w:rsid w:val="00504717"/>
    <w:rsid w:val="00510381"/>
    <w:rsid w:val="00513B6B"/>
    <w:rsid w:val="005232DA"/>
    <w:rsid w:val="00523614"/>
    <w:rsid w:val="0052399D"/>
    <w:rsid w:val="00530154"/>
    <w:rsid w:val="00532763"/>
    <w:rsid w:val="0054356A"/>
    <w:rsid w:val="0055211A"/>
    <w:rsid w:val="005622E4"/>
    <w:rsid w:val="005641C5"/>
    <w:rsid w:val="00565B47"/>
    <w:rsid w:val="005668DD"/>
    <w:rsid w:val="005715B0"/>
    <w:rsid w:val="00576775"/>
    <w:rsid w:val="00581CCC"/>
    <w:rsid w:val="00584252"/>
    <w:rsid w:val="0058740B"/>
    <w:rsid w:val="005904BA"/>
    <w:rsid w:val="005956E7"/>
    <w:rsid w:val="00597883"/>
    <w:rsid w:val="00597EC7"/>
    <w:rsid w:val="005A313C"/>
    <w:rsid w:val="005A3D41"/>
    <w:rsid w:val="005A5FF2"/>
    <w:rsid w:val="005A692E"/>
    <w:rsid w:val="005A6FA6"/>
    <w:rsid w:val="005B4FB3"/>
    <w:rsid w:val="005B7417"/>
    <w:rsid w:val="005B7425"/>
    <w:rsid w:val="005B7C41"/>
    <w:rsid w:val="005C2B02"/>
    <w:rsid w:val="005D1083"/>
    <w:rsid w:val="005D29ED"/>
    <w:rsid w:val="005D6076"/>
    <w:rsid w:val="005D6EBB"/>
    <w:rsid w:val="005D7C5C"/>
    <w:rsid w:val="005E3B8A"/>
    <w:rsid w:val="005E449F"/>
    <w:rsid w:val="005F21FB"/>
    <w:rsid w:val="005F3CAC"/>
    <w:rsid w:val="005F7FD2"/>
    <w:rsid w:val="00600B31"/>
    <w:rsid w:val="00600F95"/>
    <w:rsid w:val="006026E0"/>
    <w:rsid w:val="00610E41"/>
    <w:rsid w:val="00613714"/>
    <w:rsid w:val="00614D6D"/>
    <w:rsid w:val="006201B7"/>
    <w:rsid w:val="00630B28"/>
    <w:rsid w:val="006321E8"/>
    <w:rsid w:val="00633088"/>
    <w:rsid w:val="00634229"/>
    <w:rsid w:val="006435C4"/>
    <w:rsid w:val="00647F3C"/>
    <w:rsid w:val="006528A4"/>
    <w:rsid w:val="006530BC"/>
    <w:rsid w:val="00656BB1"/>
    <w:rsid w:val="00656F86"/>
    <w:rsid w:val="0065724A"/>
    <w:rsid w:val="006710AD"/>
    <w:rsid w:val="006766D6"/>
    <w:rsid w:val="00683E26"/>
    <w:rsid w:val="00693006"/>
    <w:rsid w:val="006A1AB8"/>
    <w:rsid w:val="006A5F97"/>
    <w:rsid w:val="006B3419"/>
    <w:rsid w:val="006B35DD"/>
    <w:rsid w:val="006B4F5F"/>
    <w:rsid w:val="006B63C7"/>
    <w:rsid w:val="006B6DED"/>
    <w:rsid w:val="006C0CF3"/>
    <w:rsid w:val="006C196C"/>
    <w:rsid w:val="006C23D4"/>
    <w:rsid w:val="006C3A4C"/>
    <w:rsid w:val="006C4A43"/>
    <w:rsid w:val="006C6139"/>
    <w:rsid w:val="006C63CD"/>
    <w:rsid w:val="006D3263"/>
    <w:rsid w:val="006D73A0"/>
    <w:rsid w:val="006E011A"/>
    <w:rsid w:val="006E01C2"/>
    <w:rsid w:val="006E1A27"/>
    <w:rsid w:val="006E2E2D"/>
    <w:rsid w:val="006E2E94"/>
    <w:rsid w:val="006E37AD"/>
    <w:rsid w:val="006F2473"/>
    <w:rsid w:val="006F2F69"/>
    <w:rsid w:val="006F34EA"/>
    <w:rsid w:val="006F6584"/>
    <w:rsid w:val="006F78A0"/>
    <w:rsid w:val="007004BF"/>
    <w:rsid w:val="00702EE5"/>
    <w:rsid w:val="00703EE2"/>
    <w:rsid w:val="007126CA"/>
    <w:rsid w:val="007336F4"/>
    <w:rsid w:val="00733E4C"/>
    <w:rsid w:val="0073439C"/>
    <w:rsid w:val="007428D3"/>
    <w:rsid w:val="0074551D"/>
    <w:rsid w:val="0075528B"/>
    <w:rsid w:val="00762A37"/>
    <w:rsid w:val="00766256"/>
    <w:rsid w:val="0078299B"/>
    <w:rsid w:val="0078496A"/>
    <w:rsid w:val="00786073"/>
    <w:rsid w:val="007870E4"/>
    <w:rsid w:val="007909F0"/>
    <w:rsid w:val="007916EA"/>
    <w:rsid w:val="00796841"/>
    <w:rsid w:val="00796911"/>
    <w:rsid w:val="007A37BB"/>
    <w:rsid w:val="007A550C"/>
    <w:rsid w:val="007B3580"/>
    <w:rsid w:val="007C27A2"/>
    <w:rsid w:val="007C3A33"/>
    <w:rsid w:val="007C7AAB"/>
    <w:rsid w:val="007D2873"/>
    <w:rsid w:val="007D6858"/>
    <w:rsid w:val="007E0856"/>
    <w:rsid w:val="007E11F6"/>
    <w:rsid w:val="007F1091"/>
    <w:rsid w:val="007F1883"/>
    <w:rsid w:val="007F294D"/>
    <w:rsid w:val="007F318E"/>
    <w:rsid w:val="0080070B"/>
    <w:rsid w:val="00801261"/>
    <w:rsid w:val="00802D25"/>
    <w:rsid w:val="00804B03"/>
    <w:rsid w:val="00811BA9"/>
    <w:rsid w:val="008147ED"/>
    <w:rsid w:val="0081495E"/>
    <w:rsid w:val="00820FD6"/>
    <w:rsid w:val="008227AF"/>
    <w:rsid w:val="00823ADA"/>
    <w:rsid w:val="00824434"/>
    <w:rsid w:val="00824870"/>
    <w:rsid w:val="008279B7"/>
    <w:rsid w:val="00831547"/>
    <w:rsid w:val="00833142"/>
    <w:rsid w:val="008353A1"/>
    <w:rsid w:val="00842028"/>
    <w:rsid w:val="00843881"/>
    <w:rsid w:val="00845BBE"/>
    <w:rsid w:val="008462AA"/>
    <w:rsid w:val="00852FDD"/>
    <w:rsid w:val="00857E99"/>
    <w:rsid w:val="00864D33"/>
    <w:rsid w:val="00866411"/>
    <w:rsid w:val="00870655"/>
    <w:rsid w:val="00875646"/>
    <w:rsid w:val="00885DC6"/>
    <w:rsid w:val="00886C6A"/>
    <w:rsid w:val="008914F7"/>
    <w:rsid w:val="00893342"/>
    <w:rsid w:val="00893DBD"/>
    <w:rsid w:val="00894828"/>
    <w:rsid w:val="00895B83"/>
    <w:rsid w:val="00896848"/>
    <w:rsid w:val="0089789C"/>
    <w:rsid w:val="008A3969"/>
    <w:rsid w:val="008B6AAA"/>
    <w:rsid w:val="008C4DAD"/>
    <w:rsid w:val="008D57E3"/>
    <w:rsid w:val="008D6CCC"/>
    <w:rsid w:val="008D6F8A"/>
    <w:rsid w:val="008E3F83"/>
    <w:rsid w:val="008F6D7F"/>
    <w:rsid w:val="00904E3F"/>
    <w:rsid w:val="00907935"/>
    <w:rsid w:val="00907970"/>
    <w:rsid w:val="00911250"/>
    <w:rsid w:val="009119D1"/>
    <w:rsid w:val="0091509E"/>
    <w:rsid w:val="00925037"/>
    <w:rsid w:val="00926849"/>
    <w:rsid w:val="00932A72"/>
    <w:rsid w:val="00934E35"/>
    <w:rsid w:val="009455F2"/>
    <w:rsid w:val="00950D5D"/>
    <w:rsid w:val="00951F06"/>
    <w:rsid w:val="0095580D"/>
    <w:rsid w:val="009666CD"/>
    <w:rsid w:val="00976381"/>
    <w:rsid w:val="00976CA6"/>
    <w:rsid w:val="00977EC3"/>
    <w:rsid w:val="00982DF5"/>
    <w:rsid w:val="0099584E"/>
    <w:rsid w:val="0099627B"/>
    <w:rsid w:val="009A560A"/>
    <w:rsid w:val="009B1131"/>
    <w:rsid w:val="009B22E9"/>
    <w:rsid w:val="009B2335"/>
    <w:rsid w:val="009C1321"/>
    <w:rsid w:val="009C49B0"/>
    <w:rsid w:val="009C59EE"/>
    <w:rsid w:val="009C62DE"/>
    <w:rsid w:val="009C7818"/>
    <w:rsid w:val="009D0C44"/>
    <w:rsid w:val="009D3C02"/>
    <w:rsid w:val="009D4C60"/>
    <w:rsid w:val="009D679A"/>
    <w:rsid w:val="009E4C4A"/>
    <w:rsid w:val="009E5C72"/>
    <w:rsid w:val="009F1517"/>
    <w:rsid w:val="009F37E0"/>
    <w:rsid w:val="00A00F51"/>
    <w:rsid w:val="00A06693"/>
    <w:rsid w:val="00A1551D"/>
    <w:rsid w:val="00A16A90"/>
    <w:rsid w:val="00A304D0"/>
    <w:rsid w:val="00A30865"/>
    <w:rsid w:val="00A30918"/>
    <w:rsid w:val="00A316D2"/>
    <w:rsid w:val="00A410D3"/>
    <w:rsid w:val="00A419A6"/>
    <w:rsid w:val="00A46025"/>
    <w:rsid w:val="00A50508"/>
    <w:rsid w:val="00A522CA"/>
    <w:rsid w:val="00A53268"/>
    <w:rsid w:val="00A572C3"/>
    <w:rsid w:val="00A65029"/>
    <w:rsid w:val="00A6680B"/>
    <w:rsid w:val="00A72D57"/>
    <w:rsid w:val="00A77A57"/>
    <w:rsid w:val="00A8435E"/>
    <w:rsid w:val="00A87012"/>
    <w:rsid w:val="00A875A2"/>
    <w:rsid w:val="00A94DD2"/>
    <w:rsid w:val="00A9667D"/>
    <w:rsid w:val="00A96BAE"/>
    <w:rsid w:val="00A96C21"/>
    <w:rsid w:val="00AA1FBD"/>
    <w:rsid w:val="00AA3FE1"/>
    <w:rsid w:val="00AA64E5"/>
    <w:rsid w:val="00AC4F75"/>
    <w:rsid w:val="00AC6A5B"/>
    <w:rsid w:val="00AD16BB"/>
    <w:rsid w:val="00AD66B2"/>
    <w:rsid w:val="00AD67FE"/>
    <w:rsid w:val="00AD77C2"/>
    <w:rsid w:val="00AE05E2"/>
    <w:rsid w:val="00AF29D5"/>
    <w:rsid w:val="00AF309C"/>
    <w:rsid w:val="00AF5167"/>
    <w:rsid w:val="00AF64D9"/>
    <w:rsid w:val="00B000A1"/>
    <w:rsid w:val="00B07960"/>
    <w:rsid w:val="00B102E4"/>
    <w:rsid w:val="00B119FC"/>
    <w:rsid w:val="00B1319F"/>
    <w:rsid w:val="00B15013"/>
    <w:rsid w:val="00B23463"/>
    <w:rsid w:val="00B4536C"/>
    <w:rsid w:val="00B53173"/>
    <w:rsid w:val="00B60403"/>
    <w:rsid w:val="00B630AB"/>
    <w:rsid w:val="00B6567A"/>
    <w:rsid w:val="00B657F7"/>
    <w:rsid w:val="00B65EE5"/>
    <w:rsid w:val="00B9015D"/>
    <w:rsid w:val="00B96AE3"/>
    <w:rsid w:val="00BA478A"/>
    <w:rsid w:val="00BB00B1"/>
    <w:rsid w:val="00BB16F7"/>
    <w:rsid w:val="00BB36C5"/>
    <w:rsid w:val="00BB3A59"/>
    <w:rsid w:val="00BB7684"/>
    <w:rsid w:val="00BC5843"/>
    <w:rsid w:val="00BC71E1"/>
    <w:rsid w:val="00BD1D4B"/>
    <w:rsid w:val="00BD2E7C"/>
    <w:rsid w:val="00BD5814"/>
    <w:rsid w:val="00BD77B9"/>
    <w:rsid w:val="00BE1795"/>
    <w:rsid w:val="00BE5BFF"/>
    <w:rsid w:val="00BE70A8"/>
    <w:rsid w:val="00BF0357"/>
    <w:rsid w:val="00C01BCA"/>
    <w:rsid w:val="00C0700C"/>
    <w:rsid w:val="00C207F2"/>
    <w:rsid w:val="00C22428"/>
    <w:rsid w:val="00C377BE"/>
    <w:rsid w:val="00C40080"/>
    <w:rsid w:val="00C4041F"/>
    <w:rsid w:val="00C409B8"/>
    <w:rsid w:val="00C501E0"/>
    <w:rsid w:val="00C50A4F"/>
    <w:rsid w:val="00C52E80"/>
    <w:rsid w:val="00C53B69"/>
    <w:rsid w:val="00C53DCF"/>
    <w:rsid w:val="00C55B45"/>
    <w:rsid w:val="00C66109"/>
    <w:rsid w:val="00C6627A"/>
    <w:rsid w:val="00C7299A"/>
    <w:rsid w:val="00C75015"/>
    <w:rsid w:val="00C76CC3"/>
    <w:rsid w:val="00C828D3"/>
    <w:rsid w:val="00C83C58"/>
    <w:rsid w:val="00C84D55"/>
    <w:rsid w:val="00C916D3"/>
    <w:rsid w:val="00C94088"/>
    <w:rsid w:val="00CA07E3"/>
    <w:rsid w:val="00CA133B"/>
    <w:rsid w:val="00CA29AA"/>
    <w:rsid w:val="00CA30DA"/>
    <w:rsid w:val="00CA6D35"/>
    <w:rsid w:val="00CB3611"/>
    <w:rsid w:val="00CB7665"/>
    <w:rsid w:val="00CC4161"/>
    <w:rsid w:val="00CC501A"/>
    <w:rsid w:val="00CC627C"/>
    <w:rsid w:val="00CD03F0"/>
    <w:rsid w:val="00CD29B4"/>
    <w:rsid w:val="00CD4129"/>
    <w:rsid w:val="00CD6A0A"/>
    <w:rsid w:val="00CD75F3"/>
    <w:rsid w:val="00CE60F8"/>
    <w:rsid w:val="00CF1E78"/>
    <w:rsid w:val="00D13C8E"/>
    <w:rsid w:val="00D2343E"/>
    <w:rsid w:val="00D27F47"/>
    <w:rsid w:val="00D30BD2"/>
    <w:rsid w:val="00D31310"/>
    <w:rsid w:val="00D3144A"/>
    <w:rsid w:val="00D32422"/>
    <w:rsid w:val="00D328E5"/>
    <w:rsid w:val="00D378F1"/>
    <w:rsid w:val="00D5691F"/>
    <w:rsid w:val="00D605DE"/>
    <w:rsid w:val="00D6250F"/>
    <w:rsid w:val="00D6710C"/>
    <w:rsid w:val="00D70CA0"/>
    <w:rsid w:val="00D70FD9"/>
    <w:rsid w:val="00D714DE"/>
    <w:rsid w:val="00D73735"/>
    <w:rsid w:val="00D739D0"/>
    <w:rsid w:val="00D84975"/>
    <w:rsid w:val="00DA0326"/>
    <w:rsid w:val="00DA6C0F"/>
    <w:rsid w:val="00DB1A7C"/>
    <w:rsid w:val="00DB49A9"/>
    <w:rsid w:val="00DC3F1C"/>
    <w:rsid w:val="00DD6262"/>
    <w:rsid w:val="00DE4BBE"/>
    <w:rsid w:val="00DF32A4"/>
    <w:rsid w:val="00DF334D"/>
    <w:rsid w:val="00DF4D05"/>
    <w:rsid w:val="00DF786B"/>
    <w:rsid w:val="00E02C5E"/>
    <w:rsid w:val="00E02C97"/>
    <w:rsid w:val="00E03B39"/>
    <w:rsid w:val="00E048C2"/>
    <w:rsid w:val="00E04EB8"/>
    <w:rsid w:val="00E051D4"/>
    <w:rsid w:val="00E15E79"/>
    <w:rsid w:val="00E17AB0"/>
    <w:rsid w:val="00E31D1B"/>
    <w:rsid w:val="00E3284C"/>
    <w:rsid w:val="00E3595E"/>
    <w:rsid w:val="00E40D52"/>
    <w:rsid w:val="00E42086"/>
    <w:rsid w:val="00E42DBE"/>
    <w:rsid w:val="00E4482F"/>
    <w:rsid w:val="00E53769"/>
    <w:rsid w:val="00E5510F"/>
    <w:rsid w:val="00E552C7"/>
    <w:rsid w:val="00E553C7"/>
    <w:rsid w:val="00E609FF"/>
    <w:rsid w:val="00E64620"/>
    <w:rsid w:val="00E65549"/>
    <w:rsid w:val="00E66733"/>
    <w:rsid w:val="00E67CEF"/>
    <w:rsid w:val="00E71B0E"/>
    <w:rsid w:val="00E82FF3"/>
    <w:rsid w:val="00E85C9A"/>
    <w:rsid w:val="00E86FCF"/>
    <w:rsid w:val="00EA1C51"/>
    <w:rsid w:val="00EB197B"/>
    <w:rsid w:val="00EB7644"/>
    <w:rsid w:val="00EC48D8"/>
    <w:rsid w:val="00ED486C"/>
    <w:rsid w:val="00ED7940"/>
    <w:rsid w:val="00EE7680"/>
    <w:rsid w:val="00EF0082"/>
    <w:rsid w:val="00EF4C41"/>
    <w:rsid w:val="00EF6F50"/>
    <w:rsid w:val="00F02FAD"/>
    <w:rsid w:val="00F069C4"/>
    <w:rsid w:val="00F10D2D"/>
    <w:rsid w:val="00F11C06"/>
    <w:rsid w:val="00F12456"/>
    <w:rsid w:val="00F21DA7"/>
    <w:rsid w:val="00F227A8"/>
    <w:rsid w:val="00F317D6"/>
    <w:rsid w:val="00F31FDA"/>
    <w:rsid w:val="00F36701"/>
    <w:rsid w:val="00F36E64"/>
    <w:rsid w:val="00F407EB"/>
    <w:rsid w:val="00F44407"/>
    <w:rsid w:val="00F45FD3"/>
    <w:rsid w:val="00F52022"/>
    <w:rsid w:val="00F55354"/>
    <w:rsid w:val="00F6061E"/>
    <w:rsid w:val="00F6378D"/>
    <w:rsid w:val="00F65EF4"/>
    <w:rsid w:val="00F66CD5"/>
    <w:rsid w:val="00F6767E"/>
    <w:rsid w:val="00F676F9"/>
    <w:rsid w:val="00F67F7C"/>
    <w:rsid w:val="00F717B3"/>
    <w:rsid w:val="00F72141"/>
    <w:rsid w:val="00F73ABC"/>
    <w:rsid w:val="00F837F4"/>
    <w:rsid w:val="00F87338"/>
    <w:rsid w:val="00FA0AB6"/>
    <w:rsid w:val="00FA39C3"/>
    <w:rsid w:val="00FA7521"/>
    <w:rsid w:val="00FB54C1"/>
    <w:rsid w:val="00FB75E9"/>
    <w:rsid w:val="00FC5F7B"/>
    <w:rsid w:val="00FC654A"/>
    <w:rsid w:val="00FD32C6"/>
    <w:rsid w:val="00FD47DD"/>
    <w:rsid w:val="00FD5BD1"/>
    <w:rsid w:val="00FE0BC0"/>
    <w:rsid w:val="00FE1027"/>
    <w:rsid w:val="00FE47D7"/>
    <w:rsid w:val="00FF0BDF"/>
    <w:rsid w:val="00FF0C77"/>
    <w:rsid w:val="00FF3FC2"/>
    <w:rsid w:val="011C64C5"/>
    <w:rsid w:val="01223C22"/>
    <w:rsid w:val="015D695B"/>
    <w:rsid w:val="018E0749"/>
    <w:rsid w:val="028F266C"/>
    <w:rsid w:val="02CD71FF"/>
    <w:rsid w:val="03EA27BA"/>
    <w:rsid w:val="04896BC8"/>
    <w:rsid w:val="04D96EC6"/>
    <w:rsid w:val="05191103"/>
    <w:rsid w:val="05B74D7C"/>
    <w:rsid w:val="05D37841"/>
    <w:rsid w:val="06C62671"/>
    <w:rsid w:val="072E2824"/>
    <w:rsid w:val="07C10B05"/>
    <w:rsid w:val="07C97140"/>
    <w:rsid w:val="09862F32"/>
    <w:rsid w:val="09955C3F"/>
    <w:rsid w:val="09DD4377"/>
    <w:rsid w:val="0A3D5DE5"/>
    <w:rsid w:val="0A671930"/>
    <w:rsid w:val="0A7F2967"/>
    <w:rsid w:val="0B0F385D"/>
    <w:rsid w:val="0B6A15C9"/>
    <w:rsid w:val="0BE243A6"/>
    <w:rsid w:val="0C2F3CA3"/>
    <w:rsid w:val="0D05549A"/>
    <w:rsid w:val="0D2D20A1"/>
    <w:rsid w:val="0D414A63"/>
    <w:rsid w:val="0D5B3418"/>
    <w:rsid w:val="0F5D34A6"/>
    <w:rsid w:val="0FCB6BEE"/>
    <w:rsid w:val="11E30406"/>
    <w:rsid w:val="12187CDC"/>
    <w:rsid w:val="12B46606"/>
    <w:rsid w:val="12CF12E6"/>
    <w:rsid w:val="137E5F01"/>
    <w:rsid w:val="13FB1B5A"/>
    <w:rsid w:val="143D01BE"/>
    <w:rsid w:val="16B7716C"/>
    <w:rsid w:val="16C44F84"/>
    <w:rsid w:val="16E747C3"/>
    <w:rsid w:val="17045F96"/>
    <w:rsid w:val="17457E73"/>
    <w:rsid w:val="18016502"/>
    <w:rsid w:val="18CD1FD7"/>
    <w:rsid w:val="19104852"/>
    <w:rsid w:val="195E137E"/>
    <w:rsid w:val="19D61F5A"/>
    <w:rsid w:val="1A5B5BFF"/>
    <w:rsid w:val="1A7D4307"/>
    <w:rsid w:val="1B467F14"/>
    <w:rsid w:val="1BA9186E"/>
    <w:rsid w:val="1BB127E8"/>
    <w:rsid w:val="1D7925BE"/>
    <w:rsid w:val="1DD329BE"/>
    <w:rsid w:val="1EC560D2"/>
    <w:rsid w:val="1F2708E9"/>
    <w:rsid w:val="1F8E073A"/>
    <w:rsid w:val="1F9256FF"/>
    <w:rsid w:val="1FA74241"/>
    <w:rsid w:val="2139124A"/>
    <w:rsid w:val="23E71BCE"/>
    <w:rsid w:val="2496091B"/>
    <w:rsid w:val="24FC1EB2"/>
    <w:rsid w:val="25804D38"/>
    <w:rsid w:val="25CD57B4"/>
    <w:rsid w:val="2732024B"/>
    <w:rsid w:val="27AE464B"/>
    <w:rsid w:val="27CA5A51"/>
    <w:rsid w:val="282E0ED2"/>
    <w:rsid w:val="288411E9"/>
    <w:rsid w:val="290F0E0E"/>
    <w:rsid w:val="29100043"/>
    <w:rsid w:val="29DF0E6B"/>
    <w:rsid w:val="2AD07B16"/>
    <w:rsid w:val="2B0A1C7F"/>
    <w:rsid w:val="2C56621A"/>
    <w:rsid w:val="2D2C6A63"/>
    <w:rsid w:val="2DC747E2"/>
    <w:rsid w:val="31BD7A58"/>
    <w:rsid w:val="32A22D99"/>
    <w:rsid w:val="34C72DF0"/>
    <w:rsid w:val="34E824DE"/>
    <w:rsid w:val="3585715B"/>
    <w:rsid w:val="35D35C4B"/>
    <w:rsid w:val="36CE2DA5"/>
    <w:rsid w:val="370F3F9C"/>
    <w:rsid w:val="37B962E6"/>
    <w:rsid w:val="381F694E"/>
    <w:rsid w:val="38452C1C"/>
    <w:rsid w:val="389C1E37"/>
    <w:rsid w:val="39416CA6"/>
    <w:rsid w:val="39F74B16"/>
    <w:rsid w:val="3A2F254C"/>
    <w:rsid w:val="3A323902"/>
    <w:rsid w:val="3A722B49"/>
    <w:rsid w:val="3B9A793E"/>
    <w:rsid w:val="3BE21B18"/>
    <w:rsid w:val="3CA302E4"/>
    <w:rsid w:val="3CEC165C"/>
    <w:rsid w:val="3DB559F5"/>
    <w:rsid w:val="3E0C384E"/>
    <w:rsid w:val="3E1344A3"/>
    <w:rsid w:val="3E3732F1"/>
    <w:rsid w:val="3F425832"/>
    <w:rsid w:val="3F824308"/>
    <w:rsid w:val="3FDD2DC9"/>
    <w:rsid w:val="3FFE2830"/>
    <w:rsid w:val="41197D66"/>
    <w:rsid w:val="419B4B6B"/>
    <w:rsid w:val="41A801FB"/>
    <w:rsid w:val="42334BB5"/>
    <w:rsid w:val="42516B82"/>
    <w:rsid w:val="425D1B00"/>
    <w:rsid w:val="43B45727"/>
    <w:rsid w:val="442E5DEC"/>
    <w:rsid w:val="446F2C5F"/>
    <w:rsid w:val="44E87784"/>
    <w:rsid w:val="44FE772F"/>
    <w:rsid w:val="4563543D"/>
    <w:rsid w:val="46301B51"/>
    <w:rsid w:val="46DD62B6"/>
    <w:rsid w:val="46F27D24"/>
    <w:rsid w:val="472F6F8F"/>
    <w:rsid w:val="47B31873"/>
    <w:rsid w:val="47DB0330"/>
    <w:rsid w:val="47E355D4"/>
    <w:rsid w:val="482E616A"/>
    <w:rsid w:val="48CF4C73"/>
    <w:rsid w:val="4906162D"/>
    <w:rsid w:val="494922C4"/>
    <w:rsid w:val="4A5676C5"/>
    <w:rsid w:val="4AB35440"/>
    <w:rsid w:val="4C541A63"/>
    <w:rsid w:val="4CC43432"/>
    <w:rsid w:val="4CE94821"/>
    <w:rsid w:val="4CF94EB0"/>
    <w:rsid w:val="4D37758A"/>
    <w:rsid w:val="4D691BE3"/>
    <w:rsid w:val="4DAB575E"/>
    <w:rsid w:val="4F15473E"/>
    <w:rsid w:val="4F3407E2"/>
    <w:rsid w:val="4FCB4381"/>
    <w:rsid w:val="4FCC0205"/>
    <w:rsid w:val="50D327D8"/>
    <w:rsid w:val="51E81F7A"/>
    <w:rsid w:val="529C25DC"/>
    <w:rsid w:val="52DD2F05"/>
    <w:rsid w:val="530B2DF5"/>
    <w:rsid w:val="53A20F16"/>
    <w:rsid w:val="53C523AE"/>
    <w:rsid w:val="542142D0"/>
    <w:rsid w:val="54440B81"/>
    <w:rsid w:val="544777F1"/>
    <w:rsid w:val="54547704"/>
    <w:rsid w:val="54FE4BE1"/>
    <w:rsid w:val="556A4D30"/>
    <w:rsid w:val="56165950"/>
    <w:rsid w:val="5691244C"/>
    <w:rsid w:val="5699641C"/>
    <w:rsid w:val="56C77002"/>
    <w:rsid w:val="57E72E70"/>
    <w:rsid w:val="58233C18"/>
    <w:rsid w:val="586019F2"/>
    <w:rsid w:val="58787BCC"/>
    <w:rsid w:val="58DA5965"/>
    <w:rsid w:val="5B633DAA"/>
    <w:rsid w:val="5BB12D0B"/>
    <w:rsid w:val="5BC80C6C"/>
    <w:rsid w:val="5D9F0A26"/>
    <w:rsid w:val="5DA27C6B"/>
    <w:rsid w:val="5DA34FDD"/>
    <w:rsid w:val="5DD07BE1"/>
    <w:rsid w:val="5E5C1CFA"/>
    <w:rsid w:val="5F386EEF"/>
    <w:rsid w:val="5F41215F"/>
    <w:rsid w:val="5F494D86"/>
    <w:rsid w:val="6019183C"/>
    <w:rsid w:val="60482725"/>
    <w:rsid w:val="60923E1F"/>
    <w:rsid w:val="60E17894"/>
    <w:rsid w:val="619C5C7D"/>
    <w:rsid w:val="62073DB5"/>
    <w:rsid w:val="62F66DBB"/>
    <w:rsid w:val="65433E58"/>
    <w:rsid w:val="6557243B"/>
    <w:rsid w:val="65605F83"/>
    <w:rsid w:val="65B77C5C"/>
    <w:rsid w:val="663012BB"/>
    <w:rsid w:val="66B456DC"/>
    <w:rsid w:val="66C36107"/>
    <w:rsid w:val="66EB430A"/>
    <w:rsid w:val="67175AFB"/>
    <w:rsid w:val="698F0231"/>
    <w:rsid w:val="6A1845BE"/>
    <w:rsid w:val="6B0D15D5"/>
    <w:rsid w:val="6B111D74"/>
    <w:rsid w:val="6B143EA6"/>
    <w:rsid w:val="6C1870ED"/>
    <w:rsid w:val="6F143A13"/>
    <w:rsid w:val="6FFD761E"/>
    <w:rsid w:val="7096639D"/>
    <w:rsid w:val="71C477D6"/>
    <w:rsid w:val="71CE68FD"/>
    <w:rsid w:val="742A559B"/>
    <w:rsid w:val="745C5BFA"/>
    <w:rsid w:val="74774517"/>
    <w:rsid w:val="752D7166"/>
    <w:rsid w:val="75EF501B"/>
    <w:rsid w:val="769C40F5"/>
    <w:rsid w:val="76A06FF7"/>
    <w:rsid w:val="770E3AE0"/>
    <w:rsid w:val="774038F6"/>
    <w:rsid w:val="7799044A"/>
    <w:rsid w:val="78A152F8"/>
    <w:rsid w:val="79C74BE8"/>
    <w:rsid w:val="79E739AD"/>
    <w:rsid w:val="7A977862"/>
    <w:rsid w:val="7B2D14E0"/>
    <w:rsid w:val="7C433089"/>
    <w:rsid w:val="7C616764"/>
    <w:rsid w:val="7C707F2D"/>
    <w:rsid w:val="7CAE5CA4"/>
    <w:rsid w:val="7CD402C1"/>
    <w:rsid w:val="7CF44046"/>
    <w:rsid w:val="7D6A2E10"/>
    <w:rsid w:val="7DA608F5"/>
    <w:rsid w:val="7DF44A59"/>
    <w:rsid w:val="7E543F9F"/>
    <w:rsid w:val="7E9543A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ocked="1"/>
    <w:lsdException w:unhideWhenUsed="0" w:uiPriority="0" w:semiHidden="0" w:name="Emphasis" w:locked="1"/>
    <w:lsdException w:qFormat="1" w:unhideWhenUsed="0"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60" w:lineRule="exact"/>
      <w:ind w:firstLine="200" w:firstLineChars="200"/>
      <w:jc w:val="both"/>
    </w:pPr>
    <w:rPr>
      <w:rFonts w:ascii="Times New Roman" w:hAnsi="Times New Roman" w:eastAsia="仿宋_GB2312" w:cs="Times New Roman"/>
      <w:kern w:val="2"/>
      <w:sz w:val="28"/>
      <w:szCs w:val="21"/>
      <w:lang w:val="en-US" w:eastAsia="zh-CN" w:bidi="ar-SA"/>
    </w:rPr>
  </w:style>
  <w:style w:type="paragraph" w:styleId="2">
    <w:name w:val="heading 1"/>
    <w:next w:val="1"/>
    <w:link w:val="20"/>
    <w:qFormat/>
    <w:locked/>
    <w:uiPriority w:val="99"/>
    <w:pPr>
      <w:keepNext/>
      <w:keepLines/>
      <w:spacing w:line="560" w:lineRule="exact"/>
      <w:ind w:firstLine="200" w:firstLineChars="200"/>
      <w:jc w:val="both"/>
      <w:outlineLvl w:val="0"/>
    </w:pPr>
    <w:rPr>
      <w:rFonts w:ascii="Times New Roman" w:hAnsi="Times New Roman" w:eastAsia="黑体" w:cs="Times New Roman"/>
      <w:kern w:val="44"/>
      <w:sz w:val="28"/>
      <w:szCs w:val="32"/>
      <w:lang w:val="en-US" w:eastAsia="zh-CN" w:bidi="ar-SA"/>
    </w:rPr>
  </w:style>
  <w:style w:type="paragraph" w:styleId="3">
    <w:name w:val="heading 2"/>
    <w:next w:val="1"/>
    <w:link w:val="40"/>
    <w:unhideWhenUsed/>
    <w:qFormat/>
    <w:locked/>
    <w:uiPriority w:val="0"/>
    <w:pPr>
      <w:keepNext/>
      <w:keepLines/>
      <w:spacing w:line="560" w:lineRule="exact"/>
      <w:ind w:firstLine="1878" w:firstLineChars="200"/>
      <w:jc w:val="both"/>
      <w:outlineLvl w:val="1"/>
    </w:pPr>
    <w:rPr>
      <w:rFonts w:ascii="Times New Roman" w:hAnsi="Times New Roman" w:eastAsia="楷体_GB2312" w:cs="Times New Roman"/>
      <w:bCs/>
      <w:sz w:val="28"/>
      <w:szCs w:val="32"/>
      <w:lang w:val="en-US" w:eastAsia="zh-CN" w:bidi="ar-SA"/>
    </w:rPr>
  </w:style>
  <w:style w:type="paragraph" w:styleId="4">
    <w:name w:val="heading 3"/>
    <w:next w:val="1"/>
    <w:link w:val="43"/>
    <w:unhideWhenUsed/>
    <w:qFormat/>
    <w:locked/>
    <w:uiPriority w:val="0"/>
    <w:pPr>
      <w:keepNext/>
      <w:keepLines/>
      <w:spacing w:line="560" w:lineRule="exact"/>
      <w:ind w:firstLine="562" w:firstLineChars="200"/>
      <w:jc w:val="both"/>
      <w:outlineLvl w:val="2"/>
    </w:pPr>
    <w:rPr>
      <w:rFonts w:ascii="Times New Roman" w:hAnsi="Times New Roman" w:eastAsia="仿宋_GB2312" w:cs="Times New Roman"/>
      <w:b/>
      <w:bCs/>
      <w:kern w:val="2"/>
      <w:sz w:val="28"/>
      <w:szCs w:val="32"/>
      <w:lang w:val="en-US" w:eastAsia="zh-CN" w:bidi="ar-SA"/>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1"/>
    <w:semiHidden/>
    <w:qFormat/>
    <w:uiPriority w:val="99"/>
    <w:rPr>
      <w:rFonts w:ascii="宋体" w:cs="宋体"/>
      <w:sz w:val="18"/>
      <w:szCs w:val="18"/>
    </w:rPr>
  </w:style>
  <w:style w:type="paragraph" w:styleId="6">
    <w:name w:val="annotation text"/>
    <w:basedOn w:val="1"/>
    <w:semiHidden/>
    <w:unhideWhenUsed/>
    <w:qFormat/>
    <w:uiPriority w:val="99"/>
    <w:pPr>
      <w:jc w:val="left"/>
    </w:pPr>
  </w:style>
  <w:style w:type="paragraph" w:styleId="7">
    <w:name w:val="toc 3"/>
    <w:basedOn w:val="1"/>
    <w:next w:val="1"/>
    <w:qFormat/>
    <w:locked/>
    <w:uiPriority w:val="39"/>
    <w:pPr>
      <w:ind w:left="840" w:leftChars="400"/>
    </w:pPr>
  </w:style>
  <w:style w:type="paragraph" w:styleId="8">
    <w:name w:val="footer"/>
    <w:basedOn w:val="1"/>
    <w:link w:val="22"/>
    <w:qFormat/>
    <w:uiPriority w:val="99"/>
    <w:pPr>
      <w:tabs>
        <w:tab w:val="center" w:pos="4153"/>
        <w:tab w:val="right" w:pos="8306"/>
      </w:tabs>
      <w:jc w:val="left"/>
    </w:pPr>
    <w:rPr>
      <w:sz w:val="18"/>
      <w:szCs w:val="18"/>
    </w:rPr>
  </w:style>
  <w:style w:type="paragraph" w:styleId="9">
    <w:name w:val="header"/>
    <w:basedOn w:val="1"/>
    <w:link w:val="23"/>
    <w:qFormat/>
    <w:uiPriority w:val="99"/>
    <w:pPr>
      <w:pBdr>
        <w:bottom w:val="single" w:color="auto" w:sz="6" w:space="1"/>
      </w:pBdr>
      <w:tabs>
        <w:tab w:val="center" w:pos="4153"/>
        <w:tab w:val="right" w:pos="8306"/>
      </w:tabs>
      <w:jc w:val="center"/>
    </w:pPr>
    <w:rPr>
      <w:sz w:val="18"/>
      <w:szCs w:val="18"/>
    </w:rPr>
  </w:style>
  <w:style w:type="paragraph" w:styleId="10">
    <w:name w:val="toc 1"/>
    <w:basedOn w:val="1"/>
    <w:next w:val="1"/>
    <w:qFormat/>
    <w:locked/>
    <w:uiPriority w:val="39"/>
  </w:style>
  <w:style w:type="paragraph" w:styleId="11">
    <w:name w:val="toc 2"/>
    <w:basedOn w:val="1"/>
    <w:next w:val="1"/>
    <w:qFormat/>
    <w:locked/>
    <w:uiPriority w:val="39"/>
    <w:pPr>
      <w:ind w:left="420" w:leftChars="200"/>
    </w:pPr>
  </w:style>
  <w:style w:type="paragraph" w:styleId="12">
    <w:name w:val="Normal (Web)"/>
    <w:basedOn w:val="1"/>
    <w:semiHidden/>
    <w:qFormat/>
    <w:uiPriority w:val="99"/>
    <w:pPr>
      <w:widowControl/>
      <w:spacing w:before="100" w:beforeAutospacing="1" w:after="100" w:afterAutospacing="1"/>
      <w:jc w:val="left"/>
    </w:pPr>
    <w:rPr>
      <w:rFonts w:ascii="宋体" w:hAnsi="宋体" w:cs="宋体"/>
      <w:kern w:val="0"/>
      <w:szCs w:val="24"/>
    </w:rPr>
  </w:style>
  <w:style w:type="paragraph" w:styleId="13">
    <w:name w:val="Title"/>
    <w:basedOn w:val="1"/>
    <w:next w:val="1"/>
    <w:link w:val="41"/>
    <w:qFormat/>
    <w:locked/>
    <w:uiPriority w:val="0"/>
    <w:pPr>
      <w:spacing w:before="240" w:after="60"/>
      <w:jc w:val="center"/>
      <w:outlineLvl w:val="0"/>
    </w:pPr>
    <w:rPr>
      <w:rFonts w:ascii="Cambria" w:hAnsi="Cambria"/>
      <w:b/>
      <w:bCs/>
      <w:sz w:val="32"/>
      <w:szCs w:val="32"/>
    </w:rPr>
  </w:style>
  <w:style w:type="table" w:styleId="15">
    <w:name w:val="Table Grid"/>
    <w:basedOn w:val="1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qFormat/>
    <w:locked/>
    <w:uiPriority w:val="22"/>
    <w:rPr>
      <w:b/>
      <w:bCs/>
    </w:rPr>
  </w:style>
  <w:style w:type="character" w:styleId="18">
    <w:name w:val="Hyperlink"/>
    <w:qFormat/>
    <w:uiPriority w:val="99"/>
    <w:rPr>
      <w:rFonts w:cs="Times New Roman"/>
      <w:color w:val="0000FF"/>
      <w:u w:val="single"/>
    </w:rPr>
  </w:style>
  <w:style w:type="character" w:styleId="19">
    <w:name w:val="annotation reference"/>
    <w:semiHidden/>
    <w:unhideWhenUsed/>
    <w:qFormat/>
    <w:uiPriority w:val="99"/>
    <w:rPr>
      <w:sz w:val="21"/>
      <w:szCs w:val="21"/>
    </w:rPr>
  </w:style>
  <w:style w:type="character" w:customStyle="1" w:styleId="20">
    <w:name w:val="标题 1 字符"/>
    <w:link w:val="2"/>
    <w:qFormat/>
    <w:locked/>
    <w:uiPriority w:val="99"/>
    <w:rPr>
      <w:rFonts w:eastAsia="黑体"/>
      <w:kern w:val="44"/>
      <w:sz w:val="28"/>
      <w:szCs w:val="32"/>
    </w:rPr>
  </w:style>
  <w:style w:type="character" w:customStyle="1" w:styleId="21">
    <w:name w:val="文档结构图 字符"/>
    <w:link w:val="5"/>
    <w:semiHidden/>
    <w:qFormat/>
    <w:locked/>
    <w:uiPriority w:val="99"/>
    <w:rPr>
      <w:rFonts w:ascii="宋体" w:eastAsia="宋体" w:cs="宋体"/>
      <w:sz w:val="18"/>
      <w:szCs w:val="18"/>
    </w:rPr>
  </w:style>
  <w:style w:type="character" w:customStyle="1" w:styleId="22">
    <w:name w:val="页脚 字符"/>
    <w:link w:val="8"/>
    <w:qFormat/>
    <w:locked/>
    <w:uiPriority w:val="99"/>
    <w:rPr>
      <w:rFonts w:cs="Times New Roman"/>
      <w:sz w:val="18"/>
      <w:szCs w:val="18"/>
    </w:rPr>
  </w:style>
  <w:style w:type="character" w:customStyle="1" w:styleId="23">
    <w:name w:val="页眉 字符"/>
    <w:link w:val="9"/>
    <w:qFormat/>
    <w:locked/>
    <w:uiPriority w:val="99"/>
    <w:rPr>
      <w:rFonts w:cs="Times New Roman"/>
      <w:sz w:val="18"/>
      <w:szCs w:val="18"/>
    </w:rPr>
  </w:style>
  <w:style w:type="paragraph" w:styleId="24">
    <w:name w:val="List Paragraph"/>
    <w:basedOn w:val="1"/>
    <w:qFormat/>
    <w:uiPriority w:val="99"/>
    <w:pPr>
      <w:ind w:firstLine="420"/>
    </w:pPr>
  </w:style>
  <w:style w:type="paragraph" w:customStyle="1" w:styleId="25">
    <w:name w:val="p0"/>
    <w:basedOn w:val="1"/>
    <w:qFormat/>
    <w:uiPriority w:val="99"/>
    <w:pPr>
      <w:widowControl/>
    </w:pPr>
    <w:rPr>
      <w:kern w:val="0"/>
    </w:rPr>
  </w:style>
  <w:style w:type="paragraph" w:customStyle="1" w:styleId="26">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character" w:customStyle="1" w:styleId="27">
    <w:name w:val="发布"/>
    <w:qFormat/>
    <w:uiPriority w:val="0"/>
    <w:rPr>
      <w:rFonts w:ascii="黑体" w:eastAsia="黑体"/>
      <w:spacing w:val="85"/>
      <w:w w:val="100"/>
      <w:position w:val="3"/>
      <w:sz w:val="28"/>
      <w:szCs w:val="28"/>
    </w:rPr>
  </w:style>
  <w:style w:type="paragraph" w:customStyle="1" w:styleId="2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29">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0">
    <w:name w:val="封面标准英文名称"/>
    <w:basedOn w:val="29"/>
    <w:qFormat/>
    <w:uiPriority w:val="0"/>
    <w:pPr>
      <w:framePr w:wrap="around"/>
      <w:spacing w:before="370" w:line="400" w:lineRule="exact"/>
    </w:pPr>
    <w:rPr>
      <w:rFonts w:ascii="Times New Roman"/>
      <w:sz w:val="28"/>
      <w:szCs w:val="28"/>
    </w:rPr>
  </w:style>
  <w:style w:type="paragraph" w:customStyle="1" w:styleId="31">
    <w:name w:val="封面一致性程度标识"/>
    <w:basedOn w:val="30"/>
    <w:qFormat/>
    <w:uiPriority w:val="0"/>
    <w:pPr>
      <w:framePr w:wrap="around"/>
      <w:spacing w:before="440"/>
    </w:pPr>
    <w:rPr>
      <w:rFonts w:ascii="宋体" w:eastAsia="宋体"/>
    </w:rPr>
  </w:style>
  <w:style w:type="paragraph" w:customStyle="1" w:styleId="32">
    <w:name w:val="封面标准文稿类别"/>
    <w:basedOn w:val="31"/>
    <w:qFormat/>
    <w:uiPriority w:val="0"/>
    <w:pPr>
      <w:framePr w:wrap="around"/>
      <w:spacing w:after="160" w:line="240" w:lineRule="auto"/>
    </w:pPr>
    <w:rPr>
      <w:sz w:val="24"/>
    </w:rPr>
  </w:style>
  <w:style w:type="paragraph" w:customStyle="1" w:styleId="33">
    <w:name w:val="封面标准文稿编辑信息"/>
    <w:basedOn w:val="32"/>
    <w:qFormat/>
    <w:uiPriority w:val="0"/>
    <w:pPr>
      <w:framePr w:wrap="around"/>
      <w:spacing w:before="180" w:line="180" w:lineRule="exact"/>
    </w:pPr>
    <w:rPr>
      <w:sz w:val="21"/>
    </w:rPr>
  </w:style>
  <w:style w:type="paragraph" w:customStyle="1" w:styleId="34">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5">
    <w:name w:val="其他发布部门"/>
    <w:basedOn w:val="1"/>
    <w:qFormat/>
    <w:uiPriority w:val="0"/>
    <w:pPr>
      <w:framePr w:w="7938" w:h="1134" w:hRule="exact" w:hSpace="125" w:vSpace="181" w:wrap="around" w:vAnchor="page" w:hAnchor="page" w:x="2150" w:y="15310" w:anchorLock="1"/>
      <w:widowControl/>
      <w:spacing w:line="0" w:lineRule="atLeast"/>
      <w:jc w:val="center"/>
    </w:pPr>
    <w:rPr>
      <w:rFonts w:ascii="黑体" w:eastAsia="黑体"/>
      <w:spacing w:val="20"/>
      <w:w w:val="135"/>
      <w:kern w:val="0"/>
      <w:szCs w:val="20"/>
    </w:rPr>
  </w:style>
  <w:style w:type="paragraph" w:customStyle="1" w:styleId="36">
    <w:name w:val="其他发布日期"/>
    <w:basedOn w:val="1"/>
    <w:qFormat/>
    <w:uiPriority w:val="0"/>
    <w:pPr>
      <w:framePr w:w="3997" w:h="471" w:hRule="exact" w:vSpace="181" w:wrap="around" w:vAnchor="page" w:hAnchor="page" w:x="1419" w:y="14097" w:anchorLock="1"/>
      <w:widowControl/>
      <w:jc w:val="left"/>
    </w:pPr>
    <w:rPr>
      <w:rFonts w:eastAsia="黑体"/>
      <w:kern w:val="0"/>
      <w:szCs w:val="20"/>
    </w:rPr>
  </w:style>
  <w:style w:type="paragraph" w:customStyle="1" w:styleId="37">
    <w:name w:val="其他实施日期"/>
    <w:basedOn w:val="1"/>
    <w:qFormat/>
    <w:uiPriority w:val="0"/>
    <w:pPr>
      <w:framePr w:w="3997" w:h="471" w:hRule="exact" w:vSpace="181" w:wrap="around" w:vAnchor="page" w:hAnchor="page" w:x="7089" w:y="14097" w:anchorLock="1"/>
      <w:widowControl/>
      <w:jc w:val="right"/>
    </w:pPr>
    <w:rPr>
      <w:rFonts w:eastAsia="黑体"/>
      <w:kern w:val="0"/>
      <w:szCs w:val="20"/>
    </w:rPr>
  </w:style>
  <w:style w:type="paragraph" w:customStyle="1" w:styleId="38">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table" w:customStyle="1" w:styleId="39">
    <w:name w:val="Table Normal"/>
    <w:semiHidden/>
    <w:unhideWhenUsed/>
    <w:qFormat/>
    <w:uiPriority w:val="0"/>
    <w:tblPr>
      <w:tblCellMar>
        <w:top w:w="0" w:type="dxa"/>
        <w:left w:w="0" w:type="dxa"/>
        <w:bottom w:w="0" w:type="dxa"/>
        <w:right w:w="0" w:type="dxa"/>
      </w:tblCellMar>
    </w:tblPr>
  </w:style>
  <w:style w:type="character" w:customStyle="1" w:styleId="40">
    <w:name w:val="标题 2 字符"/>
    <w:link w:val="3"/>
    <w:qFormat/>
    <w:uiPriority w:val="0"/>
    <w:rPr>
      <w:rFonts w:ascii="Times New Roman" w:hAnsi="Times New Roman" w:eastAsia="楷体_GB2312" w:cs="Times New Roman"/>
      <w:bCs/>
      <w:kern w:val="2"/>
      <w:sz w:val="28"/>
      <w:szCs w:val="32"/>
    </w:rPr>
  </w:style>
  <w:style w:type="character" w:customStyle="1" w:styleId="41">
    <w:name w:val="标题 字符"/>
    <w:link w:val="13"/>
    <w:qFormat/>
    <w:uiPriority w:val="0"/>
    <w:rPr>
      <w:rFonts w:ascii="Cambria" w:hAnsi="Cambria" w:cs="Times New Roman"/>
      <w:b/>
      <w:bCs/>
      <w:kern w:val="2"/>
      <w:sz w:val="32"/>
      <w:szCs w:val="32"/>
    </w:rPr>
  </w:style>
  <w:style w:type="character" w:customStyle="1" w:styleId="42">
    <w:name w:val="未处理的提及1"/>
    <w:semiHidden/>
    <w:unhideWhenUsed/>
    <w:qFormat/>
    <w:uiPriority w:val="99"/>
    <w:rPr>
      <w:color w:val="605E5C"/>
      <w:shd w:val="clear" w:color="auto" w:fill="E1DFDD"/>
    </w:rPr>
  </w:style>
  <w:style w:type="character" w:customStyle="1" w:styleId="43">
    <w:name w:val="标题 3 字符"/>
    <w:link w:val="4"/>
    <w:qFormat/>
    <w:uiPriority w:val="0"/>
    <w:rPr>
      <w:rFonts w:eastAsia="仿宋_GB2312"/>
      <w:b/>
      <w:bCs/>
      <w:kern w:val="2"/>
      <w:sz w:val="28"/>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image" Target="media/image9.emf"/><Relationship Id="rId34" Type="http://schemas.openxmlformats.org/officeDocument/2006/relationships/image" Target="media/image8.emf"/><Relationship Id="rId33" Type="http://schemas.openxmlformats.org/officeDocument/2006/relationships/oleObject" Target="embeddings/oleObject4.bin"/><Relationship Id="rId32" Type="http://schemas.openxmlformats.org/officeDocument/2006/relationships/image" Target="media/image7.emf"/><Relationship Id="rId31" Type="http://schemas.openxmlformats.org/officeDocument/2006/relationships/oleObject" Target="embeddings/oleObject3.bin"/><Relationship Id="rId30" Type="http://schemas.openxmlformats.org/officeDocument/2006/relationships/image" Target="media/image6.e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5.emf"/><Relationship Id="rId27" Type="http://schemas.openxmlformats.org/officeDocument/2006/relationships/oleObject" Target="embeddings/oleObject1.bin"/><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58</Pages>
  <Words>19745</Words>
  <Characters>21219</Characters>
  <Lines>185</Lines>
  <Paragraphs>52</Paragraphs>
  <TotalTime>5</TotalTime>
  <ScaleCrop>false</ScaleCrop>
  <LinksUpToDate>false</LinksUpToDate>
  <CharactersWithSpaces>21643</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2018-08-23T02:47:00Z</dcterms:created>
  <dc:creator>dell</dc:creator>
  <cp:lastModifiedBy>Administrator</cp:lastModifiedBy>
  <cp:lastPrinted>2023-06-27T06:26:00Z</cp:lastPrinted>
  <dcterms:modified xsi:type="dcterms:W3CDTF">2023-07-26T07:01:37Z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8942368366534F409ABD8CDC78E943ED_13</vt:lpwstr>
  </property>
</Properties>
</file>