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0" w:lineRule="atLeast"/>
        <w:rPr>
          <w:rFonts w:ascii="黑体" w:hAnsi="黑体" w:eastAsia="黑体" w:cs="黑体"/>
        </w:rPr>
      </w:pPr>
      <w:r>
        <w:rPr>
          <w:rFonts w:hint="eastAsia" w:ascii="黑体" w:hAnsi="黑体" w:eastAsia="黑体" w:cs="黑体"/>
        </w:rPr>
        <w:t>附件</w:t>
      </w:r>
      <w:r>
        <w:rPr>
          <w:rFonts w:ascii="Times New Roman" w:hAnsi="Times New Roman" w:eastAsia="黑体" w:cs="Times New Roman"/>
        </w:rPr>
        <w:t>2</w:t>
      </w:r>
    </w:p>
    <w:p>
      <w:pPr>
        <w:adjustRightInd w:val="0"/>
        <w:snapToGrid w:val="0"/>
        <w:spacing w:line="0" w:lineRule="atLeast"/>
        <w:rPr>
          <w:rFonts w:ascii="黑体" w:hAnsi="黑体" w:eastAsia="黑体" w:cs="黑体"/>
        </w:rPr>
      </w:pPr>
    </w:p>
    <w:tbl>
      <w:tblPr>
        <w:tblStyle w:val="10"/>
        <w:tblW w:w="12760" w:type="dxa"/>
        <w:tblInd w:w="0" w:type="dxa"/>
        <w:tblLayout w:type="fixed"/>
        <w:tblCellMar>
          <w:top w:w="0" w:type="dxa"/>
          <w:left w:w="0" w:type="dxa"/>
          <w:bottom w:w="0" w:type="dxa"/>
          <w:right w:w="0" w:type="dxa"/>
        </w:tblCellMar>
      </w:tblPr>
      <w:tblGrid>
        <w:gridCol w:w="459"/>
        <w:gridCol w:w="2338"/>
        <w:gridCol w:w="6195"/>
        <w:gridCol w:w="1103"/>
        <w:gridCol w:w="1311"/>
        <w:gridCol w:w="1354"/>
      </w:tblGrid>
      <w:tr>
        <w:tblPrEx>
          <w:tblLayout w:type="fixed"/>
          <w:tblCellMar>
            <w:top w:w="0" w:type="dxa"/>
            <w:left w:w="0" w:type="dxa"/>
            <w:bottom w:w="0" w:type="dxa"/>
            <w:right w:w="0" w:type="dxa"/>
          </w:tblCellMar>
        </w:tblPrEx>
        <w:trPr>
          <w:trHeight w:val="948" w:hRule="atLeast"/>
        </w:trPr>
        <w:tc>
          <w:tcPr>
            <w:tcW w:w="12760" w:type="dxa"/>
            <w:gridSpan w:val="6"/>
            <w:tcBorders>
              <w:top w:val="nil"/>
              <w:left w:val="nil"/>
              <w:bottom w:val="nil"/>
              <w:right w:val="nil"/>
            </w:tcBorders>
            <w:shd w:val="clear" w:color="auto" w:fill="auto"/>
            <w:tcMar>
              <w:top w:w="15" w:type="dxa"/>
              <w:left w:w="15" w:type="dxa"/>
              <w:right w:w="15" w:type="dxa"/>
            </w:tcMar>
            <w:vAlign w:val="center"/>
          </w:tcPr>
          <w:p>
            <w:pPr>
              <w:widowControl/>
              <w:spacing w:line="0" w:lineRule="atLeast"/>
              <w:jc w:val="center"/>
              <w:textAlignment w:val="center"/>
              <w:rPr>
                <w:rFonts w:ascii="方正小标宋简体" w:hAnsi="方正小标宋简体" w:eastAsia="方正小标宋简体" w:cs="方正小标宋简体"/>
                <w:color w:val="000000"/>
                <w:sz w:val="42"/>
                <w:szCs w:val="42"/>
              </w:rPr>
            </w:pPr>
            <w:r>
              <w:rPr>
                <w:rFonts w:hint="eastAsia" w:ascii="方正小标宋简体" w:hAnsi="方正小标宋简体" w:eastAsia="方正小标宋简体" w:cs="方正小标宋简体"/>
                <w:color w:val="000000"/>
                <w:kern w:val="0"/>
                <w:sz w:val="42"/>
                <w:szCs w:val="42"/>
                <w:lang w:bidi="ar"/>
              </w:rPr>
              <w:t>云南省复制推广营商环境创新试点改革举措事项清单（安宁市）</w:t>
            </w:r>
          </w:p>
        </w:tc>
      </w:tr>
      <w:tr>
        <w:tblPrEx>
          <w:tblLayout w:type="fixed"/>
          <w:tblCellMar>
            <w:top w:w="0" w:type="dxa"/>
            <w:left w:w="0" w:type="dxa"/>
            <w:bottom w:w="0" w:type="dxa"/>
            <w:right w:w="0" w:type="dxa"/>
          </w:tblCellMar>
        </w:tblPrEx>
        <w:trPr>
          <w:trHeight w:val="703"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改革事项</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复制推广举措</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省级责任部门</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昆明市责任部门</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安宁市责任部门</w:t>
            </w:r>
          </w:p>
        </w:tc>
      </w:tr>
      <w:tr>
        <w:tblPrEx>
          <w:tblLayout w:type="fixed"/>
          <w:tblCellMar>
            <w:top w:w="0" w:type="dxa"/>
            <w:left w:w="0" w:type="dxa"/>
            <w:bottom w:w="0" w:type="dxa"/>
            <w:right w:w="0" w:type="dxa"/>
          </w:tblCellMar>
        </w:tblPrEx>
        <w:trPr>
          <w:trHeight w:val="404"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楷体_GB2312" w:hAnsi="Arial" w:eastAsia="楷体_GB2312" w:cs="楷体_GB2312"/>
                <w:color w:val="000000"/>
                <w:sz w:val="24"/>
                <w:szCs w:val="24"/>
              </w:rPr>
            </w:pPr>
            <w:r>
              <w:rPr>
                <w:rStyle w:val="25"/>
                <w:rFonts w:hint="default" w:ascii="Times New Roman" w:hAnsi="Times New Roman" w:cs="Times New Roman"/>
                <w:lang w:bidi="ar"/>
              </w:rPr>
              <w:t>一、在全国推行的营商环境创新试点改革举措（共</w:t>
            </w:r>
            <w:r>
              <w:rPr>
                <w:rStyle w:val="26"/>
                <w:rFonts w:eastAsia="楷体_GB2312"/>
                <w:lang w:bidi="ar"/>
              </w:rPr>
              <w:t>26</w:t>
            </w:r>
            <w:r>
              <w:rPr>
                <w:rStyle w:val="25"/>
                <w:rFonts w:hint="default" w:ascii="Times New Roman" w:hAnsi="Times New Roman" w:cs="Times New Roman"/>
                <w:lang w:bidi="ar"/>
              </w:rPr>
              <w:t>项）</w:t>
            </w:r>
          </w:p>
        </w:tc>
      </w:tr>
      <w:tr>
        <w:tblPrEx>
          <w:tblLayout w:type="fixed"/>
          <w:tblCellMar>
            <w:top w:w="0" w:type="dxa"/>
            <w:left w:w="0" w:type="dxa"/>
            <w:bottom w:w="0" w:type="dxa"/>
            <w:right w:w="0" w:type="dxa"/>
          </w:tblCellMar>
        </w:tblPrEx>
        <w:trPr>
          <w:trHeight w:val="464"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b/>
                <w:bCs/>
                <w:color w:val="000000"/>
                <w:kern w:val="0"/>
                <w:sz w:val="24"/>
                <w:szCs w:val="24"/>
                <w:lang w:bidi="ar"/>
              </w:rPr>
              <w:t>（一）进一步破处区域分割和地方保护等不合理限制</w:t>
            </w:r>
          </w:p>
        </w:tc>
      </w:tr>
      <w:tr>
        <w:tblPrEx>
          <w:tblLayout w:type="fixed"/>
          <w:tblCellMar>
            <w:top w:w="0" w:type="dxa"/>
            <w:left w:w="0" w:type="dxa"/>
            <w:bottom w:w="0" w:type="dxa"/>
            <w:right w:w="0" w:type="dxa"/>
          </w:tblCellMar>
        </w:tblPrEx>
        <w:trPr>
          <w:trHeight w:val="1081"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清除招投标和政府采购领域对外地企业设置的隐性门槛和壁垒</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清除取消要求投标单位必须在项目所在地或采购人所在地设立分公司或办事处等排斥外地投标人的行为，开展招投标和政府采购营商环境跟踪指导，对外地企业设置的隐性门槛和壁垒等问题进行跟踪检查。</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省发展改革委、省财政厅、省市场监管局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市政务服务局、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市财政局、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市政务服务局、市财政局、市市场监管局</w:t>
            </w:r>
          </w:p>
        </w:tc>
      </w:tr>
      <w:tr>
        <w:tblPrEx>
          <w:tblLayout w:type="fixed"/>
          <w:tblCellMar>
            <w:top w:w="0" w:type="dxa"/>
            <w:left w:w="0" w:type="dxa"/>
            <w:bottom w:w="0" w:type="dxa"/>
            <w:right w:w="0" w:type="dxa"/>
          </w:tblCellMar>
        </w:tblPrEx>
        <w:trPr>
          <w:trHeight w:val="16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2</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推进客货运输电子证照跨区域互认与核验</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持续推广应用道路运输电子</w:t>
            </w:r>
            <w:r>
              <w:rPr>
                <w:rFonts w:hint="eastAsia" w:ascii="仿宋_GB2312" w:hAnsi="仿宋_GB2312" w:eastAsia="仿宋_GB2312" w:cs="仿宋_GB2312"/>
                <w:color w:val="000000"/>
                <w:kern w:val="0"/>
                <w:sz w:val="24"/>
                <w:szCs w:val="24"/>
                <w:lang w:bidi="ar"/>
              </w:rPr>
              <w:t>证照和</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滇运码</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服务，实现全省各州（市）、县（市、区）道路运输电子证照系统部署全覆盖和联网运行，覆盖道路运输经营许可证、从业人员从业资格证和车辆道路运输许可证件全类型，促进跨地区、跨部门互信互认和共享共用，执法检查部门通过电子证照二维码在线核验、网站查询等方式核验电子证照真伪。</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省交通运输厅</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市交运局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市交运局、市运管分局</w:t>
            </w:r>
          </w:p>
        </w:tc>
      </w:tr>
      <w:tr>
        <w:tblPrEx>
          <w:tblLayout w:type="fixed"/>
          <w:tblCellMar>
            <w:top w:w="0" w:type="dxa"/>
            <w:left w:w="0" w:type="dxa"/>
            <w:bottom w:w="0" w:type="dxa"/>
            <w:right w:w="0" w:type="dxa"/>
          </w:tblCellMar>
        </w:tblPrEx>
        <w:trPr>
          <w:trHeight w:val="384"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b/>
                <w:bCs/>
                <w:color w:val="000000"/>
                <w:kern w:val="0"/>
                <w:sz w:val="24"/>
                <w:szCs w:val="24"/>
                <w:lang w:bidi="ar"/>
              </w:rPr>
              <w:t>（二）健全更加开放透明、规范高效的市场主体准入和推出机制</w:t>
            </w:r>
          </w:p>
        </w:tc>
      </w:tr>
      <w:tr>
        <w:tblPrEx>
          <w:tblLayout w:type="fixed"/>
          <w:tblCellMar>
            <w:top w:w="0" w:type="dxa"/>
            <w:left w:w="0" w:type="dxa"/>
            <w:bottom w:w="0" w:type="dxa"/>
            <w:right w:w="0" w:type="dxa"/>
          </w:tblCellMar>
        </w:tblPrEx>
        <w:trPr>
          <w:trHeight w:val="189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3</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拓展企业开办</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一网通办</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业务范围</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将企业社保登记、住房公积金企业缴存登记等环节纳入</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一网通办</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平台，实现申请人一次身份认证后即可</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一网通办</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企业开办全部服务事项，并在设立登记完成后可随时通过</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一网通办</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平台办理任一企业开办服务事项。推进电子营业执照、电子发票、电子签章同步发放及应用，方便企业网上办事。</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省市场监管局、省人力资源社会保障厅、省住房城乡建设厅、省税务局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r>
              <w:rPr>
                <w:rFonts w:hint="eastAsia" w:ascii="仿宋_GB2312" w:hAnsi="Arial" w:cs="仿宋_GB2312"/>
                <w:color w:val="000000"/>
                <w:kern w:val="0"/>
                <w:sz w:val="24"/>
                <w:szCs w:val="24"/>
                <w:lang w:bidi="ar"/>
              </w:rPr>
              <w:t>昆明市人社局</w:t>
            </w:r>
            <w:r>
              <w:rPr>
                <w:rFonts w:hint="eastAsia" w:ascii="仿宋_GB2312" w:hAnsi="Arial" w:eastAsia="仿宋_GB2312" w:cs="仿宋_GB2312"/>
                <w:color w:val="000000"/>
                <w:kern w:val="0"/>
                <w:sz w:val="24"/>
                <w:szCs w:val="24"/>
                <w:lang w:bidi="ar"/>
              </w:rPr>
              <w:t>、</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市税务局、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市住房公积金中心</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市市场监管局、市人社局、市税务局、市住房公积金中心管理部</w:t>
            </w:r>
          </w:p>
        </w:tc>
      </w:tr>
      <w:tr>
        <w:tblPrEx>
          <w:tblLayout w:type="fixed"/>
          <w:tblCellMar>
            <w:top w:w="0" w:type="dxa"/>
            <w:left w:w="0" w:type="dxa"/>
            <w:bottom w:w="0" w:type="dxa"/>
            <w:right w:w="0" w:type="dxa"/>
          </w:tblCellMar>
        </w:tblPrEx>
        <w:trPr>
          <w:trHeight w:val="2512"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4</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进一步便利企业开立银行账户</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探索整合企业开办实名验证信息、企业登记信息和银行开户备案信息，自然人、法人等通过线上平台申请营业执照时，经企业授权同意后，线上平台将有关基本信息和银行开户预约信息实时推送给申请人选定的开户银行，开户银行生成企业账户预约账号，并通过线上平台推送给税务、人力资源</w:t>
            </w:r>
            <w:r>
              <w:rPr>
                <w:rFonts w:hint="eastAsia" w:ascii="仿宋_GB2312" w:hAnsi="Arial" w:eastAsia="仿宋_GB2312" w:cs="仿宋_GB2312"/>
                <w:color w:val="000000"/>
                <w:kern w:val="0"/>
                <w:sz w:val="24"/>
                <w:szCs w:val="24"/>
                <w:lang w:eastAsia="zh-CN" w:bidi="ar"/>
              </w:rPr>
              <w:t>和</w:t>
            </w:r>
            <w:r>
              <w:rPr>
                <w:rFonts w:hint="eastAsia" w:ascii="仿宋_GB2312" w:hAnsi="Arial" w:eastAsia="仿宋_GB2312" w:cs="仿宋_GB2312"/>
                <w:color w:val="000000"/>
                <w:kern w:val="0"/>
                <w:sz w:val="24"/>
                <w:szCs w:val="24"/>
                <w:lang w:bidi="ar"/>
              </w:rPr>
              <w:t>社会保障、住房公积金管理部门。开户银行根据预约需求，按规定为企业开立账户后，及时将有关信息推送至有关部门。</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省市场监管局、人民银行昆明中心支行、省公安厅、省人力资源社会保障厅、省住房城乡建设厅、省税务局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市金融办、</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市公安局、</w:t>
            </w:r>
            <w:r>
              <w:rPr>
                <w:rFonts w:hint="eastAsia" w:ascii="仿宋_GB2312" w:hAnsi="Arial" w:cs="仿宋_GB2312"/>
                <w:color w:val="000000"/>
                <w:kern w:val="0"/>
                <w:sz w:val="24"/>
                <w:szCs w:val="24"/>
                <w:lang w:bidi="ar"/>
              </w:rPr>
              <w:t>昆明市人社局</w:t>
            </w:r>
            <w:r>
              <w:rPr>
                <w:rFonts w:hint="eastAsia" w:ascii="仿宋_GB2312" w:hAnsi="Arial" w:eastAsia="仿宋_GB2312" w:cs="仿宋_GB2312"/>
                <w:color w:val="000000"/>
                <w:kern w:val="0"/>
                <w:sz w:val="24"/>
                <w:szCs w:val="24"/>
                <w:lang w:bidi="ar"/>
              </w:rPr>
              <w:t>、</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市税务局、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市住房公积金中心</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市市场监管局、市</w:t>
            </w:r>
            <w:r>
              <w:rPr>
                <w:rFonts w:hint="eastAsia" w:ascii="仿宋_GB2312" w:hAnsi="Arial" w:cs="仿宋_GB2312"/>
                <w:color w:val="000000"/>
                <w:kern w:val="0"/>
                <w:sz w:val="24"/>
                <w:szCs w:val="24"/>
                <w:lang w:bidi="ar"/>
              </w:rPr>
              <w:t>财政局</w:t>
            </w:r>
            <w:r>
              <w:rPr>
                <w:rFonts w:hint="eastAsia" w:ascii="仿宋_GB2312" w:hAnsi="Arial" w:eastAsia="仿宋_GB2312" w:cs="仿宋_GB2312"/>
                <w:color w:val="000000"/>
                <w:kern w:val="0"/>
                <w:sz w:val="24"/>
                <w:szCs w:val="24"/>
                <w:lang w:bidi="ar"/>
              </w:rPr>
              <w:t>、市公安局、市人社局、市税务局、市住房公积金中心管理部</w:t>
            </w:r>
          </w:p>
        </w:tc>
      </w:tr>
      <w:tr>
        <w:tblPrEx>
          <w:tblLayout w:type="fixed"/>
          <w:tblCellMar>
            <w:top w:w="0" w:type="dxa"/>
            <w:left w:w="0" w:type="dxa"/>
            <w:bottom w:w="0" w:type="dxa"/>
            <w:right w:w="0" w:type="dxa"/>
          </w:tblCellMar>
        </w:tblPrEx>
        <w:trPr>
          <w:trHeight w:val="1619"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5</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优化律师事务所核名管理</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认真做好全省律师工作信息化建设组织实施工作，按照司法部制定的技术标准，争取于</w:t>
            </w:r>
            <w:r>
              <w:rPr>
                <w:rStyle w:val="26"/>
                <w:rFonts w:eastAsia="仿宋_GB2312"/>
                <w:lang w:bidi="ar"/>
              </w:rPr>
              <w:t>2023</w:t>
            </w:r>
            <w:r>
              <w:rPr>
                <w:rFonts w:hint="eastAsia" w:ascii="仿宋_GB2312" w:hAnsi="Arial" w:eastAsia="仿宋_GB2312" w:cs="仿宋_GB2312"/>
                <w:color w:val="000000"/>
                <w:kern w:val="0"/>
                <w:sz w:val="24"/>
                <w:szCs w:val="24"/>
                <w:lang w:bidi="ar"/>
              </w:rPr>
              <w:t>年</w:t>
            </w:r>
            <w:r>
              <w:rPr>
                <w:rStyle w:val="26"/>
                <w:rFonts w:eastAsia="仿宋_GB2312"/>
                <w:lang w:bidi="ar"/>
              </w:rPr>
              <w:t>6</w:t>
            </w:r>
            <w:r>
              <w:rPr>
                <w:rFonts w:hint="eastAsia" w:ascii="仿宋_GB2312" w:hAnsi="Arial" w:eastAsia="仿宋_GB2312" w:cs="仿宋_GB2312"/>
                <w:color w:val="000000"/>
                <w:kern w:val="0"/>
                <w:sz w:val="24"/>
                <w:szCs w:val="24"/>
                <w:lang w:bidi="ar"/>
              </w:rPr>
              <w:t>月底前实现云南律师工作管理系统与全国律师综合管理信息系统的对接和数据共享，确保按时间节点实现有关优化律师事务所核名管理等事项全流程网上办理，确保办理时限在法定时限没压缩</w:t>
            </w:r>
            <w:r>
              <w:rPr>
                <w:rStyle w:val="26"/>
                <w:rFonts w:eastAsia="仿宋_GB2312"/>
                <w:lang w:bidi="ar"/>
              </w:rPr>
              <w:t>50%</w:t>
            </w:r>
            <w:r>
              <w:rPr>
                <w:rFonts w:hint="eastAsia" w:ascii="仿宋_GB2312" w:hAnsi="Arial" w:eastAsia="仿宋_GB2312" w:cs="仿宋_GB2312"/>
                <w:color w:val="000000"/>
                <w:kern w:val="0"/>
                <w:sz w:val="24"/>
                <w:szCs w:val="24"/>
                <w:lang w:bidi="ar"/>
              </w:rPr>
              <w:t>以上（</w:t>
            </w:r>
            <w:r>
              <w:rPr>
                <w:rStyle w:val="26"/>
                <w:rFonts w:eastAsia="仿宋_GB2312"/>
                <w:lang w:bidi="ar"/>
              </w:rPr>
              <w:t>10</w:t>
            </w:r>
            <w:r>
              <w:rPr>
                <w:rFonts w:hint="eastAsia" w:ascii="仿宋_GB2312" w:hAnsi="Arial" w:eastAsia="仿宋_GB2312" w:cs="仿宋_GB2312"/>
                <w:color w:val="000000"/>
                <w:kern w:val="0"/>
                <w:sz w:val="24"/>
                <w:szCs w:val="24"/>
                <w:lang w:bidi="ar"/>
              </w:rPr>
              <w:t>个工作日内完成）。</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省司法厅</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市司法局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市司法局</w:t>
            </w:r>
          </w:p>
        </w:tc>
      </w:tr>
      <w:tr>
        <w:tblPrEx>
          <w:tblLayout w:type="fixed"/>
          <w:tblCellMar>
            <w:top w:w="0" w:type="dxa"/>
            <w:left w:w="0" w:type="dxa"/>
            <w:bottom w:w="0" w:type="dxa"/>
            <w:right w:w="0" w:type="dxa"/>
          </w:tblCellMar>
        </w:tblPrEx>
        <w:trPr>
          <w:trHeight w:val="2823"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6</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进一步便利破产管理人查询破产企业财产信息</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待最高人民法院明确可授权破产管理人注册账号登记查询有关信息后，允许破产管理人通过线上注册登录等方式，掌握的破产企业财产有关信息，提高破产办理效率。</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省高级人民法院、省公安厅、省人力资源社会保障厅、省自然资源厅、省住房城乡建设厅、省税务局、省市场监管局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市法院、</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市公安局、</w:t>
            </w:r>
            <w:r>
              <w:rPr>
                <w:rFonts w:hint="eastAsia" w:ascii="仿宋_GB2312" w:hAnsi="Arial" w:cs="仿宋_GB2312"/>
                <w:color w:val="000000"/>
                <w:kern w:val="0"/>
                <w:sz w:val="24"/>
                <w:szCs w:val="24"/>
                <w:lang w:bidi="ar"/>
              </w:rPr>
              <w:t>昆明市人社局</w:t>
            </w:r>
            <w:r>
              <w:rPr>
                <w:rFonts w:hint="eastAsia" w:ascii="仿宋_GB2312" w:hAnsi="Arial" w:eastAsia="仿宋_GB2312" w:cs="仿宋_GB2312"/>
                <w:color w:val="000000"/>
                <w:kern w:val="0"/>
                <w:sz w:val="24"/>
                <w:szCs w:val="24"/>
                <w:lang w:bidi="ar"/>
              </w:rPr>
              <w:t>、</w:t>
            </w:r>
            <w:r>
              <w:rPr>
                <w:rFonts w:hint="eastAsia" w:ascii="仿宋_GB2312" w:hAnsi="Arial" w:eastAsia="仿宋_GB2312" w:cs="仿宋_GB2312"/>
                <w:color w:val="000000"/>
                <w:kern w:val="0"/>
                <w:sz w:val="24"/>
                <w:szCs w:val="24"/>
                <w:lang w:eastAsia="zh-CN" w:bidi="ar"/>
              </w:rPr>
              <w:t>昆明市自然资源和规划局</w:t>
            </w:r>
            <w:r>
              <w:rPr>
                <w:rFonts w:hint="eastAsia" w:ascii="仿宋_GB2312" w:hAnsi="Arial" w:eastAsia="仿宋_GB2312" w:cs="仿宋_GB2312"/>
                <w:color w:val="000000"/>
                <w:kern w:val="0"/>
                <w:sz w:val="24"/>
                <w:szCs w:val="24"/>
                <w:lang w:bidi="ar"/>
              </w:rPr>
              <w:t>、</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市住建局、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市税务局、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市法院、市公安局、市人社局、市自然资源局、市住建局、市税务局、市市场监管局</w:t>
            </w:r>
          </w:p>
        </w:tc>
      </w:tr>
      <w:tr>
        <w:tblPrEx>
          <w:tblLayout w:type="fixed"/>
          <w:tblCellMar>
            <w:top w:w="0" w:type="dxa"/>
            <w:left w:w="0" w:type="dxa"/>
            <w:bottom w:w="0" w:type="dxa"/>
            <w:right w:w="0" w:type="dxa"/>
          </w:tblCellMar>
        </w:tblPrEx>
        <w:trPr>
          <w:trHeight w:val="336"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b/>
                <w:bCs/>
                <w:color w:val="000000"/>
                <w:kern w:val="0"/>
                <w:sz w:val="24"/>
                <w:szCs w:val="24"/>
                <w:lang w:bidi="ar"/>
              </w:rPr>
              <w:t>（三）持续提升投资和建设便利度</w:t>
            </w:r>
          </w:p>
        </w:tc>
      </w:tr>
      <w:tr>
        <w:tblPrEx>
          <w:tblLayout w:type="fixed"/>
          <w:tblCellMar>
            <w:top w:w="0" w:type="dxa"/>
            <w:left w:w="0" w:type="dxa"/>
            <w:bottom w:w="0" w:type="dxa"/>
            <w:right w:w="0" w:type="dxa"/>
          </w:tblCellMar>
        </w:tblPrEx>
        <w:trPr>
          <w:trHeight w:val="1269"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7</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开展联合验收</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一口受理</w:t>
            </w:r>
            <w:r>
              <w:rPr>
                <w:rStyle w:val="26"/>
                <w:rFonts w:hint="eastAsia" w:ascii="仿宋_GB2312" w:hAnsi="仿宋_GB2312" w:eastAsia="仿宋_GB2312" w:cs="仿宋_GB2312"/>
                <w:lang w:bidi="ar"/>
              </w:rPr>
              <w:t>”</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对实行联合验收的工程建设项目，由住房城乡建设主管部门</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一口受理</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建设单位申请，并牵头协调有关部门限时开展联合验收。</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省住房城乡建设厅、省自然资源厅、省人防办</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市住建局、</w:t>
            </w:r>
            <w:r>
              <w:rPr>
                <w:rFonts w:hint="eastAsia" w:ascii="仿宋_GB2312" w:hAnsi="Arial" w:eastAsia="仿宋_GB2312" w:cs="仿宋_GB2312"/>
                <w:color w:val="000000"/>
                <w:kern w:val="0"/>
                <w:sz w:val="24"/>
                <w:szCs w:val="24"/>
                <w:lang w:eastAsia="zh-CN" w:bidi="ar"/>
              </w:rPr>
              <w:t>昆明市自然资源和规划局</w:t>
            </w:r>
            <w:r>
              <w:rPr>
                <w:rFonts w:hint="eastAsia" w:ascii="仿宋_GB2312" w:hAnsi="Arial" w:eastAsia="仿宋_GB2312" w:cs="仿宋_GB2312"/>
                <w:color w:val="000000"/>
                <w:kern w:val="0"/>
                <w:sz w:val="24"/>
                <w:szCs w:val="24"/>
                <w:lang w:bidi="ar"/>
              </w:rPr>
              <w:t>、</w:t>
            </w:r>
            <w:r>
              <w:rPr>
                <w:rFonts w:hint="eastAsia" w:ascii="仿宋_GB2312" w:hAnsi="Arial" w:cs="仿宋_GB2312"/>
                <w:color w:val="000000"/>
                <w:kern w:val="0"/>
                <w:sz w:val="24"/>
                <w:szCs w:val="24"/>
                <w:lang w:bidi="ar"/>
              </w:rPr>
              <w:t>昆明市发改局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市住建局、市自然资源局、</w:t>
            </w:r>
            <w:r>
              <w:rPr>
                <w:rFonts w:hint="eastAsia" w:ascii="仿宋_GB2312" w:hAnsi="Arial" w:cs="仿宋_GB2312"/>
                <w:color w:val="000000"/>
                <w:kern w:val="0"/>
                <w:sz w:val="24"/>
                <w:szCs w:val="24"/>
                <w:lang w:bidi="ar"/>
              </w:rPr>
              <w:t>市发改局</w:t>
            </w:r>
          </w:p>
        </w:tc>
      </w:tr>
      <w:tr>
        <w:tblPrEx>
          <w:tblLayout w:type="fixed"/>
          <w:tblCellMar>
            <w:top w:w="0" w:type="dxa"/>
            <w:left w:w="0" w:type="dxa"/>
            <w:bottom w:w="0" w:type="dxa"/>
            <w:right w:w="0" w:type="dxa"/>
          </w:tblCellMar>
        </w:tblPrEx>
        <w:trPr>
          <w:trHeight w:val="2201"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8</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进一步优化工程建设项目联合验收方式</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对实行联合验收的工程建设项目，根据项目类别科学合理确定纳入联合验收的事项，原则上未经验收不得投入使用的事项（如规划核实、人防备案、消防验收、消防备案、竣工备案、档案验收等）应当纳入联合验收，其他验收事项可根据实际情况纳入，并综合运用承诺制等多种方式灵活办理验收手续，提高验收效率，减少企业等待时间，加快项目投产使用。有关主管部门和单位对未纳入联合验收的事项也要依申请及时进行验收，并优化验收流程，对验收时发现的问题及时督促建设单位整改。</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省住房城乡建设厅、省自然资源厅、省人防办</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市住建局、</w:t>
            </w:r>
            <w:r>
              <w:rPr>
                <w:rFonts w:hint="eastAsia" w:ascii="仿宋_GB2312" w:hAnsi="Arial" w:eastAsia="仿宋_GB2312" w:cs="仿宋_GB2312"/>
                <w:color w:val="000000"/>
                <w:kern w:val="0"/>
                <w:sz w:val="24"/>
                <w:szCs w:val="24"/>
                <w:lang w:eastAsia="zh-CN" w:bidi="ar"/>
              </w:rPr>
              <w:t>昆明市自然资源和规划局</w:t>
            </w:r>
            <w:r>
              <w:rPr>
                <w:rFonts w:hint="eastAsia" w:ascii="仿宋_GB2312" w:hAnsi="Arial" w:eastAsia="仿宋_GB2312" w:cs="仿宋_GB2312"/>
                <w:color w:val="000000"/>
                <w:kern w:val="0"/>
                <w:sz w:val="24"/>
                <w:szCs w:val="24"/>
                <w:lang w:bidi="ar"/>
              </w:rPr>
              <w:t>、</w:t>
            </w:r>
            <w:r>
              <w:rPr>
                <w:rFonts w:hint="eastAsia" w:ascii="仿宋_GB2312" w:hAnsi="Arial" w:cs="仿宋_GB2312"/>
                <w:color w:val="000000"/>
                <w:kern w:val="0"/>
                <w:sz w:val="24"/>
                <w:szCs w:val="24"/>
                <w:lang w:bidi="ar"/>
              </w:rPr>
              <w:t>昆明市发改局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市住建局、市自然资源局、</w:t>
            </w:r>
            <w:r>
              <w:rPr>
                <w:rFonts w:hint="eastAsia" w:ascii="仿宋_GB2312" w:hAnsi="Arial" w:cs="仿宋_GB2312"/>
                <w:color w:val="000000"/>
                <w:kern w:val="0"/>
                <w:sz w:val="24"/>
                <w:szCs w:val="24"/>
                <w:lang w:bidi="ar"/>
              </w:rPr>
              <w:t>市发改局</w:t>
            </w:r>
          </w:p>
        </w:tc>
      </w:tr>
      <w:tr>
        <w:tblPrEx>
          <w:tblLayout w:type="fixed"/>
          <w:tblCellMar>
            <w:top w:w="0" w:type="dxa"/>
            <w:left w:w="0" w:type="dxa"/>
            <w:bottom w:w="0" w:type="dxa"/>
            <w:right w:w="0" w:type="dxa"/>
          </w:tblCellMar>
        </w:tblPrEx>
        <w:trPr>
          <w:trHeight w:val="15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9</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对已满足使用功能的单位工程开展单独竣工验收</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对办理了一张建设工程规划许可证但涉及多个单位工程的工程建设项目、在符合项目整体质量安全要求、达到安全使用条件的前提下，对已满足使用功能的单位工程可采用单独竣工验收方式，单位工程验收合格后，可单独投入使用。有关部门建立完善单位工程竣工验收标准，加强风险管控，确保项目整体符合规划要求和质量安全。</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省住房城乡建设厅、省自然资源厅、省人防办</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市住建局、</w:t>
            </w:r>
            <w:r>
              <w:rPr>
                <w:rFonts w:hint="eastAsia" w:ascii="仿宋_GB2312" w:hAnsi="Arial" w:eastAsia="仿宋_GB2312" w:cs="仿宋_GB2312"/>
                <w:color w:val="000000"/>
                <w:kern w:val="0"/>
                <w:sz w:val="24"/>
                <w:szCs w:val="24"/>
                <w:lang w:eastAsia="zh-CN" w:bidi="ar"/>
              </w:rPr>
              <w:t>昆明市自然资源和规划局</w:t>
            </w:r>
            <w:r>
              <w:rPr>
                <w:rFonts w:hint="eastAsia" w:ascii="仿宋_GB2312" w:hAnsi="Arial" w:eastAsia="仿宋_GB2312" w:cs="仿宋_GB2312"/>
                <w:color w:val="000000"/>
                <w:kern w:val="0"/>
                <w:sz w:val="24"/>
                <w:szCs w:val="24"/>
                <w:lang w:bidi="ar"/>
              </w:rPr>
              <w:t>、</w:t>
            </w:r>
            <w:r>
              <w:rPr>
                <w:rFonts w:hint="eastAsia" w:ascii="仿宋_GB2312" w:hAnsi="Arial" w:cs="仿宋_GB2312"/>
                <w:color w:val="000000"/>
                <w:kern w:val="0"/>
                <w:sz w:val="24"/>
                <w:szCs w:val="24"/>
                <w:lang w:bidi="ar"/>
              </w:rPr>
              <w:t>昆明市发改局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市住建局、市自然资源局、</w:t>
            </w:r>
            <w:r>
              <w:rPr>
                <w:rFonts w:hint="eastAsia" w:ascii="仿宋_GB2312" w:hAnsi="Arial" w:cs="仿宋_GB2312"/>
                <w:color w:val="000000"/>
                <w:kern w:val="0"/>
                <w:sz w:val="24"/>
                <w:szCs w:val="24"/>
                <w:lang w:bidi="ar"/>
              </w:rPr>
              <w:t>市发改局</w:t>
            </w:r>
          </w:p>
        </w:tc>
      </w:tr>
      <w:tr>
        <w:tblPrEx>
          <w:tblLayout w:type="fixed"/>
          <w:tblCellMar>
            <w:top w:w="0" w:type="dxa"/>
            <w:left w:w="0" w:type="dxa"/>
            <w:bottom w:w="0" w:type="dxa"/>
            <w:right w:w="0" w:type="dxa"/>
          </w:tblCellMar>
        </w:tblPrEx>
        <w:trPr>
          <w:trHeight w:val="336"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b/>
                <w:bCs/>
                <w:color w:val="000000"/>
                <w:kern w:val="0"/>
                <w:sz w:val="24"/>
                <w:szCs w:val="24"/>
                <w:lang w:bidi="ar"/>
              </w:rPr>
              <w:t>（四）更好支持市场主体创新发展</w:t>
            </w:r>
          </w:p>
        </w:tc>
      </w:tr>
      <w:tr>
        <w:tblPrEx>
          <w:tblLayout w:type="fixed"/>
          <w:tblCellMar>
            <w:top w:w="0" w:type="dxa"/>
            <w:left w:w="0" w:type="dxa"/>
            <w:bottom w:w="0" w:type="dxa"/>
            <w:right w:w="0" w:type="dxa"/>
          </w:tblCellMar>
        </w:tblPrEx>
        <w:trPr>
          <w:trHeight w:val="2201"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健全知识产权质押融资风险分担机制和质物处置机制</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推动版权在内的知识产权质押融资风险分担和质物处置机制建设。以推动版权产业和市场的良好发展为目标，加强引导我省版权质押登记工作，指导有条件的州（市）、县（市、区）和版权有关企业、行业建设包含有质物处置机制功能的综合性版权交易平台（中心）持续推动知识产权质押融资入园惠企行动，优化跟踪监测机制，定期分析辖内银行机构知识产权质押融资工作情况，加强督促指导，着力提升知识产权质押融资普及度和受惠面。推动完善贷款贴息、风险补偿等机制</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省知识产权局、人民银行昆明中心支行、省版权局、云南银保监局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市金融办、</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市新闻出版（版权）局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市市场监管局、市金融办、</w:t>
            </w:r>
            <w:r>
              <w:rPr>
                <w:rFonts w:hint="eastAsia" w:ascii="仿宋_GB2312" w:hAnsi="Arial" w:cs="仿宋_GB2312"/>
                <w:color w:val="000000"/>
                <w:kern w:val="0"/>
                <w:sz w:val="24"/>
                <w:szCs w:val="24"/>
                <w:lang w:bidi="ar"/>
              </w:rPr>
              <w:t>市委宣传部（</w:t>
            </w:r>
            <w:r>
              <w:rPr>
                <w:rFonts w:hint="eastAsia" w:ascii="仿宋_GB2312" w:hAnsi="Arial" w:eastAsia="仿宋_GB2312" w:cs="仿宋_GB2312"/>
                <w:color w:val="000000"/>
                <w:kern w:val="0"/>
                <w:sz w:val="24"/>
                <w:szCs w:val="24"/>
                <w:lang w:bidi="ar"/>
              </w:rPr>
              <w:t>市新闻出版局</w:t>
            </w:r>
            <w:r>
              <w:rPr>
                <w:rFonts w:hint="eastAsia" w:ascii="仿宋_GB2312" w:hAnsi="Arial" w:cs="仿宋_GB2312"/>
                <w:color w:val="000000"/>
                <w:kern w:val="0"/>
                <w:sz w:val="24"/>
                <w:szCs w:val="24"/>
                <w:lang w:bidi="ar"/>
              </w:rPr>
              <w:t>）</w:t>
            </w:r>
          </w:p>
        </w:tc>
      </w:tr>
      <w:tr>
        <w:tblPrEx>
          <w:tblLayout w:type="fixed"/>
          <w:tblCellMar>
            <w:top w:w="0" w:type="dxa"/>
            <w:left w:w="0" w:type="dxa"/>
            <w:bottom w:w="0" w:type="dxa"/>
            <w:right w:w="0" w:type="dxa"/>
          </w:tblCellMar>
        </w:tblPrEx>
        <w:trPr>
          <w:trHeight w:val="1321"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11</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优化科技企业孵化器及众创空间信息变更管理模式</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根据科技部火炬中心系统升级后有关通知要求，加强宣传推广，认真做好我省已有的</w:t>
            </w:r>
            <w:r>
              <w:rPr>
                <w:rStyle w:val="26"/>
                <w:rFonts w:eastAsia="仿宋_GB2312"/>
                <w:lang w:bidi="ar"/>
              </w:rPr>
              <w:t>16</w:t>
            </w:r>
            <w:r>
              <w:rPr>
                <w:rFonts w:hint="eastAsia" w:ascii="仿宋_GB2312" w:hAnsi="Arial" w:eastAsia="仿宋_GB2312" w:cs="仿宋_GB2312"/>
                <w:color w:val="000000"/>
                <w:kern w:val="0"/>
                <w:sz w:val="24"/>
                <w:szCs w:val="24"/>
                <w:lang w:bidi="ar"/>
              </w:rPr>
              <w:t>家国家级科技企业孵化器和</w:t>
            </w:r>
            <w:r>
              <w:rPr>
                <w:rStyle w:val="26"/>
                <w:rFonts w:eastAsia="仿宋_GB2312"/>
                <w:lang w:bidi="ar"/>
              </w:rPr>
              <w:t>43</w:t>
            </w:r>
            <w:r>
              <w:rPr>
                <w:rFonts w:hint="eastAsia" w:ascii="仿宋_GB2312" w:hAnsi="Arial" w:eastAsia="仿宋_GB2312" w:cs="仿宋_GB2312"/>
                <w:color w:val="000000"/>
                <w:kern w:val="0"/>
                <w:sz w:val="24"/>
                <w:szCs w:val="24"/>
                <w:lang w:bidi="ar"/>
              </w:rPr>
              <w:t>家国家众创空间的信息变更审查核实工作，对于名称、场地面积、经营场所等信息变更，由省级科技主管部门审批，并将变更信息推送至国家科技主管部门。</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省科技厅</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市科技局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hint="eastAsia" w:ascii="仿宋_GB2312" w:hAnsi="Arial" w:cs="仿宋_GB2312" w:eastAsiaTheme="minorEastAsia"/>
                <w:color w:val="000000"/>
                <w:sz w:val="24"/>
                <w:szCs w:val="24"/>
                <w:lang w:eastAsia="zh-CN"/>
              </w:rPr>
            </w:pPr>
            <w:r>
              <w:rPr>
                <w:rFonts w:hint="eastAsia" w:ascii="仿宋_GB2312" w:hAnsi="Arial" w:eastAsia="仿宋_GB2312" w:cs="仿宋_GB2312"/>
                <w:color w:val="000000"/>
                <w:kern w:val="0"/>
                <w:sz w:val="24"/>
                <w:szCs w:val="24"/>
                <w:lang w:eastAsia="zh-CN" w:bidi="ar"/>
              </w:rPr>
              <w:t>市工信局</w:t>
            </w:r>
          </w:p>
        </w:tc>
      </w:tr>
      <w:tr>
        <w:tblPrEx>
          <w:tblLayout w:type="fixed"/>
          <w:tblCellMar>
            <w:top w:w="0" w:type="dxa"/>
            <w:left w:w="0" w:type="dxa"/>
            <w:bottom w:w="0" w:type="dxa"/>
            <w:right w:w="0" w:type="dxa"/>
          </w:tblCellMar>
        </w:tblPrEx>
        <w:trPr>
          <w:trHeight w:val="336"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b/>
                <w:bCs/>
                <w:color w:val="000000"/>
                <w:kern w:val="0"/>
                <w:sz w:val="24"/>
                <w:szCs w:val="24"/>
                <w:lang w:bidi="ar"/>
              </w:rPr>
              <w:t>（五）持续提升跨境贸易便利化水平</w:t>
            </w:r>
          </w:p>
        </w:tc>
      </w:tr>
      <w:tr>
        <w:tblPrEx>
          <w:tblLayout w:type="fixed"/>
          <w:tblCellMar>
            <w:top w:w="0" w:type="dxa"/>
            <w:left w:w="0" w:type="dxa"/>
            <w:bottom w:w="0" w:type="dxa"/>
            <w:right w:w="0" w:type="dxa"/>
          </w:tblCellMar>
        </w:tblPrEx>
        <w:trPr>
          <w:trHeight w:val="647"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12</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优化进出口货物查询服务</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提供物流查询服务，用好云南</w:t>
            </w:r>
            <w:r>
              <w:rPr>
                <w:rStyle w:val="26"/>
                <w:rFonts w:eastAsia="仿宋_GB2312"/>
                <w:lang w:bidi="ar"/>
              </w:rPr>
              <w:t>“</w:t>
            </w:r>
            <w:r>
              <w:rPr>
                <w:rFonts w:hint="eastAsia" w:ascii="仿宋_GB2312" w:hAnsi="Arial" w:eastAsia="仿宋_GB2312" w:cs="仿宋_GB2312"/>
                <w:color w:val="000000"/>
                <w:kern w:val="0"/>
                <w:sz w:val="24"/>
                <w:szCs w:val="24"/>
                <w:lang w:bidi="ar"/>
              </w:rPr>
              <w:t>单一窗口</w:t>
            </w:r>
            <w:r>
              <w:rPr>
                <w:rStyle w:val="26"/>
                <w:rFonts w:eastAsia="仿宋_GB2312"/>
                <w:lang w:bidi="ar"/>
              </w:rPr>
              <w:t>”</w:t>
            </w:r>
            <w:r>
              <w:rPr>
                <w:rFonts w:hint="eastAsia" w:ascii="仿宋_GB2312" w:hAnsi="Arial" w:eastAsia="仿宋_GB2312" w:cs="仿宋_GB2312"/>
                <w:color w:val="000000"/>
                <w:kern w:val="0"/>
                <w:sz w:val="24"/>
                <w:szCs w:val="24"/>
                <w:lang w:bidi="ar"/>
              </w:rPr>
              <w:t>和小程序物流查询服务模块，为企业提供货物通关环境全流程查询服务。</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昆明海关、省商务厅</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市商务局</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安宁市不涉及</w:t>
            </w:r>
          </w:p>
        </w:tc>
      </w:tr>
      <w:tr>
        <w:tblPrEx>
          <w:tblLayout w:type="fixed"/>
          <w:tblCellMar>
            <w:top w:w="0" w:type="dxa"/>
            <w:left w:w="0" w:type="dxa"/>
            <w:bottom w:w="0" w:type="dxa"/>
            <w:right w:w="0" w:type="dxa"/>
          </w:tblCellMar>
        </w:tblPrEx>
        <w:trPr>
          <w:trHeight w:val="15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13</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加强铁路信息系统与海关信息系统的数据交换共享</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持续拓展</w:t>
            </w:r>
            <w:r>
              <w:rPr>
                <w:rStyle w:val="26"/>
                <w:rFonts w:eastAsia="仿宋_GB2312"/>
                <w:lang w:bidi="ar"/>
              </w:rPr>
              <w:t>“</w:t>
            </w:r>
            <w:r>
              <w:rPr>
                <w:rFonts w:hint="eastAsia" w:ascii="仿宋_GB2312" w:hAnsi="Arial" w:eastAsia="仿宋_GB2312" w:cs="仿宋_GB2312"/>
                <w:color w:val="000000"/>
                <w:kern w:val="0"/>
                <w:sz w:val="24"/>
                <w:szCs w:val="24"/>
                <w:lang w:bidi="ar"/>
              </w:rPr>
              <w:t>快速通关</w:t>
            </w:r>
            <w:r>
              <w:rPr>
                <w:rStyle w:val="26"/>
                <w:rFonts w:eastAsia="仿宋_GB2312"/>
                <w:lang w:bidi="ar"/>
              </w:rPr>
              <w:t>”</w:t>
            </w:r>
            <w:r>
              <w:rPr>
                <w:rFonts w:hint="eastAsia" w:ascii="仿宋_GB2312" w:hAnsi="Arial" w:eastAsia="仿宋_GB2312" w:cs="仿宋_GB2312"/>
                <w:color w:val="000000"/>
                <w:kern w:val="0"/>
                <w:sz w:val="24"/>
                <w:szCs w:val="24"/>
                <w:lang w:bidi="ar"/>
              </w:rPr>
              <w:t>业务合作范围。积极推进铁路运输</w:t>
            </w:r>
            <w:r>
              <w:rPr>
                <w:rStyle w:val="26"/>
                <w:rFonts w:eastAsia="仿宋_GB2312"/>
                <w:lang w:bidi="ar"/>
              </w:rPr>
              <w:t>“</w:t>
            </w:r>
            <w:r>
              <w:rPr>
                <w:rFonts w:hint="eastAsia" w:ascii="仿宋_GB2312" w:hAnsi="Arial" w:eastAsia="仿宋_GB2312" w:cs="仿宋_GB2312"/>
                <w:color w:val="000000"/>
                <w:kern w:val="0"/>
                <w:sz w:val="24"/>
                <w:szCs w:val="24"/>
                <w:lang w:bidi="ar"/>
              </w:rPr>
              <w:t>快速通关</w:t>
            </w:r>
            <w:r>
              <w:rPr>
                <w:rStyle w:val="26"/>
                <w:rFonts w:eastAsia="仿宋_GB2312"/>
                <w:lang w:bidi="ar"/>
              </w:rPr>
              <w:t>”</w:t>
            </w:r>
            <w:r>
              <w:rPr>
                <w:rFonts w:hint="eastAsia" w:ascii="仿宋_GB2312" w:hAnsi="Arial" w:eastAsia="仿宋_GB2312" w:cs="仿宋_GB2312"/>
                <w:color w:val="000000"/>
                <w:kern w:val="0"/>
                <w:sz w:val="24"/>
                <w:szCs w:val="24"/>
                <w:lang w:bidi="ar"/>
              </w:rPr>
              <w:t>常态化，为企业提供更便利的通关环境。结合铁路国际联运特点及反馈便利通关诉求，通过加强铁路信息系统与海关信息系统的数据交换共享，不断提升铁路口岸作业效率和通过便利化水平。</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昆明海关、省交通运输厅、中国铁路昆明局集团有限公司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市交运局</w:t>
            </w: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Arial" w:cs="仿宋_GB2312"/>
                <w:color w:val="000000"/>
                <w:sz w:val="24"/>
                <w:szCs w:val="24"/>
              </w:rPr>
            </w:pPr>
          </w:p>
        </w:tc>
      </w:tr>
      <w:tr>
        <w:tblPrEx>
          <w:tblLayout w:type="fixed"/>
          <w:tblCellMar>
            <w:top w:w="0" w:type="dxa"/>
            <w:left w:w="0" w:type="dxa"/>
            <w:bottom w:w="0" w:type="dxa"/>
            <w:right w:w="0" w:type="dxa"/>
          </w:tblCellMar>
        </w:tblPrEx>
        <w:trPr>
          <w:trHeight w:val="2512"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14</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推进水铁空公多式联运信息共享</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继续推动水公铁多式联运信息共享，实现运力信息可查、货物全程实时追踪等。开通昆铁货运微信服务号和研发公铁联运运输管理系统，实现物流信息共享。充分利用昆铁货运微信开放平台与</w:t>
            </w:r>
            <w:r>
              <w:rPr>
                <w:rStyle w:val="26"/>
                <w:rFonts w:eastAsia="仿宋_GB2312"/>
                <w:lang w:bidi="ar"/>
              </w:rPr>
              <w:t>95306</w:t>
            </w:r>
            <w:r>
              <w:rPr>
                <w:rFonts w:hint="eastAsia" w:ascii="仿宋_GB2312" w:hAnsi="Arial" w:eastAsia="仿宋_GB2312" w:cs="仿宋_GB2312"/>
                <w:color w:val="000000"/>
                <w:kern w:val="0"/>
                <w:sz w:val="24"/>
                <w:szCs w:val="24"/>
                <w:lang w:bidi="ar"/>
              </w:rPr>
              <w:t>相结合，为客户提供运费查询、运力配置公示、停限装查询、统计分析等个性化应用服务，实现车辆、集装箱运输轨迹的全程追踪、运力配置信息查询功能。建立昆明市运输结构调整常态化沟通会商机制暨</w:t>
            </w:r>
            <w:r>
              <w:rPr>
                <w:rStyle w:val="26"/>
                <w:rFonts w:eastAsia="仿宋_GB2312"/>
                <w:lang w:bidi="ar"/>
              </w:rPr>
              <w:t>“</w:t>
            </w:r>
            <w:r>
              <w:rPr>
                <w:rFonts w:hint="eastAsia" w:ascii="仿宋_GB2312" w:hAnsi="Arial" w:eastAsia="仿宋_GB2312" w:cs="仿宋_GB2312"/>
                <w:color w:val="000000"/>
                <w:kern w:val="0"/>
                <w:sz w:val="24"/>
                <w:szCs w:val="24"/>
                <w:lang w:bidi="ar"/>
              </w:rPr>
              <w:t>公铁转</w:t>
            </w:r>
            <w:r>
              <w:rPr>
                <w:rStyle w:val="26"/>
                <w:rFonts w:eastAsia="仿宋_GB2312"/>
                <w:lang w:bidi="ar"/>
              </w:rPr>
              <w:t>”</w:t>
            </w:r>
            <w:r>
              <w:rPr>
                <w:rFonts w:hint="eastAsia" w:ascii="仿宋_GB2312" w:hAnsi="Arial" w:eastAsia="仿宋_GB2312" w:cs="仿宋_GB2312"/>
                <w:color w:val="000000"/>
                <w:kern w:val="0"/>
                <w:sz w:val="24"/>
                <w:szCs w:val="24"/>
                <w:lang w:bidi="ar"/>
              </w:rPr>
              <w:t>路地联席</w:t>
            </w:r>
            <w:r>
              <w:rPr>
                <w:rFonts w:hint="eastAsia" w:ascii="仿宋_GB2312" w:hAnsi="Arial" w:eastAsia="仿宋_GB2312" w:cs="仿宋_GB2312"/>
                <w:color w:val="000000"/>
                <w:kern w:val="0"/>
                <w:sz w:val="24"/>
                <w:szCs w:val="24"/>
                <w:lang w:eastAsia="zh-CN" w:bidi="ar"/>
              </w:rPr>
              <w:t>会议</w:t>
            </w:r>
            <w:r>
              <w:rPr>
                <w:rFonts w:hint="eastAsia" w:ascii="仿宋_GB2312" w:hAnsi="Arial" w:eastAsia="仿宋_GB2312" w:cs="仿宋_GB2312"/>
                <w:color w:val="000000"/>
                <w:kern w:val="0"/>
                <w:sz w:val="24"/>
                <w:szCs w:val="24"/>
                <w:lang w:bidi="ar"/>
              </w:rPr>
              <w:t>制度，健全信息共享，充分发挥各种运输方式的比较优势，加快构建</w:t>
            </w:r>
            <w:r>
              <w:rPr>
                <w:rStyle w:val="26"/>
                <w:rFonts w:eastAsia="仿宋_GB2312"/>
                <w:lang w:bidi="ar"/>
              </w:rPr>
              <w:t>“</w:t>
            </w:r>
            <w:r>
              <w:rPr>
                <w:rFonts w:hint="eastAsia" w:ascii="仿宋_GB2312" w:hAnsi="Arial" w:eastAsia="仿宋_GB2312" w:cs="仿宋_GB2312"/>
                <w:color w:val="000000"/>
                <w:kern w:val="0"/>
                <w:sz w:val="24"/>
                <w:szCs w:val="24"/>
                <w:lang w:bidi="ar"/>
              </w:rPr>
              <w:t>宜铁则铁，宜公则公，宜水则水，宜空则空</w:t>
            </w:r>
            <w:r>
              <w:rPr>
                <w:rStyle w:val="26"/>
                <w:rFonts w:eastAsia="仿宋_GB2312"/>
                <w:lang w:bidi="ar"/>
              </w:rPr>
              <w:t>”</w:t>
            </w:r>
            <w:r>
              <w:rPr>
                <w:rFonts w:hint="eastAsia" w:ascii="仿宋_GB2312" w:hAnsi="Arial" w:eastAsia="仿宋_GB2312" w:cs="仿宋_GB2312"/>
                <w:color w:val="000000"/>
                <w:kern w:val="0"/>
                <w:sz w:val="24"/>
                <w:szCs w:val="24"/>
                <w:lang w:bidi="ar"/>
              </w:rPr>
              <w:t>的综合运输格局，实现各种运输方式协调发展。</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昆明海关</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市交运局、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市商务局</w:t>
            </w: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Arial" w:cs="仿宋_GB2312"/>
                <w:color w:val="000000"/>
                <w:sz w:val="24"/>
                <w:szCs w:val="24"/>
              </w:rPr>
            </w:pPr>
          </w:p>
        </w:tc>
      </w:tr>
      <w:tr>
        <w:tblPrEx>
          <w:tblLayout w:type="fixed"/>
          <w:tblCellMar>
            <w:top w:w="0" w:type="dxa"/>
            <w:left w:w="0" w:type="dxa"/>
            <w:bottom w:w="0" w:type="dxa"/>
            <w:right w:w="0" w:type="dxa"/>
          </w:tblCellMar>
        </w:tblPrEx>
        <w:trPr>
          <w:trHeight w:val="1241"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15</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进一步深化进出口货物</w:t>
            </w:r>
            <w:r>
              <w:rPr>
                <w:rStyle w:val="26"/>
                <w:rFonts w:eastAsia="仿宋_GB2312"/>
                <w:lang w:bidi="ar"/>
              </w:rPr>
              <w:t>“</w:t>
            </w:r>
            <w:r>
              <w:rPr>
                <w:rFonts w:hint="eastAsia" w:ascii="仿宋_GB2312" w:hAnsi="Arial" w:eastAsia="仿宋_GB2312" w:cs="仿宋_GB2312"/>
                <w:color w:val="000000"/>
                <w:kern w:val="0"/>
                <w:sz w:val="24"/>
                <w:szCs w:val="24"/>
                <w:lang w:bidi="ar"/>
              </w:rPr>
              <w:t>提前申报</w:t>
            </w:r>
            <w:r>
              <w:rPr>
                <w:rStyle w:val="26"/>
                <w:rFonts w:eastAsia="仿宋_GB2312"/>
                <w:lang w:bidi="ar"/>
              </w:rPr>
              <w:t>”</w:t>
            </w:r>
            <w:r>
              <w:rPr>
                <w:rFonts w:hint="eastAsia" w:ascii="仿宋_GB2312" w:hAnsi="Arial" w:eastAsia="仿宋_GB2312" w:cs="仿宋_GB2312"/>
                <w:color w:val="000000"/>
                <w:kern w:val="0"/>
                <w:sz w:val="24"/>
                <w:szCs w:val="24"/>
                <w:lang w:bidi="ar"/>
              </w:rPr>
              <w:t>、</w:t>
            </w:r>
            <w:r>
              <w:rPr>
                <w:rStyle w:val="26"/>
                <w:rFonts w:eastAsia="仿宋_GB2312"/>
                <w:lang w:bidi="ar"/>
              </w:rPr>
              <w:t>“</w:t>
            </w:r>
            <w:r>
              <w:rPr>
                <w:rFonts w:hint="eastAsia" w:ascii="仿宋_GB2312" w:hAnsi="Arial" w:eastAsia="仿宋_GB2312" w:cs="仿宋_GB2312"/>
                <w:color w:val="000000"/>
                <w:kern w:val="0"/>
                <w:sz w:val="24"/>
                <w:szCs w:val="24"/>
                <w:lang w:bidi="ar"/>
              </w:rPr>
              <w:t>两步申报</w:t>
            </w:r>
            <w:r>
              <w:rPr>
                <w:rStyle w:val="26"/>
                <w:rFonts w:eastAsia="仿宋_GB2312"/>
                <w:lang w:bidi="ar"/>
              </w:rPr>
              <w:t>”</w:t>
            </w:r>
            <w:r>
              <w:rPr>
                <w:rFonts w:hint="eastAsia" w:ascii="仿宋_GB2312" w:hAnsi="Arial" w:eastAsia="仿宋_GB2312" w:cs="仿宋_GB2312"/>
                <w:color w:val="000000"/>
                <w:kern w:val="0"/>
                <w:sz w:val="24"/>
                <w:szCs w:val="24"/>
                <w:lang w:bidi="ar"/>
              </w:rPr>
              <w:t>、</w:t>
            </w:r>
            <w:r>
              <w:rPr>
                <w:rStyle w:val="26"/>
                <w:rFonts w:eastAsia="仿宋_GB2312"/>
                <w:lang w:bidi="ar"/>
              </w:rPr>
              <w:t>“</w:t>
            </w:r>
            <w:r>
              <w:rPr>
                <w:rFonts w:hint="eastAsia" w:ascii="仿宋_GB2312" w:hAnsi="Arial" w:eastAsia="仿宋_GB2312" w:cs="仿宋_GB2312"/>
                <w:color w:val="000000"/>
                <w:kern w:val="0"/>
                <w:sz w:val="24"/>
                <w:szCs w:val="24"/>
                <w:lang w:bidi="ar"/>
              </w:rPr>
              <w:t>船边直提</w:t>
            </w:r>
            <w:r>
              <w:rPr>
                <w:rStyle w:val="26"/>
                <w:rFonts w:eastAsia="仿宋_GB2312"/>
                <w:lang w:bidi="ar"/>
              </w:rPr>
              <w:t>”</w:t>
            </w:r>
            <w:r>
              <w:rPr>
                <w:rFonts w:hint="eastAsia" w:ascii="仿宋_GB2312" w:hAnsi="Arial" w:eastAsia="仿宋_GB2312" w:cs="仿宋_GB2312"/>
                <w:color w:val="000000"/>
                <w:kern w:val="0"/>
                <w:sz w:val="24"/>
                <w:szCs w:val="24"/>
                <w:lang w:bidi="ar"/>
              </w:rPr>
              <w:t>、</w:t>
            </w:r>
            <w:r>
              <w:rPr>
                <w:rStyle w:val="26"/>
                <w:rFonts w:eastAsia="仿宋_GB2312"/>
                <w:lang w:bidi="ar"/>
              </w:rPr>
              <w:t>“</w:t>
            </w:r>
            <w:r>
              <w:rPr>
                <w:rFonts w:hint="eastAsia" w:ascii="仿宋_GB2312" w:hAnsi="Arial" w:eastAsia="仿宋_GB2312" w:cs="仿宋_GB2312"/>
                <w:color w:val="000000"/>
                <w:kern w:val="0"/>
                <w:sz w:val="24"/>
                <w:szCs w:val="24"/>
                <w:lang w:bidi="ar"/>
              </w:rPr>
              <w:t>抵港直装</w:t>
            </w:r>
            <w:r>
              <w:rPr>
                <w:rStyle w:val="26"/>
                <w:rFonts w:eastAsia="仿宋_GB2312"/>
                <w:lang w:bidi="ar"/>
              </w:rPr>
              <w:t>”</w:t>
            </w:r>
            <w:r>
              <w:rPr>
                <w:rFonts w:hint="eastAsia" w:ascii="仿宋_GB2312" w:hAnsi="Arial" w:eastAsia="仿宋_GB2312" w:cs="仿宋_GB2312"/>
                <w:color w:val="000000"/>
                <w:kern w:val="0"/>
                <w:sz w:val="24"/>
                <w:szCs w:val="24"/>
                <w:lang w:bidi="ar"/>
              </w:rPr>
              <w:t>等改革</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持续推行进出口货物</w:t>
            </w:r>
            <w:r>
              <w:rPr>
                <w:rStyle w:val="26"/>
                <w:rFonts w:eastAsia="仿宋_GB2312"/>
                <w:lang w:bidi="ar"/>
              </w:rPr>
              <w:t>“</w:t>
            </w:r>
            <w:r>
              <w:rPr>
                <w:rFonts w:hint="eastAsia" w:ascii="仿宋_GB2312" w:hAnsi="Arial" w:eastAsia="仿宋_GB2312" w:cs="仿宋_GB2312"/>
                <w:color w:val="000000"/>
                <w:kern w:val="0"/>
                <w:sz w:val="24"/>
                <w:szCs w:val="24"/>
                <w:lang w:bidi="ar"/>
              </w:rPr>
              <w:t>提前申报</w:t>
            </w:r>
            <w:r>
              <w:rPr>
                <w:rStyle w:val="26"/>
                <w:rFonts w:eastAsia="仿宋_GB2312"/>
                <w:lang w:bidi="ar"/>
              </w:rPr>
              <w:t>”“</w:t>
            </w:r>
            <w:r>
              <w:rPr>
                <w:rFonts w:hint="eastAsia" w:ascii="仿宋_GB2312" w:hAnsi="Arial" w:eastAsia="仿宋_GB2312" w:cs="仿宋_GB2312"/>
                <w:color w:val="000000"/>
                <w:kern w:val="0"/>
                <w:sz w:val="24"/>
                <w:szCs w:val="24"/>
                <w:lang w:bidi="ar"/>
              </w:rPr>
              <w:t>两段准入</w:t>
            </w:r>
            <w:r>
              <w:rPr>
                <w:rStyle w:val="26"/>
                <w:rFonts w:eastAsia="仿宋_GB2312"/>
                <w:lang w:bidi="ar"/>
              </w:rPr>
              <w:t>”</w:t>
            </w:r>
            <w:r>
              <w:rPr>
                <w:rFonts w:hint="eastAsia" w:ascii="仿宋_GB2312" w:hAnsi="Arial" w:eastAsia="仿宋_GB2312" w:cs="仿宋_GB2312"/>
                <w:color w:val="000000"/>
                <w:kern w:val="0"/>
                <w:sz w:val="24"/>
                <w:szCs w:val="24"/>
                <w:lang w:bidi="ar"/>
              </w:rPr>
              <w:t>等业务模式改革。在有条件的港口推行进口货物</w:t>
            </w:r>
            <w:r>
              <w:rPr>
                <w:rStyle w:val="26"/>
                <w:rFonts w:eastAsia="仿宋_GB2312"/>
                <w:lang w:bidi="ar"/>
              </w:rPr>
              <w:t>“</w:t>
            </w:r>
            <w:r>
              <w:rPr>
                <w:rFonts w:hint="eastAsia" w:ascii="仿宋_GB2312" w:hAnsi="Arial" w:eastAsia="仿宋_GB2312" w:cs="仿宋_GB2312"/>
                <w:color w:val="000000"/>
                <w:kern w:val="0"/>
                <w:sz w:val="24"/>
                <w:szCs w:val="24"/>
                <w:lang w:bidi="ar"/>
              </w:rPr>
              <w:t>运抵直通</w:t>
            </w:r>
            <w:r>
              <w:rPr>
                <w:rStyle w:val="26"/>
                <w:rFonts w:eastAsia="仿宋_GB2312"/>
                <w:lang w:bidi="ar"/>
              </w:rPr>
              <w:t>”</w:t>
            </w:r>
            <w:r>
              <w:rPr>
                <w:rFonts w:hint="eastAsia" w:ascii="仿宋_GB2312" w:hAnsi="Arial" w:eastAsia="仿宋_GB2312" w:cs="仿宋_GB2312"/>
                <w:color w:val="000000"/>
                <w:kern w:val="0"/>
                <w:sz w:val="24"/>
                <w:szCs w:val="24"/>
                <w:lang w:bidi="ar"/>
              </w:rPr>
              <w:t>模式，破解边境口岸拥堵难题。</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昆明海关</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市商务局</w:t>
            </w: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rFonts w:ascii="仿宋_GB2312" w:hAnsi="Arial" w:cs="仿宋_GB2312"/>
                <w:color w:val="000000"/>
                <w:sz w:val="24"/>
                <w:szCs w:val="24"/>
              </w:rPr>
            </w:pPr>
          </w:p>
        </w:tc>
      </w:tr>
      <w:tr>
        <w:tblPrEx>
          <w:tblLayout w:type="fixed"/>
          <w:tblCellMar>
            <w:top w:w="0" w:type="dxa"/>
            <w:left w:w="0" w:type="dxa"/>
            <w:bottom w:w="0" w:type="dxa"/>
            <w:right w:w="0" w:type="dxa"/>
          </w:tblCellMar>
        </w:tblPrEx>
        <w:trPr>
          <w:trHeight w:val="484"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b/>
                <w:bCs/>
                <w:color w:val="000000"/>
                <w:kern w:val="0"/>
                <w:sz w:val="24"/>
                <w:szCs w:val="24"/>
                <w:lang w:bidi="ar"/>
              </w:rPr>
              <w:t>（六）维护公平竞争秩序</w:t>
            </w:r>
          </w:p>
        </w:tc>
      </w:tr>
      <w:tr>
        <w:tblPrEx>
          <w:tblLayout w:type="fixed"/>
          <w:tblCellMar>
            <w:top w:w="0" w:type="dxa"/>
            <w:left w:w="0" w:type="dxa"/>
            <w:bottom w:w="0" w:type="dxa"/>
            <w:right w:w="0" w:type="dxa"/>
          </w:tblCellMar>
        </w:tblPrEx>
        <w:trPr>
          <w:trHeight w:val="1221"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16</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清理设置非必要条件排斥潜在竞争者行为</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持续清理取消企业在资质资格获取、招投标、政府采购、权益保护等方面存在的差别化待遇，清理通过划分企业登记、增设证明事项、设立项目库、注册、认证、认定等非必要条件排除和限制竞争的行为。</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省发展改革委、省财政厅、省市场监管局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市政务服务局、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市财政局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市市场监管局、市政务服务局、市财政局</w:t>
            </w:r>
          </w:p>
        </w:tc>
      </w:tr>
      <w:tr>
        <w:tblPrEx>
          <w:tblLayout w:type="fixed"/>
          <w:tblCellMar>
            <w:top w:w="0" w:type="dxa"/>
            <w:left w:w="0" w:type="dxa"/>
            <w:bottom w:w="0" w:type="dxa"/>
            <w:right w:w="0" w:type="dxa"/>
          </w:tblCellMar>
        </w:tblPrEx>
        <w:trPr>
          <w:trHeight w:val="942"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17</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优化水利工程招投标手续</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推行水利工程在发布招标公告同时同步发售或者下载资格预审文件（或招标文件）。取消水利工程施工招标条件中</w:t>
            </w:r>
            <w:r>
              <w:rPr>
                <w:rStyle w:val="26"/>
                <w:rFonts w:eastAsia="仿宋_GB2312"/>
                <w:lang w:bidi="ar"/>
              </w:rPr>
              <w:t>“</w:t>
            </w:r>
            <w:r>
              <w:rPr>
                <w:rFonts w:hint="eastAsia" w:ascii="仿宋_GB2312" w:hAnsi="Arial" w:eastAsia="仿宋_GB2312" w:cs="仿宋_GB2312"/>
                <w:color w:val="000000"/>
                <w:kern w:val="0"/>
                <w:sz w:val="24"/>
                <w:szCs w:val="24"/>
                <w:lang w:bidi="ar"/>
              </w:rPr>
              <w:t>监理单位已确定</w:t>
            </w:r>
            <w:r>
              <w:rPr>
                <w:rStyle w:val="26"/>
                <w:rFonts w:eastAsia="仿宋_GB2312"/>
                <w:lang w:bidi="ar"/>
              </w:rPr>
              <w:t>”</w:t>
            </w:r>
            <w:r>
              <w:rPr>
                <w:rFonts w:hint="eastAsia" w:ascii="仿宋_GB2312" w:hAnsi="Arial" w:eastAsia="仿宋_GB2312" w:cs="仿宋_GB2312"/>
                <w:color w:val="000000"/>
                <w:kern w:val="0"/>
                <w:sz w:val="24"/>
                <w:szCs w:val="24"/>
                <w:lang w:bidi="ar"/>
              </w:rPr>
              <w:t>的条件。</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省发展改革委、省水利厅</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市政务服务局、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市水务局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市政务服务局、市水务局</w:t>
            </w:r>
          </w:p>
        </w:tc>
      </w:tr>
      <w:tr>
        <w:tblPrEx>
          <w:tblLayout w:type="fixed"/>
          <w:tblCellMar>
            <w:top w:w="0" w:type="dxa"/>
            <w:left w:w="0" w:type="dxa"/>
            <w:bottom w:w="0" w:type="dxa"/>
            <w:right w:w="0" w:type="dxa"/>
          </w:tblCellMar>
        </w:tblPrEx>
        <w:trPr>
          <w:trHeight w:val="504" w:hRule="atLeast"/>
        </w:trPr>
        <w:tc>
          <w:tcPr>
            <w:tcW w:w="114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b/>
                <w:bCs/>
                <w:color w:val="000000"/>
                <w:kern w:val="0"/>
                <w:sz w:val="24"/>
                <w:szCs w:val="24"/>
                <w:lang w:bidi="ar"/>
              </w:rPr>
              <w:t>（七）进一步加强和创新监管</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left"/>
              <w:rPr>
                <w:color w:val="000000"/>
                <w:sz w:val="24"/>
                <w:szCs w:val="24"/>
              </w:rPr>
            </w:pPr>
          </w:p>
        </w:tc>
      </w:tr>
      <w:tr>
        <w:tblPrEx>
          <w:tblLayout w:type="fixed"/>
          <w:tblCellMar>
            <w:top w:w="0" w:type="dxa"/>
            <w:left w:w="0" w:type="dxa"/>
            <w:bottom w:w="0" w:type="dxa"/>
            <w:right w:w="0" w:type="dxa"/>
          </w:tblCellMar>
        </w:tblPrEx>
        <w:trPr>
          <w:trHeight w:val="15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18</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在部分领域建立完善综合监管机制</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落实《云南省成品油零售经营资格审批管理暂行规定》，进一步规范成品油零售经营资格审批管理。建立健全农业产品质量安全风险监测机制，坚持</w:t>
            </w:r>
            <w:r>
              <w:rPr>
                <w:rStyle w:val="26"/>
                <w:rFonts w:eastAsia="仿宋_GB2312"/>
                <w:lang w:bidi="ar"/>
              </w:rPr>
              <w:t>“</w:t>
            </w:r>
            <w:r>
              <w:rPr>
                <w:rFonts w:hint="eastAsia" w:ascii="仿宋_GB2312" w:hAnsi="Arial" w:eastAsia="仿宋_GB2312" w:cs="仿宋_GB2312"/>
                <w:color w:val="000000"/>
                <w:kern w:val="0"/>
                <w:sz w:val="24"/>
                <w:szCs w:val="24"/>
                <w:lang w:bidi="ar"/>
              </w:rPr>
              <w:t>大宗产品不放松，重点品质轮动监测</w:t>
            </w:r>
            <w:r>
              <w:rPr>
                <w:rStyle w:val="26"/>
                <w:rFonts w:eastAsia="仿宋_GB2312"/>
                <w:lang w:bidi="ar"/>
              </w:rPr>
              <w:t>”</w:t>
            </w:r>
            <w:r>
              <w:rPr>
                <w:rFonts w:hint="eastAsia" w:ascii="仿宋_GB2312" w:hAnsi="Arial" w:eastAsia="仿宋_GB2312" w:cs="仿宋_GB2312"/>
                <w:color w:val="000000"/>
                <w:kern w:val="0"/>
                <w:sz w:val="24"/>
                <w:szCs w:val="24"/>
                <w:lang w:bidi="ar"/>
              </w:rPr>
              <w:t>的原则，组织实施农产品质量安全风险监测。</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省商务厅、省农业农村厅、省市场监管局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市商务局、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市农业农村局、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市发改局、市农业农村局、市市场监管局</w:t>
            </w:r>
          </w:p>
        </w:tc>
      </w:tr>
      <w:tr>
        <w:tblPrEx>
          <w:tblLayout w:type="fixed"/>
          <w:tblCellMar>
            <w:top w:w="0" w:type="dxa"/>
            <w:left w:w="0" w:type="dxa"/>
            <w:bottom w:w="0" w:type="dxa"/>
            <w:right w:w="0" w:type="dxa"/>
          </w:tblCellMar>
        </w:tblPrEx>
        <w:trPr>
          <w:trHeight w:val="2536"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19</w:t>
            </w:r>
          </w:p>
        </w:tc>
        <w:tc>
          <w:tcPr>
            <w:tcW w:w="2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在部分重点领域建立事前事中事后全流程监管机制</w:t>
            </w:r>
          </w:p>
        </w:tc>
        <w:tc>
          <w:tcPr>
            <w:tcW w:w="6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在食品药品、环境保护、水土保持、医疗卫生等重点领域，建立完善事前、事中、事后全流程监管体系。在食品药品领域，完善法律法规体系，强化药品标准体系，强化技术审评，持续推进</w:t>
            </w:r>
            <w:r>
              <w:rPr>
                <w:rStyle w:val="26"/>
                <w:rFonts w:eastAsia="仿宋_GB2312"/>
                <w:lang w:bidi="ar"/>
              </w:rPr>
              <w:t>“</w:t>
            </w:r>
            <w:r>
              <w:rPr>
                <w:rFonts w:hint="eastAsia" w:ascii="仿宋_GB2312" w:hAnsi="Arial" w:eastAsia="仿宋_GB2312" w:cs="仿宋_GB2312"/>
                <w:color w:val="000000"/>
                <w:kern w:val="0"/>
                <w:sz w:val="24"/>
                <w:szCs w:val="24"/>
                <w:lang w:bidi="ar"/>
              </w:rPr>
              <w:t>一网通办</w:t>
            </w:r>
            <w:r>
              <w:rPr>
                <w:rStyle w:val="26"/>
                <w:rFonts w:eastAsia="仿宋_GB2312"/>
                <w:lang w:bidi="ar"/>
              </w:rPr>
              <w:t>”</w:t>
            </w:r>
            <w:r>
              <w:rPr>
                <w:rFonts w:hint="eastAsia" w:ascii="仿宋_GB2312" w:hAnsi="Arial" w:eastAsia="仿宋_GB2312" w:cs="仿宋_GB2312"/>
                <w:color w:val="000000"/>
                <w:kern w:val="0"/>
                <w:sz w:val="24"/>
                <w:szCs w:val="24"/>
                <w:lang w:bidi="ar"/>
              </w:rPr>
              <w:t>。强化重点品种监管，强化重点领域整治，强化案件查办。建立企业信用分类监管机制，持续完善药物警戒体系，继续规范药品抽检工作。全面提升法规建设能力，全面提升综合风险研判能力，全面提升检查稽查能力，全面提升智慧监管能力。在环境保护领域，建立问题分析研判联席会议制度，创新实施环评审批</w:t>
            </w:r>
            <w:r>
              <w:rPr>
                <w:rStyle w:val="26"/>
                <w:rFonts w:eastAsia="仿宋_GB2312"/>
                <w:lang w:bidi="ar"/>
              </w:rPr>
              <w:t>“</w:t>
            </w:r>
            <w:r>
              <w:rPr>
                <w:rFonts w:hint="eastAsia" w:ascii="仿宋_GB2312" w:hAnsi="Arial" w:eastAsia="仿宋_GB2312" w:cs="仿宋_GB2312"/>
                <w:color w:val="000000"/>
                <w:kern w:val="0"/>
                <w:sz w:val="24"/>
                <w:szCs w:val="24"/>
                <w:lang w:bidi="ar"/>
              </w:rPr>
              <w:t>五个一</w:t>
            </w:r>
            <w:r>
              <w:rPr>
                <w:rStyle w:val="26"/>
                <w:rFonts w:eastAsia="仿宋_GB2312"/>
                <w:lang w:bidi="ar"/>
              </w:rPr>
              <w:t>”</w:t>
            </w:r>
            <w:r>
              <w:rPr>
                <w:rFonts w:hint="eastAsia" w:ascii="仿宋_GB2312" w:hAnsi="Arial" w:eastAsia="仿宋_GB2312" w:cs="仿宋_GB2312"/>
                <w:color w:val="000000"/>
                <w:kern w:val="0"/>
                <w:sz w:val="24"/>
                <w:szCs w:val="24"/>
                <w:lang w:bidi="ar"/>
              </w:rPr>
              <w:t>服务，推动生态环境领域监管智能化、信息化建设，利用互联网、大数据等现代技术手段开展非现场巡查，实施远程监管。在医疗卫生领域，持续强化医疗机构事中事后监管，加大对医疗机构依法执业情况日常监督检查执法力度，加强对基层监督员的培训指导。积极推进信息化建设，推行非接触在线监管，提升监管效率。全面推进</w:t>
            </w:r>
            <w:r>
              <w:rPr>
                <w:rStyle w:val="26"/>
                <w:rFonts w:eastAsia="仿宋_GB2312"/>
                <w:lang w:bidi="ar"/>
              </w:rPr>
              <w:t>“</w:t>
            </w:r>
            <w:r>
              <w:rPr>
                <w:rFonts w:hint="eastAsia" w:ascii="仿宋_GB2312" w:hAnsi="Arial" w:eastAsia="仿宋_GB2312" w:cs="仿宋_GB2312"/>
                <w:color w:val="000000"/>
                <w:kern w:val="0"/>
                <w:sz w:val="24"/>
                <w:szCs w:val="24"/>
                <w:lang w:bidi="ar"/>
              </w:rPr>
              <w:t>双随机、一公开</w:t>
            </w:r>
            <w:r>
              <w:rPr>
                <w:rStyle w:val="26"/>
                <w:rFonts w:eastAsia="仿宋_GB2312"/>
                <w:lang w:bidi="ar"/>
              </w:rPr>
              <w:t>”</w:t>
            </w:r>
            <w:r>
              <w:rPr>
                <w:rFonts w:hint="eastAsia" w:ascii="仿宋_GB2312" w:hAnsi="Arial" w:eastAsia="仿宋_GB2312" w:cs="仿宋_GB2312"/>
                <w:color w:val="000000"/>
                <w:kern w:val="0"/>
                <w:sz w:val="24"/>
                <w:szCs w:val="24"/>
                <w:lang w:bidi="ar"/>
              </w:rPr>
              <w:t>，强化事中事后监管，及时更新强化</w:t>
            </w:r>
            <w:r>
              <w:rPr>
                <w:rStyle w:val="26"/>
                <w:rFonts w:eastAsia="仿宋_GB2312"/>
                <w:lang w:bidi="ar"/>
              </w:rPr>
              <w:t>“</w:t>
            </w:r>
            <w:r>
              <w:rPr>
                <w:rFonts w:hint="eastAsia" w:ascii="仿宋_GB2312" w:hAnsi="Arial" w:eastAsia="仿宋_GB2312" w:cs="仿宋_GB2312"/>
                <w:color w:val="000000"/>
                <w:kern w:val="0"/>
                <w:sz w:val="24"/>
                <w:szCs w:val="24"/>
                <w:lang w:bidi="ar"/>
              </w:rPr>
              <w:t>两库</w:t>
            </w:r>
            <w:r>
              <w:rPr>
                <w:rStyle w:val="26"/>
                <w:rFonts w:eastAsia="仿宋_GB2312"/>
                <w:lang w:bidi="ar"/>
              </w:rPr>
              <w:t>”</w:t>
            </w:r>
            <w:r>
              <w:rPr>
                <w:rFonts w:hint="eastAsia" w:ascii="仿宋_GB2312" w:hAnsi="Arial" w:eastAsia="仿宋_GB2312" w:cs="仿宋_GB2312"/>
                <w:color w:val="000000"/>
                <w:kern w:val="0"/>
                <w:sz w:val="24"/>
                <w:szCs w:val="24"/>
                <w:lang w:bidi="ar"/>
              </w:rPr>
              <w:t>数据信息。积极探索包容审慎监管新方式，按照有关要求形成《云南省卫生健康监督执法减免责清单》，在法定权限范围内给予市场主体容错纠错空间，并动态调整适用范围。在住房城乡建设领域，对建设工程项目质量安全、消防及燃气安全、市场行为、工地扬尘等重点领域监管事项、实施告知承诺制事项、群众反映投诉强烈对象、列入重点监管名单的对象，采取日常巡查、批后核查、重点检查等方式开展监管工作。在水土保持领域，完善生产建设项目水土保持全流程监管工作方案，逐项明确监管措施，实现事前事中事后全链条全领域监管。</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省发展改革委、省生态环境厅、省住房城乡建设厅、省水利厅、省卫生健康委、省市场监管局、省疾控局、省药监局</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市发改委、</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市生态环境局、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市住建局、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市水务局、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市卫健委、</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市发改局、市生态环境分局、市住建局、市水务局、市卫健局、市市场监管局</w:t>
            </w:r>
          </w:p>
        </w:tc>
      </w:tr>
      <w:tr>
        <w:tblPrEx>
          <w:tblLayout w:type="fixed"/>
          <w:tblCellMar>
            <w:top w:w="0" w:type="dxa"/>
            <w:left w:w="0" w:type="dxa"/>
            <w:bottom w:w="0" w:type="dxa"/>
            <w:right w:w="0" w:type="dxa"/>
          </w:tblCellMar>
        </w:tblPrEx>
        <w:trPr>
          <w:trHeight w:val="1817"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center"/>
              <w:rPr>
                <w:color w:val="000000"/>
                <w:sz w:val="24"/>
                <w:szCs w:val="24"/>
              </w:rPr>
            </w:pP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left"/>
              <w:rPr>
                <w:rFonts w:ascii="仿宋_GB2312" w:hAnsi="Arial" w:cs="仿宋_GB2312"/>
                <w:color w:val="000000"/>
                <w:sz w:val="24"/>
                <w:szCs w:val="24"/>
              </w:rPr>
            </w:pPr>
          </w:p>
        </w:tc>
        <w:tc>
          <w:tcPr>
            <w:tcW w:w="6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left"/>
              <w:rPr>
                <w:rFonts w:ascii="仿宋_GB2312" w:hAnsi="Arial" w:cs="仿宋_GB2312"/>
                <w:color w:val="000000"/>
                <w:sz w:val="24"/>
                <w:szCs w:val="24"/>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left"/>
              <w:rPr>
                <w:rFonts w:ascii="仿宋_GB2312" w:hAnsi="Arial" w:cs="仿宋_GB2312"/>
                <w:color w:val="000000"/>
                <w:sz w:val="24"/>
                <w:szCs w:val="24"/>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left"/>
              <w:rPr>
                <w:rFonts w:ascii="仿宋_GB2312" w:hAnsi="Arial" w:cs="仿宋_GB2312"/>
                <w:color w:val="000000"/>
                <w:sz w:val="24"/>
                <w:szCs w:val="24"/>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0" w:lineRule="atLeast"/>
              <w:jc w:val="left"/>
              <w:rPr>
                <w:rFonts w:ascii="仿宋_GB2312" w:hAnsi="Arial" w:cs="仿宋_GB2312"/>
                <w:color w:val="000000"/>
                <w:sz w:val="24"/>
                <w:szCs w:val="24"/>
              </w:rPr>
            </w:pPr>
          </w:p>
        </w:tc>
      </w:tr>
      <w:tr>
        <w:tblPrEx>
          <w:tblLayout w:type="fixed"/>
          <w:tblCellMar>
            <w:top w:w="0" w:type="dxa"/>
            <w:left w:w="0" w:type="dxa"/>
            <w:bottom w:w="0" w:type="dxa"/>
            <w:right w:w="0" w:type="dxa"/>
          </w:tblCellMar>
        </w:tblPrEx>
        <w:trPr>
          <w:trHeight w:val="583"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b/>
                <w:bCs/>
                <w:color w:val="000000"/>
                <w:kern w:val="0"/>
                <w:sz w:val="24"/>
                <w:szCs w:val="24"/>
                <w:lang w:bidi="ar"/>
              </w:rPr>
              <w:t>（八）依法保护各类市场主体产权和合法权益</w:t>
            </w:r>
          </w:p>
        </w:tc>
      </w:tr>
      <w:tr>
        <w:tblPrEx>
          <w:tblLayout w:type="fixed"/>
          <w:tblCellMar>
            <w:top w:w="0" w:type="dxa"/>
            <w:left w:w="0" w:type="dxa"/>
            <w:bottom w:w="0" w:type="dxa"/>
            <w:right w:w="0" w:type="dxa"/>
          </w:tblCellMar>
        </w:tblPrEx>
        <w:trPr>
          <w:trHeight w:val="1879"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20</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建立健全政务诚信诉讼执行协调机制</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通过国家信用平台</w:t>
            </w:r>
            <w:r>
              <w:rPr>
                <w:rStyle w:val="26"/>
                <w:rFonts w:eastAsia="仿宋_GB2312"/>
                <w:lang w:bidi="ar"/>
              </w:rPr>
              <w:t>“</w:t>
            </w:r>
            <w:r>
              <w:rPr>
                <w:rFonts w:hint="eastAsia" w:ascii="仿宋_GB2312" w:hAnsi="Arial" w:eastAsia="仿宋_GB2312" w:cs="仿宋_GB2312"/>
                <w:color w:val="000000"/>
                <w:kern w:val="0"/>
                <w:sz w:val="24"/>
                <w:szCs w:val="24"/>
                <w:lang w:bidi="ar"/>
              </w:rPr>
              <w:t>信用中国</w:t>
            </w:r>
            <w:r>
              <w:rPr>
                <w:rStyle w:val="26"/>
                <w:rFonts w:eastAsia="仿宋_GB2312"/>
                <w:lang w:bidi="ar"/>
              </w:rPr>
              <w:t>”</w:t>
            </w:r>
            <w:r>
              <w:rPr>
                <w:rFonts w:hint="eastAsia" w:ascii="仿宋_GB2312" w:hAnsi="Arial" w:eastAsia="仿宋_GB2312" w:cs="仿宋_GB2312"/>
                <w:color w:val="000000"/>
                <w:kern w:val="0"/>
                <w:sz w:val="24"/>
                <w:szCs w:val="24"/>
                <w:lang w:bidi="ar"/>
              </w:rPr>
              <w:t>共享信用惩戒名单，实时推送涉及政府部门和事业单位的失信被执行人名单，供社会公开查询和实施联合惩戒，积极推动完善全省执行难综合治理格局，深化执行联动机制建设。</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省高级人民法院、省政府办公厅、省发展改革委、省司法厅</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市法院</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市政府办、</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市发改委、</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市司法局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市法院、市政府办、市发改局、市司法局</w:t>
            </w:r>
          </w:p>
        </w:tc>
      </w:tr>
      <w:tr>
        <w:tblPrEx>
          <w:tblLayout w:type="fixed"/>
          <w:tblCellMar>
            <w:top w:w="0" w:type="dxa"/>
            <w:left w:w="0" w:type="dxa"/>
            <w:bottom w:w="0" w:type="dxa"/>
            <w:right w:w="0" w:type="dxa"/>
          </w:tblCellMar>
        </w:tblPrEx>
        <w:trPr>
          <w:trHeight w:val="822"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21</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畅通知识产权领域信息交换渠道</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配合省知识产权局完成商标恶意注册和非正常专利申请整治行动。</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省知识产权局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市市场监管局</w:t>
            </w:r>
          </w:p>
        </w:tc>
      </w:tr>
      <w:tr>
        <w:tblPrEx>
          <w:tblLayout w:type="fixed"/>
          <w:tblCellMar>
            <w:top w:w="0" w:type="dxa"/>
            <w:left w:w="0" w:type="dxa"/>
            <w:bottom w:w="0" w:type="dxa"/>
            <w:right w:w="0" w:type="dxa"/>
          </w:tblCellMar>
        </w:tblPrEx>
        <w:trPr>
          <w:trHeight w:val="563"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b/>
                <w:bCs/>
                <w:color w:val="000000"/>
                <w:kern w:val="0"/>
                <w:sz w:val="24"/>
                <w:szCs w:val="24"/>
                <w:lang w:bidi="ar"/>
              </w:rPr>
              <w:t>（九）优化经常性涉企服务</w:t>
            </w:r>
          </w:p>
        </w:tc>
      </w:tr>
      <w:tr>
        <w:tblPrEx>
          <w:tblLayout w:type="fixed"/>
          <w:tblCellMar>
            <w:top w:w="0" w:type="dxa"/>
            <w:left w:w="0" w:type="dxa"/>
            <w:bottom w:w="0" w:type="dxa"/>
            <w:right w:w="0" w:type="dxa"/>
          </w:tblCellMar>
        </w:tblPrEx>
        <w:trPr>
          <w:trHeight w:val="647"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22</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简化检验检测机构人员信息变更办理程序</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检验检测机构变更法定代表人、最高管理者、技术负责人，由检验检测机构自行修改资质认定系统人员信息，不需再到资质认定部门申请办理。</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省市场监管局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市市场监管局</w:t>
            </w:r>
          </w:p>
        </w:tc>
      </w:tr>
      <w:tr>
        <w:tblPrEx>
          <w:tblLayout w:type="fixed"/>
          <w:tblCellMar>
            <w:top w:w="0" w:type="dxa"/>
            <w:left w:w="0" w:type="dxa"/>
            <w:bottom w:w="0" w:type="dxa"/>
            <w:right w:w="0" w:type="dxa"/>
          </w:tblCellMar>
        </w:tblPrEx>
        <w:trPr>
          <w:trHeight w:val="15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23</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简化不动产非公证继承手续</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积极推进简化不动产非公证继承手续，法定继承人或受遗赠人到不动产登记机构进行登记材料查验，有第一顺序继承人的，第二顺序继承人无需到场，无需提交第二顺序继承人材料。登记申请人应承诺提交的申请材料真实有效，因承诺不实给他人造成损失的，承担相应法律责任。有条件的地区，可根据工作实际，评估试行不动产继承登记告知承诺制。</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省自然资源厅</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hint="eastAsia" w:ascii="仿宋_GB2312" w:hAnsi="Arial" w:cs="仿宋_GB2312" w:eastAsiaTheme="minorEastAsia"/>
                <w:color w:val="000000"/>
                <w:sz w:val="24"/>
                <w:szCs w:val="24"/>
                <w:lang w:eastAsia="zh-CN"/>
              </w:rPr>
            </w:pPr>
            <w:r>
              <w:rPr>
                <w:rFonts w:hint="eastAsia" w:ascii="仿宋_GB2312" w:hAnsi="Arial" w:cs="仿宋_GB2312"/>
                <w:color w:val="000000"/>
                <w:kern w:val="0"/>
                <w:sz w:val="24"/>
                <w:szCs w:val="24"/>
                <w:lang w:eastAsia="zh-CN" w:bidi="ar"/>
              </w:rPr>
              <w:t>昆明市自然资源和规划局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市自然资源局</w:t>
            </w:r>
          </w:p>
        </w:tc>
      </w:tr>
      <w:tr>
        <w:tblPrEx>
          <w:tblLayout w:type="fixed"/>
          <w:tblCellMar>
            <w:top w:w="0" w:type="dxa"/>
            <w:left w:w="0" w:type="dxa"/>
            <w:bottom w:w="0" w:type="dxa"/>
            <w:right w:w="0" w:type="dxa"/>
          </w:tblCellMar>
        </w:tblPrEx>
        <w:trPr>
          <w:trHeight w:val="647"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24</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推行非接触式发放税务</w:t>
            </w:r>
            <w:r>
              <w:rPr>
                <w:rStyle w:val="26"/>
                <w:rFonts w:eastAsia="仿宋_GB2312"/>
                <w:lang w:bidi="ar"/>
              </w:rPr>
              <w:t>UKey</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加速全电发票的推广应用，纳税人无需申领</w:t>
            </w:r>
            <w:r>
              <w:rPr>
                <w:rStyle w:val="26"/>
                <w:rFonts w:eastAsia="仿宋_GB2312"/>
                <w:lang w:bidi="ar"/>
              </w:rPr>
              <w:t>UKey</w:t>
            </w:r>
            <w:r>
              <w:rPr>
                <w:rFonts w:hint="eastAsia" w:ascii="仿宋_GB2312" w:hAnsi="Arial" w:eastAsia="仿宋_GB2312" w:cs="仿宋_GB2312"/>
                <w:color w:val="000000"/>
                <w:kern w:val="0"/>
                <w:sz w:val="24"/>
                <w:szCs w:val="24"/>
                <w:lang w:bidi="ar"/>
              </w:rPr>
              <w:t>，也可以开具发票。</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省税务局、省市场监管局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市税务局、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市税务局、市市场监管局</w:t>
            </w:r>
          </w:p>
        </w:tc>
      </w:tr>
      <w:tr>
        <w:tblPrEx>
          <w:tblLayout w:type="fixed"/>
          <w:tblCellMar>
            <w:top w:w="0" w:type="dxa"/>
            <w:left w:w="0" w:type="dxa"/>
            <w:bottom w:w="0" w:type="dxa"/>
            <w:right w:w="0" w:type="dxa"/>
          </w:tblCellMar>
        </w:tblPrEx>
        <w:trPr>
          <w:trHeight w:val="15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25</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推行全国车船税缴纳信息联网查询与核验</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搭建数据专线，优化数据接口服务应用，实现数据共享。通过与全国车险信息平台建设查询接口实现我省车船税直接完税信息实时查询，供保险机构在保单金额试算和投保确认环节办理保险和代收车船税。按照总局部署，对接数据口服务应用进行优化，提高数据使用时效性，满足纳税人本地、异地车辆办理保险时车船税的查询与核验实时性的需求。</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省税务局、云南银保监局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市税务局、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市金融办</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市税务局、市</w:t>
            </w:r>
            <w:r>
              <w:rPr>
                <w:rFonts w:hint="eastAsia" w:ascii="仿宋_GB2312" w:hAnsi="Arial" w:cs="仿宋_GB2312"/>
                <w:color w:val="000000"/>
                <w:kern w:val="0"/>
                <w:sz w:val="24"/>
                <w:szCs w:val="24"/>
                <w:lang w:bidi="ar"/>
              </w:rPr>
              <w:t>财政局</w:t>
            </w:r>
          </w:p>
        </w:tc>
      </w:tr>
      <w:tr>
        <w:tblPrEx>
          <w:tblLayout w:type="fixed"/>
          <w:tblCellMar>
            <w:top w:w="0" w:type="dxa"/>
            <w:left w:w="0" w:type="dxa"/>
            <w:bottom w:w="0" w:type="dxa"/>
            <w:right w:w="0" w:type="dxa"/>
          </w:tblCellMar>
        </w:tblPrEx>
        <w:trPr>
          <w:trHeight w:val="958"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26</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进一步拓展企业涉税数据开放维度</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推动地方税务局的欠税公告信息、非正常户信息和骗取退税、虚开发票等高风险纳税人名单信息，以及税务总局的行政处罚类信息等共享共用，进一步提高征管效能。</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省税务局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市税务局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市税务局</w:t>
            </w:r>
          </w:p>
        </w:tc>
      </w:tr>
      <w:tr>
        <w:tblPrEx>
          <w:tblLayout w:type="fixed"/>
          <w:tblCellMar>
            <w:top w:w="0" w:type="dxa"/>
            <w:left w:w="0" w:type="dxa"/>
            <w:bottom w:w="0" w:type="dxa"/>
            <w:right w:w="0" w:type="dxa"/>
          </w:tblCellMar>
        </w:tblPrEx>
        <w:trPr>
          <w:trHeight w:val="384"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color w:val="000000"/>
                <w:sz w:val="24"/>
                <w:szCs w:val="24"/>
              </w:rPr>
            </w:pPr>
            <w:r>
              <w:rPr>
                <w:rStyle w:val="25"/>
                <w:rFonts w:hint="default" w:ascii="Times New Roman" w:hAnsi="Times New Roman" w:cs="Times New Roman"/>
                <w:lang w:bidi="ar"/>
              </w:rPr>
              <w:t>二、非试点地区参考借鉴创新试点改革举措（共</w:t>
            </w:r>
            <w:r>
              <w:rPr>
                <w:rStyle w:val="26"/>
                <w:rFonts w:eastAsia="楷体_GB2312"/>
                <w:lang w:bidi="ar"/>
              </w:rPr>
              <w:t>13</w:t>
            </w:r>
            <w:r>
              <w:rPr>
                <w:rStyle w:val="25"/>
                <w:rFonts w:hint="default" w:ascii="Times New Roman" w:hAnsi="Times New Roman" w:cs="Times New Roman"/>
                <w:lang w:bidi="ar"/>
              </w:rPr>
              <w:t>项）</w:t>
            </w:r>
          </w:p>
        </w:tc>
      </w:tr>
      <w:tr>
        <w:tblPrEx>
          <w:tblLayout w:type="fixed"/>
          <w:tblCellMar>
            <w:top w:w="0" w:type="dxa"/>
            <w:left w:w="0" w:type="dxa"/>
            <w:bottom w:w="0" w:type="dxa"/>
            <w:right w:w="0" w:type="dxa"/>
          </w:tblCellMar>
        </w:tblPrEx>
        <w:trPr>
          <w:trHeight w:val="336"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b/>
                <w:bCs/>
                <w:color w:val="000000"/>
                <w:kern w:val="0"/>
                <w:sz w:val="24"/>
                <w:szCs w:val="24"/>
                <w:lang w:bidi="ar"/>
              </w:rPr>
              <w:t>（一）进一步破处区域分割和地方保护等不合理限制</w:t>
            </w:r>
          </w:p>
        </w:tc>
      </w:tr>
      <w:tr>
        <w:tblPrEx>
          <w:tblLayout w:type="fixed"/>
          <w:tblCellMar>
            <w:top w:w="0" w:type="dxa"/>
            <w:left w:w="0" w:type="dxa"/>
            <w:bottom w:w="0" w:type="dxa"/>
            <w:right w:w="0" w:type="dxa"/>
          </w:tblCellMar>
        </w:tblPrEx>
        <w:trPr>
          <w:trHeight w:val="455"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开展</w:t>
            </w:r>
            <w:r>
              <w:rPr>
                <w:rStyle w:val="26"/>
                <w:rFonts w:eastAsia="仿宋_GB2312"/>
                <w:lang w:bidi="ar"/>
              </w:rPr>
              <w:t>“</w:t>
            </w:r>
            <w:r>
              <w:rPr>
                <w:rFonts w:hint="eastAsia" w:ascii="仿宋_GB2312" w:hAnsi="Arial" w:eastAsia="仿宋_GB2312" w:cs="仿宋_GB2312"/>
                <w:color w:val="000000"/>
                <w:kern w:val="0"/>
                <w:sz w:val="24"/>
                <w:szCs w:val="24"/>
                <w:lang w:bidi="ar"/>
              </w:rPr>
              <w:t>一照多址</w:t>
            </w:r>
            <w:r>
              <w:rPr>
                <w:rStyle w:val="26"/>
                <w:rFonts w:eastAsia="仿宋_GB2312"/>
                <w:lang w:bidi="ar"/>
              </w:rPr>
              <w:t>”</w:t>
            </w:r>
            <w:r>
              <w:rPr>
                <w:rFonts w:hint="eastAsia" w:ascii="仿宋_GB2312" w:hAnsi="Arial" w:eastAsia="仿宋_GB2312" w:cs="仿宋_GB2312"/>
                <w:color w:val="000000"/>
                <w:kern w:val="0"/>
                <w:sz w:val="24"/>
                <w:szCs w:val="24"/>
                <w:lang w:bidi="ar"/>
              </w:rPr>
              <w:t>改革</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市场主体只能登记一个住所或者主要经营场所，可以</w:t>
            </w:r>
            <w:r>
              <w:rPr>
                <w:rFonts w:hint="eastAsia" w:ascii="仿宋_GB2312" w:hAnsi="Arial" w:eastAsia="仿宋_GB2312" w:cs="仿宋_GB2312"/>
                <w:color w:val="000000"/>
                <w:kern w:val="0"/>
                <w:sz w:val="24"/>
                <w:szCs w:val="24"/>
                <w:lang w:eastAsia="zh-CN" w:bidi="ar"/>
              </w:rPr>
              <w:t>登记</w:t>
            </w:r>
            <w:r>
              <w:rPr>
                <w:rFonts w:hint="eastAsia" w:ascii="仿宋_GB2312" w:hAnsi="Arial" w:eastAsia="仿宋_GB2312" w:cs="仿宋_GB2312"/>
                <w:color w:val="000000"/>
                <w:kern w:val="0"/>
                <w:sz w:val="24"/>
                <w:szCs w:val="24"/>
                <w:lang w:bidi="ar"/>
              </w:rPr>
              <w:t>多个经营场所。对于市场主体所在住所（主要经营场所）以外开展经营获得、属于同一县级登记机关管辖的，可免于设立分支机构，但应当申请增加经营场所登记。法律法规对经营获得或经营项目另有规定的，从其规定。</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省市场监管局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市市场监管局</w:t>
            </w:r>
          </w:p>
        </w:tc>
      </w:tr>
      <w:tr>
        <w:tblPrEx>
          <w:tblLayout w:type="fixed"/>
          <w:tblCellMar>
            <w:top w:w="0" w:type="dxa"/>
            <w:left w:w="0" w:type="dxa"/>
            <w:bottom w:w="0" w:type="dxa"/>
            <w:right w:w="0" w:type="dxa"/>
          </w:tblCellMar>
        </w:tblPrEx>
        <w:trPr>
          <w:trHeight w:val="336"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b/>
                <w:bCs/>
                <w:color w:val="000000"/>
                <w:kern w:val="0"/>
                <w:sz w:val="24"/>
                <w:szCs w:val="24"/>
                <w:lang w:bidi="ar"/>
              </w:rPr>
              <w:t>（二）健全更加开放透明、规范高效的市场主体准入和退出机制</w:t>
            </w:r>
          </w:p>
        </w:tc>
      </w:tr>
      <w:tr>
        <w:tblPrEx>
          <w:tblLayout w:type="fixed"/>
          <w:tblCellMar>
            <w:top w:w="0" w:type="dxa"/>
            <w:left w:w="0" w:type="dxa"/>
            <w:bottom w:w="0" w:type="dxa"/>
            <w:right w:w="0" w:type="dxa"/>
          </w:tblCellMar>
        </w:tblPrEx>
        <w:trPr>
          <w:trHeight w:val="958"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2</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推行企业登记信息变更网上办理</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通过企业开办</w:t>
            </w:r>
            <w:r>
              <w:rPr>
                <w:rStyle w:val="26"/>
                <w:rFonts w:eastAsia="仿宋_GB2312"/>
                <w:lang w:bidi="ar"/>
              </w:rPr>
              <w:t>“</w:t>
            </w:r>
            <w:r>
              <w:rPr>
                <w:rFonts w:hint="eastAsia" w:ascii="仿宋_GB2312" w:hAnsi="Arial" w:eastAsia="仿宋_GB2312" w:cs="仿宋_GB2312"/>
                <w:color w:val="000000"/>
                <w:kern w:val="0"/>
                <w:sz w:val="24"/>
                <w:szCs w:val="24"/>
                <w:lang w:bidi="ar"/>
              </w:rPr>
              <w:t>一网通办</w:t>
            </w:r>
            <w:r>
              <w:rPr>
                <w:rStyle w:val="26"/>
                <w:rFonts w:eastAsia="仿宋_GB2312"/>
                <w:lang w:bidi="ar"/>
              </w:rPr>
              <w:t>”</w:t>
            </w:r>
            <w:r>
              <w:rPr>
                <w:rFonts w:hint="eastAsia" w:ascii="仿宋_GB2312" w:hAnsi="Arial" w:eastAsia="仿宋_GB2312" w:cs="仿宋_GB2312"/>
                <w:color w:val="000000"/>
                <w:kern w:val="0"/>
                <w:sz w:val="24"/>
                <w:szCs w:val="24"/>
                <w:lang w:bidi="ar"/>
              </w:rPr>
              <w:t>平台完成登记注册的企业，可通过平台实现全程网上办理变更手续，企业登记的变更信息同步推送至有关部门，有关部门在办理后续业务时不再要求企业重复提交。</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省市场监管局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市市场监管局</w:t>
            </w:r>
          </w:p>
        </w:tc>
      </w:tr>
      <w:tr>
        <w:tblPrEx>
          <w:tblLayout w:type="fixed"/>
          <w:tblCellMar>
            <w:top w:w="0" w:type="dxa"/>
            <w:left w:w="0" w:type="dxa"/>
            <w:bottom w:w="0" w:type="dxa"/>
            <w:right w:w="0" w:type="dxa"/>
          </w:tblCellMar>
        </w:tblPrEx>
        <w:trPr>
          <w:trHeight w:val="336"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b/>
                <w:bCs/>
                <w:color w:val="000000"/>
                <w:kern w:val="0"/>
                <w:sz w:val="24"/>
                <w:szCs w:val="24"/>
                <w:lang w:bidi="ar"/>
              </w:rPr>
              <w:t>（三）持续提升投资和建设便利度</w:t>
            </w:r>
          </w:p>
        </w:tc>
      </w:tr>
      <w:tr>
        <w:tblPrEx>
          <w:tblLayout w:type="fixed"/>
          <w:tblCellMar>
            <w:top w:w="0" w:type="dxa"/>
            <w:left w:w="0" w:type="dxa"/>
            <w:bottom w:w="0" w:type="dxa"/>
            <w:right w:w="0" w:type="dxa"/>
          </w:tblCellMar>
        </w:tblPrEx>
        <w:trPr>
          <w:trHeight w:val="2512"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3</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推进社会投资项目</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用地清单制</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改革</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积极推进工业用地</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标准地</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供应。按照供地即可开工的原则，推进工业用地</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标准地</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出让机制。在土地供应前，由地方政府或依法设立的开发区（园区）和新区的管理机构统一开展地质灾害、压覆重要矿产资源及矿业权、环境影响、水土保持、洪水影响、文物考古等评估和普查。土地用途、规划条件和有关控制指标应通过出让公告公开发布，并纳入土地出让合同。</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省发展改革委、省自然资源厅、省住房城乡建设厅、省水利厅、省气象局、省地震局、省人防办</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市发改委、</w:t>
            </w:r>
            <w:r>
              <w:rPr>
                <w:rFonts w:hint="eastAsia" w:ascii="仿宋_GB2312" w:hAnsi="Arial" w:eastAsia="仿宋_GB2312" w:cs="仿宋_GB2312"/>
                <w:color w:val="000000"/>
                <w:kern w:val="0"/>
                <w:sz w:val="24"/>
                <w:szCs w:val="24"/>
                <w:lang w:eastAsia="zh-CN" w:bidi="ar"/>
              </w:rPr>
              <w:t>昆明市自然资源和规划局</w:t>
            </w:r>
            <w:r>
              <w:rPr>
                <w:rFonts w:hint="eastAsia" w:ascii="仿宋_GB2312" w:hAnsi="Arial" w:eastAsia="仿宋_GB2312" w:cs="仿宋_GB2312"/>
                <w:color w:val="000000"/>
                <w:kern w:val="0"/>
                <w:sz w:val="24"/>
                <w:szCs w:val="24"/>
                <w:lang w:bidi="ar"/>
              </w:rPr>
              <w:t>、</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市住建局、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市水务局、</w:t>
            </w:r>
            <w:r>
              <w:rPr>
                <w:rFonts w:hint="eastAsia" w:ascii="仿宋_GB2312" w:hAnsi="Arial" w:cs="仿宋_GB2312"/>
                <w:color w:val="000000"/>
                <w:kern w:val="0"/>
                <w:sz w:val="24"/>
                <w:szCs w:val="24"/>
                <w:lang w:bidi="ar"/>
              </w:rPr>
              <w:t>昆明市发改局</w:t>
            </w:r>
            <w:r>
              <w:rPr>
                <w:rFonts w:hint="eastAsia" w:ascii="仿宋_GB2312" w:hAnsi="Arial" w:eastAsia="仿宋_GB2312" w:cs="仿宋_GB2312"/>
                <w:color w:val="000000"/>
                <w:kern w:val="0"/>
                <w:sz w:val="24"/>
                <w:szCs w:val="24"/>
                <w:lang w:bidi="ar"/>
              </w:rPr>
              <w:t>、</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市防震减灾局、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市气象局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市发改局、市自然资源局、市住建局、市水务局、</w:t>
            </w:r>
            <w:r>
              <w:rPr>
                <w:rFonts w:hint="eastAsia" w:ascii="仿宋_GB2312" w:hAnsi="Arial" w:cs="仿宋_GB2312"/>
                <w:color w:val="000000"/>
                <w:kern w:val="0"/>
                <w:sz w:val="24"/>
                <w:szCs w:val="24"/>
                <w:lang w:bidi="ar"/>
              </w:rPr>
              <w:t>市发改局</w:t>
            </w:r>
            <w:r>
              <w:rPr>
                <w:rFonts w:hint="eastAsia" w:ascii="仿宋_GB2312" w:hAnsi="Arial" w:eastAsia="仿宋_GB2312" w:cs="仿宋_GB2312"/>
                <w:color w:val="000000"/>
                <w:kern w:val="0"/>
                <w:sz w:val="24"/>
                <w:szCs w:val="24"/>
                <w:lang w:bidi="ar"/>
              </w:rPr>
              <w:t>、市</w:t>
            </w:r>
            <w:r>
              <w:rPr>
                <w:rFonts w:hint="eastAsia" w:ascii="仿宋_GB2312" w:hAnsi="Arial" w:cs="仿宋_GB2312"/>
                <w:color w:val="000000"/>
                <w:kern w:val="0"/>
                <w:sz w:val="24"/>
                <w:szCs w:val="24"/>
                <w:lang w:bidi="ar"/>
              </w:rPr>
              <w:t>应急</w:t>
            </w:r>
            <w:r>
              <w:rPr>
                <w:rFonts w:hint="eastAsia" w:ascii="仿宋_GB2312" w:hAnsi="Arial" w:eastAsia="仿宋_GB2312" w:cs="仿宋_GB2312"/>
                <w:color w:val="000000"/>
                <w:kern w:val="0"/>
                <w:sz w:val="24"/>
                <w:szCs w:val="24"/>
                <w:lang w:bidi="ar"/>
              </w:rPr>
              <w:t>局、市气象局</w:t>
            </w:r>
          </w:p>
        </w:tc>
      </w:tr>
      <w:tr>
        <w:tblPrEx>
          <w:tblLayout w:type="fixed"/>
          <w:tblCellMar>
            <w:top w:w="0" w:type="dxa"/>
            <w:left w:w="0" w:type="dxa"/>
            <w:bottom w:w="0" w:type="dxa"/>
            <w:right w:w="0" w:type="dxa"/>
          </w:tblCellMar>
        </w:tblPrEx>
        <w:trPr>
          <w:trHeight w:val="1269"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4</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分阶段整合相关测绘测量事项</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深入贯彻落实《国务院办公厅关于全面开展工程建设项目审批制度改革的实施意见》《云南省人民政府办公厅关于印发云南省工程建设项目审批制度改革的实施方案的通知》等文件精神，实行</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一次委托、联合测绘、成果共享</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，进一步提升测绘服务效能。</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省自然资源厅、省住房城乡建设厅、省人防办</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eastAsia="zh-CN" w:bidi="ar"/>
              </w:rPr>
              <w:t>昆明市自然资源和规划局</w:t>
            </w:r>
            <w:r>
              <w:rPr>
                <w:rFonts w:hint="eastAsia" w:ascii="仿宋_GB2312" w:hAnsi="Arial" w:eastAsia="仿宋_GB2312" w:cs="仿宋_GB2312"/>
                <w:color w:val="000000"/>
                <w:kern w:val="0"/>
                <w:sz w:val="24"/>
                <w:szCs w:val="24"/>
                <w:lang w:bidi="ar"/>
              </w:rPr>
              <w:t>、</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市住建局、</w:t>
            </w:r>
            <w:r>
              <w:rPr>
                <w:rFonts w:hint="eastAsia" w:ascii="仿宋_GB2312" w:hAnsi="Arial" w:cs="仿宋_GB2312"/>
                <w:color w:val="000000"/>
                <w:kern w:val="0"/>
                <w:sz w:val="24"/>
                <w:szCs w:val="24"/>
                <w:lang w:bidi="ar"/>
              </w:rPr>
              <w:t>昆明市发改委</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市自然资源局、市住建局、</w:t>
            </w:r>
            <w:r>
              <w:rPr>
                <w:rFonts w:hint="eastAsia" w:ascii="仿宋_GB2312" w:hAnsi="Arial" w:cs="仿宋_GB2312"/>
                <w:color w:val="000000"/>
                <w:kern w:val="0"/>
                <w:sz w:val="24"/>
                <w:szCs w:val="24"/>
                <w:lang w:bidi="ar"/>
              </w:rPr>
              <w:t>市发改局</w:t>
            </w:r>
          </w:p>
        </w:tc>
      </w:tr>
      <w:tr>
        <w:tblPrEx>
          <w:tblLayout w:type="fixed"/>
          <w:tblCellMar>
            <w:top w:w="0" w:type="dxa"/>
            <w:left w:w="0" w:type="dxa"/>
            <w:bottom w:w="0" w:type="dxa"/>
            <w:right w:w="0" w:type="dxa"/>
          </w:tblCellMar>
        </w:tblPrEx>
        <w:trPr>
          <w:trHeight w:val="3134"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5</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推行水电气暖等市政接入工程涉及的行政审批在线并联办理</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对供电、供水、供气、供暖等市政接入工程涉及的建设工程规划许可、绿化许可、涉路施工许可等实行全程在线并联办理，对符合条件的市政接入工程审批实行告知承诺管理。有关行政审批部门加强抽查核验力度。对虚假承诺、违法承诺等行为实行惩戒。对项目水电气联合报装，实行</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一件事一次办</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省住房城乡建设厅、省公安厅、省自然资源厅、省交通运输厅、云南电网公司</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市住建局、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市公安局、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市工信局、</w:t>
            </w:r>
            <w:r>
              <w:rPr>
                <w:rFonts w:hint="eastAsia" w:ascii="仿宋_GB2312" w:hAnsi="Arial" w:eastAsia="仿宋_GB2312" w:cs="仿宋_GB2312"/>
                <w:color w:val="000000"/>
                <w:kern w:val="0"/>
                <w:sz w:val="24"/>
                <w:szCs w:val="24"/>
                <w:lang w:eastAsia="zh-CN" w:bidi="ar"/>
              </w:rPr>
              <w:t>昆明市自然资源和规划局</w:t>
            </w:r>
            <w:r>
              <w:rPr>
                <w:rFonts w:hint="eastAsia" w:ascii="仿宋_GB2312" w:hAnsi="Arial" w:eastAsia="仿宋_GB2312" w:cs="仿宋_GB2312"/>
                <w:color w:val="000000"/>
                <w:kern w:val="0"/>
                <w:sz w:val="24"/>
                <w:szCs w:val="24"/>
                <w:lang w:bidi="ar"/>
              </w:rPr>
              <w:t>、</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市交运局、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市水务局、昆明</w:t>
            </w:r>
            <w:r>
              <w:rPr>
                <w:rFonts w:hint="eastAsia" w:ascii="仿宋_GB2312" w:hAnsi="Arial" w:cs="仿宋_GB2312"/>
                <w:color w:val="000000"/>
                <w:kern w:val="0"/>
                <w:sz w:val="24"/>
                <w:szCs w:val="24"/>
                <w:lang w:bidi="ar"/>
              </w:rPr>
              <w:t>市</w:t>
            </w:r>
            <w:r>
              <w:rPr>
                <w:rFonts w:hint="eastAsia" w:ascii="仿宋_GB2312" w:hAnsi="Arial" w:eastAsia="仿宋_GB2312" w:cs="仿宋_GB2312"/>
                <w:color w:val="000000"/>
                <w:kern w:val="0"/>
                <w:sz w:val="24"/>
                <w:szCs w:val="24"/>
                <w:lang w:bidi="ar"/>
              </w:rPr>
              <w:t>供电局、昆明自来水集团、市级各燃气企业</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市住建局、市公安局、</w:t>
            </w:r>
            <w:r>
              <w:rPr>
                <w:rFonts w:hint="eastAsia" w:ascii="仿宋_GB2312" w:hAnsi="Arial" w:eastAsia="仿宋_GB2312" w:cs="仿宋_GB2312"/>
                <w:color w:val="000000"/>
                <w:kern w:val="0"/>
                <w:sz w:val="24"/>
                <w:szCs w:val="24"/>
                <w:lang w:eastAsia="zh-CN" w:bidi="ar"/>
              </w:rPr>
              <w:t>市工信局</w:t>
            </w:r>
            <w:r>
              <w:rPr>
                <w:rFonts w:hint="eastAsia" w:ascii="仿宋_GB2312" w:hAnsi="Arial" w:eastAsia="仿宋_GB2312" w:cs="仿宋_GB2312"/>
                <w:color w:val="000000"/>
                <w:kern w:val="0"/>
                <w:sz w:val="24"/>
                <w:szCs w:val="24"/>
                <w:lang w:bidi="ar"/>
              </w:rPr>
              <w:t>、市自然资源局、市交运局、市水务局、</w:t>
            </w:r>
            <w:r>
              <w:rPr>
                <w:rFonts w:hint="eastAsia" w:ascii="仿宋_GB2312" w:hAnsi="Arial" w:cs="仿宋_GB2312"/>
                <w:color w:val="000000"/>
                <w:kern w:val="0"/>
                <w:sz w:val="24"/>
                <w:szCs w:val="24"/>
                <w:lang w:bidi="ar"/>
              </w:rPr>
              <w:t>市</w:t>
            </w:r>
            <w:r>
              <w:rPr>
                <w:rFonts w:hint="eastAsia" w:ascii="仿宋_GB2312" w:hAnsi="Arial" w:eastAsia="仿宋_GB2312" w:cs="仿宋_GB2312"/>
                <w:color w:val="000000"/>
                <w:kern w:val="0"/>
                <w:sz w:val="24"/>
                <w:szCs w:val="24"/>
                <w:lang w:bidi="ar"/>
              </w:rPr>
              <w:t>供电局、宁润水业公司、蓝焰燃气公司</w:t>
            </w:r>
          </w:p>
        </w:tc>
      </w:tr>
      <w:tr>
        <w:tblPrEx>
          <w:tblLayout w:type="fixed"/>
          <w:tblCellMar>
            <w:top w:w="0" w:type="dxa"/>
            <w:left w:w="0" w:type="dxa"/>
            <w:bottom w:w="0" w:type="dxa"/>
            <w:right w:w="0" w:type="dxa"/>
          </w:tblCellMar>
        </w:tblPrEx>
        <w:trPr>
          <w:trHeight w:val="1269"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6</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简化实行联合验收的工程建设项目竣工验收备案手续</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专项验收（备案）合格后，在规定时限范围内通过工程建设项目审批管理系统出具联合验收意见书，即视为竣工备案，不动产登记有关部门在线获取验收结果，企业无需再单独办理竣工验收备案。</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省住房城乡建设厅、省自然资源厅、省人防办</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市住建局、</w:t>
            </w:r>
            <w:r>
              <w:rPr>
                <w:rFonts w:hint="eastAsia" w:ascii="仿宋_GB2312" w:hAnsi="Arial" w:eastAsia="仿宋_GB2312" w:cs="仿宋_GB2312"/>
                <w:color w:val="000000"/>
                <w:kern w:val="0"/>
                <w:sz w:val="24"/>
                <w:szCs w:val="24"/>
                <w:lang w:eastAsia="zh-CN" w:bidi="ar"/>
              </w:rPr>
              <w:t>昆明市自然资源和规划局</w:t>
            </w:r>
            <w:r>
              <w:rPr>
                <w:rFonts w:hint="eastAsia" w:ascii="仿宋_GB2312" w:hAnsi="Arial" w:eastAsia="仿宋_GB2312" w:cs="仿宋_GB2312"/>
                <w:color w:val="000000"/>
                <w:kern w:val="0"/>
                <w:sz w:val="24"/>
                <w:szCs w:val="24"/>
                <w:lang w:bidi="ar"/>
              </w:rPr>
              <w:t>、</w:t>
            </w:r>
            <w:r>
              <w:rPr>
                <w:rFonts w:hint="eastAsia" w:ascii="仿宋_GB2312" w:hAnsi="Arial" w:cs="仿宋_GB2312"/>
                <w:color w:val="000000"/>
                <w:kern w:val="0"/>
                <w:sz w:val="24"/>
                <w:szCs w:val="24"/>
                <w:lang w:bidi="ar"/>
              </w:rPr>
              <w:t>昆明市发改局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市住建局、市自然资源局、</w:t>
            </w:r>
            <w:r>
              <w:rPr>
                <w:rFonts w:hint="eastAsia" w:ascii="仿宋_GB2312" w:hAnsi="Arial" w:cs="仿宋_GB2312"/>
                <w:color w:val="000000"/>
                <w:kern w:val="0"/>
                <w:sz w:val="24"/>
                <w:szCs w:val="24"/>
                <w:lang w:bidi="ar"/>
              </w:rPr>
              <w:t>市发改局</w:t>
            </w:r>
          </w:p>
        </w:tc>
      </w:tr>
      <w:tr>
        <w:tblPrEx>
          <w:tblLayout w:type="fixed"/>
          <w:tblCellMar>
            <w:top w:w="0" w:type="dxa"/>
            <w:left w:w="0" w:type="dxa"/>
            <w:bottom w:w="0" w:type="dxa"/>
            <w:right w:w="0" w:type="dxa"/>
          </w:tblCellMar>
        </w:tblPrEx>
        <w:trPr>
          <w:trHeight w:val="336"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b/>
                <w:bCs/>
                <w:color w:val="000000"/>
                <w:kern w:val="0"/>
                <w:sz w:val="24"/>
                <w:szCs w:val="24"/>
                <w:lang w:bidi="ar"/>
              </w:rPr>
              <w:t>（四）持续提升跨境贸易便利化水平</w:t>
            </w:r>
          </w:p>
        </w:tc>
      </w:tr>
      <w:tr>
        <w:tblPrEx>
          <w:tblLayout w:type="fixed"/>
          <w:tblCellMar>
            <w:top w:w="0" w:type="dxa"/>
            <w:left w:w="0" w:type="dxa"/>
            <w:bottom w:w="0" w:type="dxa"/>
            <w:right w:w="0" w:type="dxa"/>
          </w:tblCellMar>
        </w:tblPrEx>
        <w:trPr>
          <w:trHeight w:val="15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7</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探索开展科研设备、耗材跨境自由流动，简化研发用途设备和样本样品进出口手续</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对科研使用物资进行全面梳理，探索制定正面清单及通关便利化措施。对单证申报实施</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能减尽减</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，全力清除科研设备、耗材在通关环节的非必要手续，提高通关便利。优化跨境科研用物资通关便利化服务，主动指导企业开展报关报检，压缩通关时间，严格按照海关总署有关规定对跨境科研物资进行监管。</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省科技厅、省商务厅、省卫生健康委、昆明海关、省市场监管局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市科技局、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市商务局、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市卫健委、</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eastAsia="zh-CN" w:bidi="ar"/>
              </w:rPr>
              <w:t>市工信局</w:t>
            </w:r>
            <w:r>
              <w:rPr>
                <w:rFonts w:hint="eastAsia" w:ascii="仿宋_GB2312" w:hAnsi="Arial" w:eastAsia="仿宋_GB2312" w:cs="仿宋_GB2312"/>
                <w:color w:val="000000"/>
                <w:kern w:val="0"/>
                <w:sz w:val="24"/>
                <w:szCs w:val="24"/>
                <w:lang w:bidi="ar"/>
              </w:rPr>
              <w:t>、市发改局、市卫健局、市市场监管局</w:t>
            </w:r>
          </w:p>
        </w:tc>
      </w:tr>
      <w:tr>
        <w:tblPrEx>
          <w:tblLayout w:type="fixed"/>
          <w:tblCellMar>
            <w:top w:w="0" w:type="dxa"/>
            <w:left w:w="0" w:type="dxa"/>
            <w:bottom w:w="0" w:type="dxa"/>
            <w:right w:w="0" w:type="dxa"/>
          </w:tblCellMar>
        </w:tblPrEx>
        <w:trPr>
          <w:trHeight w:val="336"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b/>
                <w:bCs/>
                <w:color w:val="000000"/>
                <w:kern w:val="0"/>
                <w:sz w:val="24"/>
                <w:szCs w:val="24"/>
                <w:lang w:bidi="ar"/>
              </w:rPr>
              <w:t>（五）进一步加强和创新监管</w:t>
            </w:r>
          </w:p>
        </w:tc>
      </w:tr>
      <w:tr>
        <w:tblPrEx>
          <w:tblLayout w:type="fixed"/>
          <w:tblCellMar>
            <w:top w:w="0" w:type="dxa"/>
            <w:left w:w="0" w:type="dxa"/>
            <w:bottom w:w="0" w:type="dxa"/>
            <w:right w:w="0" w:type="dxa"/>
          </w:tblCellMar>
        </w:tblPrEx>
        <w:trPr>
          <w:trHeight w:val="2823"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8</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建立市场主体全生命周期监管链</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全面实施企业信用风险分类管理，有效实现企业信用风险监测预警，努力做到对风险早发现、早提醒、早处置。积极探索企业信用风险分类结果的综合运用，在办理有关业务时，注重参考企业信用风险分类结果，并将企业信用风险分类结果与</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双随机、一公开</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监管相结合。以通用型企业信用风险分类指标体系为基础，统筹构建</w:t>
            </w:r>
            <w:r>
              <w:rPr>
                <w:rStyle w:val="26"/>
                <w:rFonts w:hint="eastAsia" w:ascii="仿宋_GB2312" w:hAnsi="仿宋_GB2312" w:eastAsia="仿宋_GB2312" w:cs="仿宋_GB2312"/>
                <w:lang w:bidi="ar"/>
              </w:rPr>
              <w:t>“</w:t>
            </w:r>
            <w:r>
              <w:rPr>
                <w:rStyle w:val="26"/>
                <w:rFonts w:eastAsia="仿宋_GB2312"/>
                <w:lang w:bidi="ar"/>
              </w:rPr>
              <w:t>1+N</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市场监管系统分级分类监管机制，推动药品生产流通、化妆品生产、食品生产、餐饮服务、特种设备、计量、价格、认可监测、知识产权等市场监管全领域分级分类监管，切实提升综合监管效能。将市场主体的信用信息清洗入库，依托</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信用云南</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网站，依法依规公开公示有关信用信息。</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省市场监管局、省发展改革委、人民银行昆明中心支行</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市发改委、</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市金融办</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市市场监管局、市发改局、市</w:t>
            </w:r>
            <w:r>
              <w:rPr>
                <w:rFonts w:hint="eastAsia" w:ascii="仿宋_GB2312" w:hAnsi="Arial" w:cs="仿宋_GB2312"/>
                <w:color w:val="000000"/>
                <w:kern w:val="0"/>
                <w:sz w:val="24"/>
                <w:szCs w:val="24"/>
                <w:lang w:bidi="ar"/>
              </w:rPr>
              <w:t>财政局</w:t>
            </w:r>
          </w:p>
        </w:tc>
      </w:tr>
      <w:tr>
        <w:tblPrEx>
          <w:tblLayout w:type="fixed"/>
          <w:tblCellMar>
            <w:top w:w="0" w:type="dxa"/>
            <w:left w:w="0" w:type="dxa"/>
            <w:bottom w:w="0" w:type="dxa"/>
            <w:right w:w="0" w:type="dxa"/>
          </w:tblCellMar>
        </w:tblPrEx>
        <w:trPr>
          <w:trHeight w:val="958"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9</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在税务监管领域建立</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信用</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风险</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监管体系</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按照国家税务总局统一安排部署，探索推进动态</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信用风险</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税务监控，构建无风险不打扰、低风险预提醒、高风险强监控的管理模式，全方位提高税务执法、服务和监管能力。</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省税务局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市税务局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市税务局</w:t>
            </w:r>
          </w:p>
        </w:tc>
      </w:tr>
      <w:tr>
        <w:tblPrEx>
          <w:tblLayout w:type="fixed"/>
          <w:tblCellMar>
            <w:top w:w="0" w:type="dxa"/>
            <w:left w:w="0" w:type="dxa"/>
            <w:bottom w:w="0" w:type="dxa"/>
            <w:right w:w="0" w:type="dxa"/>
          </w:tblCellMar>
        </w:tblPrEx>
        <w:trPr>
          <w:trHeight w:val="336" w:hRule="atLeast"/>
        </w:trPr>
        <w:tc>
          <w:tcPr>
            <w:tcW w:w="12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b/>
                <w:bCs/>
                <w:color w:val="000000"/>
                <w:kern w:val="0"/>
                <w:sz w:val="24"/>
                <w:szCs w:val="24"/>
                <w:lang w:bidi="ar"/>
              </w:rPr>
              <w:t>（六）优化经常性涉企服务</w:t>
            </w:r>
          </w:p>
        </w:tc>
      </w:tr>
      <w:tr>
        <w:tblPrEx>
          <w:tblLayout w:type="fixed"/>
          <w:tblCellMar>
            <w:top w:w="0" w:type="dxa"/>
            <w:left w:w="0" w:type="dxa"/>
            <w:bottom w:w="0" w:type="dxa"/>
            <w:right w:w="0" w:type="dxa"/>
          </w:tblCellMar>
        </w:tblPrEx>
        <w:trPr>
          <w:trHeight w:val="189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实施不动产登记、交易和缴纳税费</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一网通办</w:t>
            </w:r>
            <w:r>
              <w:rPr>
                <w:rStyle w:val="26"/>
                <w:rFonts w:hint="eastAsia" w:ascii="仿宋_GB2312" w:hAnsi="仿宋_GB2312" w:eastAsia="仿宋_GB2312" w:cs="仿宋_GB2312"/>
                <w:lang w:bidi="ar"/>
              </w:rPr>
              <w:t>”</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依托省级信息共享机制，通过</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省对省</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的方式，积极推进全业务类型</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互联网</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不动产登记</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，在有条件的地区试点推进</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互联网</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不动产登记</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，实施不动产登记、交易和缴纳税费</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一窗受理、并行办理</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省自然资源厅、省财政厅、省住房城乡建设厅、人民银行昆明中心支行、省税务局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eastAsia="zh-CN" w:bidi="ar"/>
              </w:rPr>
              <w:t>昆明市自然资源和规划局</w:t>
            </w:r>
            <w:r>
              <w:rPr>
                <w:rFonts w:hint="eastAsia" w:ascii="仿宋_GB2312" w:hAnsi="Arial" w:eastAsia="仿宋_GB2312" w:cs="仿宋_GB2312"/>
                <w:color w:val="000000"/>
                <w:kern w:val="0"/>
                <w:sz w:val="24"/>
                <w:szCs w:val="24"/>
                <w:lang w:bidi="ar"/>
              </w:rPr>
              <w:t>、</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市财政局、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市住建局、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市金融办、</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市税务局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市自然资源局、市财政局、市住建局、市税务局</w:t>
            </w:r>
          </w:p>
        </w:tc>
      </w:tr>
      <w:tr>
        <w:tblPrEx>
          <w:tblLayout w:type="fixed"/>
          <w:tblCellMar>
            <w:top w:w="0" w:type="dxa"/>
            <w:left w:w="0" w:type="dxa"/>
            <w:bottom w:w="0" w:type="dxa"/>
            <w:right w:w="0" w:type="dxa"/>
          </w:tblCellMar>
        </w:tblPrEx>
        <w:trPr>
          <w:trHeight w:val="14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11</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深化</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多税合一</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申报改革</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仿宋_GB2312" w:cs="仿宋_GB2312"/>
                <w:color w:val="000000"/>
                <w:sz w:val="24"/>
                <w:szCs w:val="24"/>
              </w:rPr>
            </w:pPr>
            <w:r>
              <w:rPr>
                <w:rFonts w:hint="eastAsia" w:ascii="仿宋_GB2312" w:hAnsi="仿宋_GB2312" w:eastAsia="仿宋_GB2312" w:cs="仿宋_GB2312"/>
                <w:color w:val="000000"/>
                <w:kern w:val="0"/>
                <w:sz w:val="24"/>
                <w:szCs w:val="24"/>
                <w:lang w:bidi="ar"/>
              </w:rPr>
              <w:t>按照总局统一部署，积极深化</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多税合一</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申报改革推行。探索整合企业所得税和财产行为税综合申报表，尽可能统一不同税种征期，实现多税种</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一个入口、一张报表、一次申报、一次缴款、一张凭证</w:t>
            </w:r>
            <w:r>
              <w:rPr>
                <w:rStyle w:val="26"/>
                <w:rFonts w:hint="eastAsia" w:ascii="仿宋_GB2312" w:hAnsi="仿宋_GB2312" w:eastAsia="仿宋_GB2312" w:cs="仿宋_GB2312"/>
                <w:lang w:bidi="ar"/>
              </w:rPr>
              <w:t>”</w:t>
            </w:r>
            <w:r>
              <w:rPr>
                <w:rFonts w:hint="eastAsia" w:ascii="仿宋_GB2312" w:hAnsi="仿宋_GB2312" w:eastAsia="仿宋_GB2312" w:cs="仿宋_GB2312"/>
                <w:color w:val="000000"/>
                <w:kern w:val="0"/>
                <w:sz w:val="24"/>
                <w:szCs w:val="24"/>
                <w:lang w:bidi="ar"/>
              </w:rPr>
              <w:t>，进一步压减纳税人申报和缴税的次数。</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省税务局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市税务局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市税务局</w:t>
            </w:r>
          </w:p>
        </w:tc>
      </w:tr>
      <w:tr>
        <w:tblPrEx>
          <w:tblLayout w:type="fixed"/>
          <w:tblCellMar>
            <w:top w:w="0" w:type="dxa"/>
            <w:left w:w="0" w:type="dxa"/>
            <w:bottom w:w="0" w:type="dxa"/>
            <w:right w:w="0" w:type="dxa"/>
          </w:tblCellMar>
        </w:tblPrEx>
        <w:trPr>
          <w:trHeight w:val="763"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12</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对代征税款试行实时</w:t>
            </w:r>
            <w:bookmarkStart w:id="0" w:name="_GoBack"/>
            <w:bookmarkEnd w:id="0"/>
            <w:r>
              <w:rPr>
                <w:rFonts w:hint="eastAsia" w:ascii="仿宋_GB2312" w:hAnsi="Arial" w:eastAsia="仿宋_GB2312" w:cs="仿宋_GB2312"/>
                <w:color w:val="000000"/>
                <w:kern w:val="0"/>
                <w:sz w:val="24"/>
                <w:szCs w:val="24"/>
                <w:lang w:eastAsia="zh-CN" w:bidi="ar"/>
              </w:rPr>
              <w:t>电子缴税</w:t>
            </w:r>
            <w:r>
              <w:rPr>
                <w:rFonts w:hint="eastAsia" w:ascii="仿宋_GB2312" w:hAnsi="Arial" w:eastAsia="仿宋_GB2312" w:cs="仿宋_GB2312"/>
                <w:color w:val="000000"/>
                <w:kern w:val="0"/>
                <w:sz w:val="24"/>
                <w:szCs w:val="24"/>
                <w:lang w:bidi="ar"/>
              </w:rPr>
              <w:t>入库的开具电子完税证明</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按照总局统一部署，在实现代征税款逐笔电子缴税且实时入库的前提下，向纳税人提供电子完税证明。</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省税务局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市税务局</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市税务局</w:t>
            </w:r>
          </w:p>
        </w:tc>
      </w:tr>
      <w:tr>
        <w:tblPrEx>
          <w:tblLayout w:type="fixed"/>
          <w:tblCellMar>
            <w:top w:w="0" w:type="dxa"/>
            <w:left w:w="0" w:type="dxa"/>
            <w:bottom w:w="0" w:type="dxa"/>
            <w:right w:w="0" w:type="dxa"/>
          </w:tblCellMar>
        </w:tblPrEx>
        <w:trPr>
          <w:trHeight w:val="404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center"/>
              <w:textAlignment w:val="center"/>
              <w:rPr>
                <w:color w:val="000000"/>
                <w:sz w:val="24"/>
                <w:szCs w:val="24"/>
              </w:rPr>
            </w:pPr>
            <w:r>
              <w:rPr>
                <w:rFonts w:ascii="Times New Roman" w:hAnsi="Times New Roman" w:eastAsia="宋体" w:cs="Times New Roman"/>
                <w:color w:val="000000"/>
                <w:kern w:val="0"/>
                <w:sz w:val="24"/>
                <w:szCs w:val="24"/>
                <w:lang w:bidi="ar"/>
              </w:rPr>
              <w:t>13</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进一步扩大电子证照、电子签章等应用范围</w:t>
            </w:r>
          </w:p>
        </w:tc>
        <w:tc>
          <w:tcPr>
            <w:tcW w:w="6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提升全省政务服务平台的身份认证、电子证照、电子印章公共服务能力。优化省级政务服务平台统一身份认证系统、统一电子证照系统、统一电子印章系统功能，提供身份认证、电子证照、电子印章标准化接口服务。强化云南政务服务网用户中心功能，支撑水电气暖等公共事业企业在线获取企业、个人办理业务所需的证照信息。货物报关、银行贷款、项目申报、招投标、政府采购、认证证书等业务领域依托全省政务服务平台身份认证、电子证照、电子印章等公共服务支撑系统，推动身份认证、电子证照、电子印章应用，逐步实现互通互认，方便企业和群众办事。水电气暖等公共事业要积极推动有关业务系统与全省政务服务平台互联互通，通过云南政务服务网在线获取企业、个人办理业务所需的证照信息。各地各部门依托全国一体化政务数据共享枢纽，加快推动政务数据共享复用，支撑电子证照扩大使用。</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省政务服务局、省发展改革委、省公安厅、省财政厅、人民银行昆明中心支行、昆明海关、省市场监管局、云南银保监局</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市政务服务局、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市发改委、</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市公安局、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市财政局、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市市场监管局、</w:t>
            </w:r>
            <w:r>
              <w:rPr>
                <w:rFonts w:hint="eastAsia" w:ascii="仿宋_GB2312" w:hAnsi="Arial" w:cs="仿宋_GB2312"/>
                <w:color w:val="000000"/>
                <w:kern w:val="0"/>
                <w:sz w:val="24"/>
                <w:szCs w:val="24"/>
                <w:lang w:bidi="ar"/>
              </w:rPr>
              <w:t>昆明</w:t>
            </w:r>
            <w:r>
              <w:rPr>
                <w:rFonts w:hint="eastAsia" w:ascii="仿宋_GB2312" w:hAnsi="Arial" w:eastAsia="仿宋_GB2312" w:cs="仿宋_GB2312"/>
                <w:color w:val="000000"/>
                <w:kern w:val="0"/>
                <w:sz w:val="24"/>
                <w:szCs w:val="24"/>
                <w:lang w:bidi="ar"/>
              </w:rPr>
              <w:t>市金融办等市级部门</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0" w:lineRule="atLeast"/>
              <w:jc w:val="left"/>
              <w:textAlignment w:val="center"/>
              <w:rPr>
                <w:rFonts w:ascii="仿宋_GB2312" w:hAnsi="Arial" w:cs="仿宋_GB2312"/>
                <w:color w:val="000000"/>
                <w:sz w:val="24"/>
                <w:szCs w:val="24"/>
              </w:rPr>
            </w:pPr>
            <w:r>
              <w:rPr>
                <w:rFonts w:hint="eastAsia" w:ascii="仿宋_GB2312" w:hAnsi="Arial" w:eastAsia="仿宋_GB2312" w:cs="仿宋_GB2312"/>
                <w:color w:val="000000"/>
                <w:kern w:val="0"/>
                <w:sz w:val="24"/>
                <w:szCs w:val="24"/>
                <w:lang w:bidi="ar"/>
              </w:rPr>
              <w:t>市政务服务局、市发改局、市公安局、市财政局、市市场监管局等相关部门</w:t>
            </w:r>
          </w:p>
        </w:tc>
      </w:tr>
    </w:tbl>
    <w:p>
      <w:pPr>
        <w:spacing w:line="300" w:lineRule="exact"/>
        <w:sectPr>
          <w:footerReference r:id="rId3" w:type="default"/>
          <w:pgSz w:w="16838" w:h="11906" w:orient="landscape"/>
          <w:pgMar w:top="1588" w:right="2098" w:bottom="1474" w:left="1985" w:header="851" w:footer="1361" w:gutter="0"/>
          <w:cols w:space="425" w:num="1"/>
          <w:docGrid w:type="lines" w:linePitch="312" w:charSpace="0"/>
        </w:sectPr>
      </w:pPr>
    </w:p>
    <w:p/>
    <w:sectPr>
      <w:footerReference r:id="rId4" w:type="default"/>
      <w:pgSz w:w="11906" w:h="16838"/>
      <w:pgMar w:top="2098" w:right="1474" w:bottom="1985" w:left="1588"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5" o:spid="_x0000_s1025" o:spt="202" type="#_x0000_t202" style="position:absolute;left:0pt;margin-left:0.6pt;margin-top:-0.6pt;height:144pt;width:144pt;mso-position-horizontal-relative:margin;mso-wrap-style:none;z-index:251658240;mso-width-relative:page;mso-height-relative:page;" filled="f" stroked="f" coordsize="21600,21600" o:gfxdata="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5GCTHSAAAACAEAAA8AAAAAAAAAAQAgAAAAIgAAAGRycy9kb3ducmV2LnhtbFBLAQIUABQAAAAI&#10;AIdO4kAXDIm4LAIAAFUEAAAOAAAAAAAAAAEAIAAAACEBAABkcnMvZTJvRG9jLnhtbFBLBQYAAAAA&#10;BgAGAFkBAAC/BQAAAAA=&#10;">
          <v:path/>
          <v:fill on="f" focussize="0,0"/>
          <v:stroke on="f" weight="0.5pt" joinstyle="miter"/>
          <v:imagedata o:title=""/>
          <o:lock v:ext="edit"/>
          <v:textbox inset="0mm,0mm,0mm,0mm" style="mso-fit-shape-to-text:t;">
            <w:txbxContent>
              <w:p>
                <w:pPr>
                  <w:pStyle w:val="6"/>
                  <w:ind w:left="210" w:leftChars="100" w:right="21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BA"/>
    <w:rsid w:val="00492EBA"/>
    <w:rsid w:val="0074096C"/>
    <w:rsid w:val="02A3735B"/>
    <w:rsid w:val="051F42D9"/>
    <w:rsid w:val="05BA6A50"/>
    <w:rsid w:val="062A271D"/>
    <w:rsid w:val="08F8492F"/>
    <w:rsid w:val="0FF2037F"/>
    <w:rsid w:val="12395614"/>
    <w:rsid w:val="127C1A18"/>
    <w:rsid w:val="13696104"/>
    <w:rsid w:val="15AB0ADC"/>
    <w:rsid w:val="19BD7FFA"/>
    <w:rsid w:val="1FCD5161"/>
    <w:rsid w:val="1FD86B06"/>
    <w:rsid w:val="20642E5A"/>
    <w:rsid w:val="22041719"/>
    <w:rsid w:val="26BE62CB"/>
    <w:rsid w:val="29C76A8E"/>
    <w:rsid w:val="30A94467"/>
    <w:rsid w:val="36BD0D65"/>
    <w:rsid w:val="3B58749C"/>
    <w:rsid w:val="3DDE1C4F"/>
    <w:rsid w:val="3F452BAD"/>
    <w:rsid w:val="3FC07134"/>
    <w:rsid w:val="40DB00C4"/>
    <w:rsid w:val="416008D7"/>
    <w:rsid w:val="42214D89"/>
    <w:rsid w:val="43366C7C"/>
    <w:rsid w:val="43451A4E"/>
    <w:rsid w:val="436C4959"/>
    <w:rsid w:val="44176D42"/>
    <w:rsid w:val="470F4EF4"/>
    <w:rsid w:val="480D7B77"/>
    <w:rsid w:val="48AB3F2F"/>
    <w:rsid w:val="4AFB7520"/>
    <w:rsid w:val="4D8355F5"/>
    <w:rsid w:val="4F965850"/>
    <w:rsid w:val="52D338B1"/>
    <w:rsid w:val="54A7205A"/>
    <w:rsid w:val="551A1D85"/>
    <w:rsid w:val="58F83139"/>
    <w:rsid w:val="59221620"/>
    <w:rsid w:val="59A2464A"/>
    <w:rsid w:val="5EC11108"/>
    <w:rsid w:val="5FBB0754"/>
    <w:rsid w:val="612479B9"/>
    <w:rsid w:val="64FF4663"/>
    <w:rsid w:val="65FF6FCD"/>
    <w:rsid w:val="68536518"/>
    <w:rsid w:val="68D95953"/>
    <w:rsid w:val="6ABF4993"/>
    <w:rsid w:val="6C0469B9"/>
    <w:rsid w:val="6CD472A2"/>
    <w:rsid w:val="6DA34A71"/>
    <w:rsid w:val="6E2D4652"/>
    <w:rsid w:val="6FA340C2"/>
    <w:rsid w:val="72714008"/>
    <w:rsid w:val="739264DC"/>
    <w:rsid w:val="755F6B6D"/>
    <w:rsid w:val="76011F3D"/>
    <w:rsid w:val="760962FF"/>
    <w:rsid w:val="78251F09"/>
    <w:rsid w:val="79E349D9"/>
    <w:rsid w:val="7AB73C99"/>
    <w:rsid w:val="7C157C25"/>
    <w:rsid w:val="7DBD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2"/>
    <w:qFormat/>
    <w:uiPriority w:val="9"/>
    <w:pPr>
      <w:keepNext/>
      <w:spacing w:line="480" w:lineRule="auto"/>
      <w:jc w:val="center"/>
      <w:outlineLvl w:val="0"/>
    </w:pPr>
    <w:rPr>
      <w:rFonts w:ascii="Times New Roman" w:hAnsi="Times New Roman" w:eastAsia="仿宋_GB2312" w:cs="Times New Roman"/>
      <w:sz w:val="28"/>
      <w:szCs w:val="30"/>
      <w14:ligatures w14:val="none"/>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4"/>
    <w:link w:val="13"/>
    <w:unhideWhenUsed/>
    <w:qFormat/>
    <w:uiPriority w:val="99"/>
    <w:pPr>
      <w:spacing w:after="120"/>
    </w:pPr>
    <w:rPr>
      <w:rFonts w:ascii="Calibri" w:hAnsi="Calibri" w:eastAsia="宋体" w:cs="Times New Roman"/>
      <w:sz w:val="32"/>
      <w:szCs w:val="20"/>
      <w14:ligatures w14:val="none"/>
    </w:rPr>
  </w:style>
  <w:style w:type="paragraph" w:styleId="4">
    <w:name w:val="toc 5"/>
    <w:basedOn w:val="1"/>
    <w:next w:val="1"/>
    <w:qFormat/>
    <w:uiPriority w:val="99"/>
    <w:pPr>
      <w:spacing w:before="100" w:beforeAutospacing="1" w:after="100" w:afterAutospacing="1"/>
      <w:ind w:left="1680"/>
    </w:pPr>
    <w:rPr>
      <w:rFonts w:ascii="Times New Roman" w:hAnsi="Times New Roman" w:eastAsia="仿宋_GB2312" w:cs="Times New Roman"/>
      <w:sz w:val="32"/>
      <w:szCs w:val="20"/>
      <w14:ligatures w14:val="none"/>
    </w:rPr>
  </w:style>
  <w:style w:type="paragraph" w:styleId="5">
    <w:name w:val="Body Text Indent"/>
    <w:basedOn w:val="1"/>
    <w:link w:val="14"/>
    <w:unhideWhenUsed/>
    <w:qFormat/>
    <w:uiPriority w:val="99"/>
    <w:pPr>
      <w:spacing w:after="120"/>
      <w:ind w:left="420" w:leftChars="200"/>
    </w:pPr>
    <w:rPr>
      <w:rFonts w:ascii="Times New Roman" w:hAnsi="Times New Roman" w:eastAsia="仿宋_GB2312" w:cs="Times New Roman"/>
      <w:sz w:val="32"/>
      <w:szCs w:val="20"/>
      <w14:ligatures w14:val="none"/>
    </w:rPr>
  </w:style>
  <w:style w:type="paragraph" w:styleId="6">
    <w:name w:val="footer"/>
    <w:basedOn w:val="1"/>
    <w:link w:val="15"/>
    <w:qFormat/>
    <w:uiPriority w:val="99"/>
    <w:pPr>
      <w:tabs>
        <w:tab w:val="center" w:pos="4153"/>
        <w:tab w:val="right" w:pos="8306"/>
      </w:tabs>
      <w:snapToGrid w:val="0"/>
      <w:jc w:val="left"/>
    </w:pPr>
    <w:rPr>
      <w:rFonts w:ascii="Times New Roman" w:hAnsi="Times New Roman" w:eastAsia="仿宋_GB2312" w:cs="Times New Roman"/>
      <w:sz w:val="18"/>
      <w:szCs w:val="20"/>
      <w14:ligatures w14:val="none"/>
    </w:rPr>
  </w:style>
  <w:style w:type="paragraph" w:styleId="7">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仿宋_GB2312" w:cs="Times New Roman"/>
      <w:sz w:val="18"/>
      <w:szCs w:val="20"/>
      <w14:ligatures w14:val="none"/>
    </w:rPr>
  </w:style>
  <w:style w:type="paragraph" w:styleId="8">
    <w:name w:val="HTML Preformatted"/>
    <w:basedOn w:val="1"/>
    <w:link w:val="1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14:ligatures w14:val="none"/>
    </w:rPr>
  </w:style>
  <w:style w:type="paragraph" w:styleId="9">
    <w:name w:val="Normal (Web)"/>
    <w:basedOn w:val="1"/>
    <w:qFormat/>
    <w:uiPriority w:val="0"/>
    <w:pPr>
      <w:jc w:val="left"/>
    </w:pPr>
    <w:rPr>
      <w:rFonts w:ascii="Times New Roman" w:hAnsi="Times New Roman" w:eastAsia="宋体" w:cs="Times New Roman"/>
      <w:kern w:val="0"/>
      <w:sz w:val="24"/>
      <w:szCs w:val="20"/>
      <w14:ligatures w14:val="none"/>
    </w:rPr>
  </w:style>
  <w:style w:type="character" w:customStyle="1" w:styleId="12">
    <w:name w:val="标题 1 字符"/>
    <w:basedOn w:val="11"/>
    <w:link w:val="2"/>
    <w:qFormat/>
    <w:uiPriority w:val="9"/>
    <w:rPr>
      <w:rFonts w:ascii="Times New Roman" w:hAnsi="Times New Roman" w:eastAsia="仿宋_GB2312" w:cs="Times New Roman"/>
      <w:sz w:val="28"/>
      <w:szCs w:val="30"/>
      <w14:ligatures w14:val="none"/>
    </w:rPr>
  </w:style>
  <w:style w:type="character" w:customStyle="1" w:styleId="13">
    <w:name w:val="正文文本 字符"/>
    <w:basedOn w:val="11"/>
    <w:link w:val="3"/>
    <w:qFormat/>
    <w:uiPriority w:val="99"/>
    <w:rPr>
      <w:rFonts w:ascii="Calibri" w:hAnsi="Calibri" w:eastAsia="宋体" w:cs="Times New Roman"/>
      <w:sz w:val="32"/>
      <w:szCs w:val="20"/>
      <w14:ligatures w14:val="none"/>
    </w:rPr>
  </w:style>
  <w:style w:type="character" w:customStyle="1" w:styleId="14">
    <w:name w:val="正文文本缩进 字符"/>
    <w:basedOn w:val="11"/>
    <w:link w:val="5"/>
    <w:qFormat/>
    <w:uiPriority w:val="99"/>
    <w:rPr>
      <w:rFonts w:ascii="Times New Roman" w:hAnsi="Times New Roman" w:eastAsia="仿宋_GB2312" w:cs="Times New Roman"/>
      <w:sz w:val="32"/>
      <w:szCs w:val="20"/>
      <w14:ligatures w14:val="none"/>
    </w:rPr>
  </w:style>
  <w:style w:type="character" w:customStyle="1" w:styleId="15">
    <w:name w:val="页脚 字符"/>
    <w:basedOn w:val="11"/>
    <w:link w:val="6"/>
    <w:qFormat/>
    <w:uiPriority w:val="99"/>
    <w:rPr>
      <w:rFonts w:ascii="Times New Roman" w:hAnsi="Times New Roman" w:eastAsia="仿宋_GB2312" w:cs="Times New Roman"/>
      <w:sz w:val="18"/>
      <w:szCs w:val="20"/>
      <w14:ligatures w14:val="none"/>
    </w:rPr>
  </w:style>
  <w:style w:type="character" w:customStyle="1" w:styleId="16">
    <w:name w:val="页眉 字符"/>
    <w:basedOn w:val="11"/>
    <w:link w:val="7"/>
    <w:qFormat/>
    <w:uiPriority w:val="0"/>
    <w:rPr>
      <w:rFonts w:ascii="Times New Roman" w:hAnsi="Times New Roman" w:eastAsia="仿宋_GB2312" w:cs="Times New Roman"/>
      <w:sz w:val="18"/>
      <w:szCs w:val="20"/>
      <w14:ligatures w14:val="none"/>
    </w:rPr>
  </w:style>
  <w:style w:type="character" w:customStyle="1" w:styleId="17">
    <w:name w:val="HTML 预设格式 字符"/>
    <w:basedOn w:val="11"/>
    <w:link w:val="8"/>
    <w:qFormat/>
    <w:uiPriority w:val="0"/>
    <w:rPr>
      <w:rFonts w:ascii="宋体" w:hAnsi="宋体" w:eastAsia="宋体" w:cs="Times New Roman"/>
      <w:kern w:val="0"/>
      <w:sz w:val="24"/>
      <w:szCs w:val="24"/>
      <w14:ligatures w14:val="none"/>
    </w:rPr>
  </w:style>
  <w:style w:type="paragraph" w:customStyle="1" w:styleId="18">
    <w:name w:val="修订1"/>
    <w:hidden/>
    <w:semiHidden/>
    <w:qFormat/>
    <w:uiPriority w:val="99"/>
    <w:rPr>
      <w:rFonts w:ascii="Times New Roman" w:hAnsi="Times New Roman" w:eastAsia="仿宋_GB2312" w:cs="Times New Roman"/>
      <w:kern w:val="2"/>
      <w:sz w:val="32"/>
      <w:szCs w:val="20"/>
      <w:lang w:val="en-US" w:eastAsia="zh-CN" w:bidi="ar-SA"/>
      <w14:ligatures w14:val="none"/>
    </w:rPr>
  </w:style>
  <w:style w:type="character" w:customStyle="1" w:styleId="19">
    <w:name w:val="font81"/>
    <w:basedOn w:val="11"/>
    <w:qFormat/>
    <w:uiPriority w:val="0"/>
    <w:rPr>
      <w:rFonts w:ascii="方正小标宋简体" w:hAnsi="方正小标宋简体" w:eastAsia="方正小标宋简体" w:cs="方正小标宋简体"/>
      <w:color w:val="000000"/>
      <w:sz w:val="40"/>
      <w:szCs w:val="40"/>
      <w:u w:val="none"/>
    </w:rPr>
  </w:style>
  <w:style w:type="character" w:customStyle="1" w:styleId="20">
    <w:name w:val="font61"/>
    <w:basedOn w:val="11"/>
    <w:qFormat/>
    <w:uiPriority w:val="0"/>
    <w:rPr>
      <w:rFonts w:hint="default" w:ascii="Times New Roman" w:hAnsi="Times New Roman" w:cs="Times New Roman"/>
      <w:color w:val="000000"/>
      <w:sz w:val="40"/>
      <w:szCs w:val="40"/>
      <w:u w:val="none"/>
    </w:rPr>
  </w:style>
  <w:style w:type="character" w:customStyle="1" w:styleId="21">
    <w:name w:val="font71"/>
    <w:basedOn w:val="11"/>
    <w:qFormat/>
    <w:uiPriority w:val="0"/>
    <w:rPr>
      <w:rFonts w:hint="eastAsia" w:ascii="仿宋_GB2312" w:eastAsia="仿宋_GB2312" w:cs="仿宋_GB2312"/>
      <w:color w:val="000000"/>
      <w:sz w:val="24"/>
      <w:szCs w:val="24"/>
      <w:u w:val="none"/>
    </w:rPr>
  </w:style>
  <w:style w:type="character" w:customStyle="1" w:styleId="22">
    <w:name w:val="font21"/>
    <w:basedOn w:val="11"/>
    <w:qFormat/>
    <w:uiPriority w:val="0"/>
    <w:rPr>
      <w:rFonts w:hint="default" w:ascii="Times New Roman" w:hAnsi="Times New Roman" w:cs="Times New Roman"/>
      <w:color w:val="000000"/>
      <w:sz w:val="24"/>
      <w:szCs w:val="24"/>
      <w:u w:val="none"/>
    </w:rPr>
  </w:style>
  <w:style w:type="character" w:customStyle="1" w:styleId="23">
    <w:name w:val="font31"/>
    <w:basedOn w:val="11"/>
    <w:qFormat/>
    <w:uiPriority w:val="0"/>
    <w:rPr>
      <w:rFonts w:hint="eastAsia" w:ascii="仿宋_GB2312" w:eastAsia="仿宋_GB2312" w:cs="仿宋_GB2312"/>
      <w:color w:val="000000"/>
      <w:sz w:val="24"/>
      <w:szCs w:val="24"/>
      <w:u w:val="none"/>
    </w:rPr>
  </w:style>
  <w:style w:type="character" w:customStyle="1" w:styleId="24">
    <w:name w:val="font41"/>
    <w:basedOn w:val="11"/>
    <w:qFormat/>
    <w:uiPriority w:val="0"/>
    <w:rPr>
      <w:rFonts w:hint="default" w:ascii="Times New Roman" w:hAnsi="Times New Roman" w:cs="Times New Roman"/>
      <w:color w:val="000000"/>
      <w:sz w:val="24"/>
      <w:szCs w:val="24"/>
      <w:u w:val="none"/>
    </w:rPr>
  </w:style>
  <w:style w:type="character" w:customStyle="1" w:styleId="25">
    <w:name w:val="font101"/>
    <w:basedOn w:val="11"/>
    <w:qFormat/>
    <w:uiPriority w:val="0"/>
    <w:rPr>
      <w:rFonts w:hint="eastAsia" w:ascii="楷体_GB2312" w:eastAsia="楷体_GB2312" w:cs="楷体_GB2312"/>
      <w:color w:val="000000"/>
      <w:sz w:val="24"/>
      <w:szCs w:val="24"/>
      <w:u w:val="none"/>
    </w:rPr>
  </w:style>
  <w:style w:type="character" w:customStyle="1" w:styleId="26">
    <w:name w:val="font12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4218</Words>
  <Characters>24046</Characters>
  <Lines>200</Lines>
  <Paragraphs>56</Paragraphs>
  <TotalTime>27</TotalTime>
  <ScaleCrop>false</ScaleCrop>
  <LinksUpToDate>false</LinksUpToDate>
  <CharactersWithSpaces>28208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2023-08-02T06:59:00Z</dcterms:created>
  <dc:creator>陶 海江</dc:creator>
  <cp:lastModifiedBy>Administrator</cp:lastModifiedBy>
  <dcterms:modified xsi:type="dcterms:W3CDTF">2023-08-02T08:40:13Z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