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left" w:pos="2580"/>
          <w:tab w:val="center" w:pos="4535"/>
        </w:tabs>
        <w:kinsoku/>
        <w:overflowPunct/>
        <w:topLinePunct w:val="0"/>
        <w:autoSpaceDE w:val="0"/>
        <w:autoSpaceDN w:val="0"/>
        <w:bidi w:val="0"/>
        <w:adjustRightInd w:val="0"/>
        <w:spacing w:line="400" w:lineRule="exact"/>
        <w:rPr>
          <w:rFonts w:hint="eastAsia" w:ascii="Times New Roman" w:hAnsi="Times New Roman" w:eastAsia="黑体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/>
          <w:szCs w:val="32"/>
          <w:u w:val="none" w:color="auto"/>
        </w:rPr>
        <w:t>附件</w:t>
      </w:r>
      <w:r>
        <w:rPr>
          <w:rFonts w:hint="eastAsia" w:ascii="Times New Roman" w:hAnsi="Times New Roman" w:eastAsia="黑体"/>
          <w:szCs w:val="32"/>
          <w:u w:val="none" w:color="auto"/>
          <w:lang w:val="en-US" w:eastAsia="zh-CN"/>
        </w:rPr>
        <w:t>1</w:t>
      </w:r>
    </w:p>
    <w:p>
      <w:pPr>
        <w:pStyle w:val="2"/>
        <w:rPr>
          <w:lang w:val="en-US"/>
        </w:rPr>
      </w:pPr>
    </w:p>
    <w:p>
      <w:pPr>
        <w:pageBreakBefore w:val="0"/>
        <w:widowControl w:val="0"/>
        <w:kinsoku/>
        <w:overflowPunct/>
        <w:topLinePunct w:val="0"/>
        <w:bidi w:val="0"/>
        <w:spacing w:line="0" w:lineRule="atLeas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安宁市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自然灾害救助应急响应分级标准</w:t>
      </w:r>
    </w:p>
    <w:p>
      <w:pPr>
        <w:pageBreakBefore w:val="0"/>
        <w:widowControl w:val="0"/>
        <w:kinsoku/>
        <w:overflowPunct/>
        <w:topLinePunct w:val="0"/>
        <w:bidi w:val="0"/>
        <w:spacing w:line="4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299"/>
        <w:gridCol w:w="2299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2299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u w:val="none" w:color="auto"/>
              </w:rPr>
              <w:t>特别重大（Ⅰ级）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u w:val="none" w:color="auto"/>
              </w:rPr>
              <w:t>重大（Ⅱ级）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u w:val="none" w:color="auto"/>
              </w:rPr>
              <w:t>较大（Ⅲ级）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u w:val="none" w:color="auto"/>
              </w:rPr>
              <w:t>一般（Ⅳ级）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5" w:hRule="atLeast"/>
        </w:trPr>
        <w:tc>
          <w:tcPr>
            <w:tcW w:w="229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●农作物绝收面积0.3万公顷以上；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●因灾死亡15人以上；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●倒塌房屋500间以上；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●紧急转移安置群众1万人以上；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●6.5级以上严重破坏性地震；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●直接经济损失10000万元以上；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●干旱灾害造成缺粮或缺水等困难，需政府救助人数占农业人口20%以上或3.5万人以上；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人民政府规定的其他事项。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●农作物绝收面0.2一0.3万公顷；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●因灾死亡10一14人；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●倒塌房屋350一500间；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●紧急转移安置群众0.8一1万人；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●5.5一6.5级破坏性地震；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●直接经济损失8000一10000万元；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●干旱灾害造成缺粮或缺水等困难，需政府救助人数占农业人口15%以上或2.5万人以上3.5万人以下；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人民政府规定的其他事项。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●农作物绝收面积0.1一0.2万公顷；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●因灾死亡5一9人；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●倒塌房屋200一350间；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●紧急转移安置群众0.6</w:t>
            </w:r>
            <w:r>
              <w:rPr>
                <w:rFonts w:hint="eastAsia" w:ascii="Times New Roman" w:hAnsi="Times New Roman" w:cs="仿宋_GB2312"/>
                <w:sz w:val="24"/>
                <w:szCs w:val="24"/>
                <w:u w:val="none" w:color="auto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0.8万人；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●5一5.5级一般破坏性地震</w:t>
            </w:r>
            <w:r>
              <w:rPr>
                <w:rFonts w:hint="eastAsia" w:ascii="Times New Roman" w:hAnsi="Times New Roman" w:cs="仿宋_GB2312"/>
                <w:sz w:val="24"/>
                <w:szCs w:val="24"/>
                <w:u w:val="none" w:color="auto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●直接经济损失6000一8000万元；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●干旱灾害造成缺粮或缺水等困难，需政府救助人数占农业人口10%以上或1.5万人以上2.5万人以下；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人民政府规定的其他事项。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●农作物绝收面积0.08万公顷以上；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●因灾死亡3人以上；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●倒塌房屋100间以上；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●紧急转移安置群众0.4万人以上；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●4.7一5级一般破坏性地震</w:t>
            </w:r>
            <w:r>
              <w:rPr>
                <w:rFonts w:hint="eastAsia" w:ascii="Times New Roman" w:hAnsi="Times New Roman" w:cs="仿宋_GB2312"/>
                <w:sz w:val="24"/>
                <w:szCs w:val="24"/>
                <w:u w:val="none" w:color="auto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●直接经济损失3000万元以上；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ind w:firstLine="120" w:firstLineChars="5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●干旱灾害造成缺粮或缺水等困难，需政府救助人数占农业人口5%以上或1万人以上1.5万人以下；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●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 w:color="auto"/>
              </w:rPr>
              <w:t>人民政府规定的其他事项。</w:t>
            </w:r>
          </w:p>
        </w:tc>
      </w:tr>
    </w:tbl>
    <w:p>
      <w:pPr>
        <w:pStyle w:val="2"/>
        <w:pageBreakBefore w:val="0"/>
        <w:widowControl w:val="0"/>
        <w:kinsoku/>
        <w:overflowPunct/>
        <w:topLinePunct w:val="0"/>
        <w:bidi w:val="0"/>
        <w:rPr>
          <w:rFonts w:hint="eastAsia" w:ascii="Times New Roman" w:hAnsi="Times New Roman" w:eastAsia="仿宋_GB2312" w:cs="仿宋_GB2312"/>
          <w:sz w:val="24"/>
          <w:szCs w:val="24"/>
          <w:u w:val="none" w:color="auto"/>
        </w:rPr>
      </w:pPr>
      <w:r>
        <w:rPr>
          <w:rFonts w:hint="eastAsia" w:ascii="Times New Roman" w:hAnsi="Times New Roman" w:eastAsia="仿宋_GB2312" w:cs="仿宋_GB2312"/>
          <w:sz w:val="24"/>
          <w:szCs w:val="24"/>
          <w:u w:val="none" w:color="auto"/>
        </w:rPr>
        <w:t>注：本表所称的</w:t>
      </w:r>
      <w:r>
        <w:rPr>
          <w:rFonts w:hint="eastAsia" w:ascii="Times New Roman" w:hAnsi="Times New Roman" w:cs="仿宋_GB2312"/>
          <w:sz w:val="24"/>
          <w:szCs w:val="24"/>
          <w:u w:val="none" w:color="auto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24"/>
          <w:szCs w:val="24"/>
          <w:u w:val="none" w:color="auto"/>
        </w:rPr>
        <w:t>以上</w:t>
      </w:r>
      <w:r>
        <w:rPr>
          <w:rFonts w:hint="eastAsia" w:ascii="Times New Roman" w:hAnsi="Times New Roman" w:cs="仿宋_GB2312"/>
          <w:sz w:val="24"/>
          <w:szCs w:val="24"/>
          <w:u w:val="none" w:color="auto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24"/>
          <w:szCs w:val="24"/>
          <w:u w:val="none" w:color="auto"/>
        </w:rPr>
        <w:t>含本数。一次灾害过程达到上述标准之一的，可启动相应预案等级。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rPr>
          <w:rFonts w:hint="eastAsia" w:ascii="Times New Roman" w:hAnsi="Times New Roman" w:eastAsia="仿宋_GB2312" w:cs="仿宋_GB2312"/>
          <w:sz w:val="24"/>
          <w:szCs w:val="24"/>
          <w:u w:val="none" w:color="auto"/>
        </w:rPr>
      </w:pP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774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2023-08-22T06:41:32Z</dcterms:created>
  <dc:creator>km</dc:creator>
  <cp:lastModifiedBy>km</cp:lastModifiedBy>
  <dcterms:modified xsi:type="dcterms:W3CDTF">2023-08-22T06:41:46Z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659EE69E9A7743FBB1BA09DA45DF920C_12</vt:lpwstr>
  </property>
</Properties>
</file>