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600" w:lineRule="exact"/>
        <w:jc w:val="center"/>
        <w:outlineLvl w:val="0"/>
        <w:rPr>
          <w:rFonts w:hint="eastAsia" w:ascii="方正小标宋简体" w:hAnsi="方正小标宋简体" w:eastAsia="方正小标宋简体" w:cs="方正小标宋简体"/>
          <w:b/>
          <w:bCs/>
          <w:sz w:val="44"/>
          <w:szCs w:val="44"/>
        </w:rPr>
      </w:pPr>
      <w:bookmarkStart w:id="0" w:name="_Toc530735955"/>
      <w:bookmarkStart w:id="1" w:name="_Toc530670652"/>
      <w:r>
        <w:rPr>
          <w:rFonts w:hint="eastAsia" w:ascii="方正小标宋简体" w:hAnsi="方正小标宋简体" w:eastAsia="方正小标宋简体" w:cs="方正小标宋简体"/>
          <w:b/>
          <w:bCs/>
          <w:sz w:val="44"/>
          <w:szCs w:val="44"/>
        </w:rPr>
        <w:t>《安宁市“十四五”招商引资发展规划》的编制说明</w:t>
      </w:r>
      <w:bookmarkEnd w:id="0"/>
      <w:bookmarkEnd w:id="1"/>
    </w:p>
    <w:p>
      <w:pPr>
        <w:spacing w:line="560" w:lineRule="exact"/>
        <w:ind w:firstLine="600" w:firstLineChars="200"/>
        <w:rPr>
          <w:rFonts w:ascii="仿宋_GB2312" w:eastAsia="仿宋_GB2312"/>
          <w:sz w:val="30"/>
          <w:szCs w:val="30"/>
        </w:rPr>
      </w:pPr>
    </w:p>
    <w:p>
      <w:pPr>
        <w:spacing w:line="600" w:lineRule="exact"/>
        <w:ind w:firstLine="640" w:firstLineChars="200"/>
        <w:outlineLvl w:val="1"/>
        <w:rPr>
          <w:rFonts w:hint="eastAsia" w:ascii="黑体" w:hAnsi="黑体" w:eastAsia="黑体" w:cs="黑体"/>
          <w:b w:val="0"/>
          <w:bCs/>
          <w:sz w:val="32"/>
          <w:szCs w:val="32"/>
        </w:rPr>
      </w:pPr>
      <w:bookmarkStart w:id="2" w:name="_Toc530670653"/>
      <w:bookmarkStart w:id="3" w:name="_Toc530735956"/>
      <w:r>
        <w:rPr>
          <w:rFonts w:hint="eastAsia" w:ascii="黑体" w:hAnsi="黑体" w:eastAsia="黑体" w:cs="黑体"/>
          <w:b w:val="0"/>
          <w:bCs/>
          <w:sz w:val="32"/>
          <w:szCs w:val="32"/>
        </w:rPr>
        <w:t>一、编制背景</w:t>
      </w:r>
      <w:bookmarkEnd w:id="2"/>
      <w:bookmarkEnd w:id="3"/>
    </w:p>
    <w:p>
      <w:pPr>
        <w:spacing w:line="560" w:lineRule="exact"/>
        <w:ind w:firstLine="600" w:firstLineChars="200"/>
        <w:rPr>
          <w:rFonts w:ascii="仿宋_GB2312" w:eastAsia="仿宋_GB2312"/>
          <w:sz w:val="30"/>
          <w:szCs w:val="30"/>
        </w:rPr>
      </w:pPr>
      <w:r>
        <w:rPr>
          <w:rFonts w:hint="eastAsia" w:ascii="仿宋_GB2312" w:eastAsia="仿宋_GB2312"/>
          <w:sz w:val="30"/>
          <w:szCs w:val="30"/>
        </w:rPr>
        <w:t>“十四五”时期是我国全面建成小康社会、实现第一个百年奋斗目标之后，乘势而上开启全面建设社会主义现代化国家新征程、向第二个百年奋斗目标进军的第一个五年。招商引资工作是地方政府培育新的经济增长点、促进社会事业适度超前发展的重要手段。抓住招商引资工作就是抓住了经济发展的“牛鼻子”，能在为地方注入发展资金、促进产业优化升级、增加税收、增加就业岗位等方面起到积极的作用。为做好今后一段时期的招商引资工作，从而推动安宁市加快建设“区域性国际中心城市西线经济走廊、滇中最美绿城、中国西部县域高质量发展标兵”，编制《安宁市“十四五”招商引资发展规划》。</w:t>
      </w:r>
    </w:p>
    <w:p>
      <w:pPr>
        <w:spacing w:line="600" w:lineRule="exact"/>
        <w:ind w:firstLine="640" w:firstLineChars="200"/>
        <w:outlineLvl w:val="1"/>
        <w:rPr>
          <w:rFonts w:hint="eastAsia" w:ascii="黑体" w:hAnsi="黑体" w:eastAsia="黑体" w:cs="黑体"/>
          <w:b w:val="0"/>
          <w:bCs/>
          <w:sz w:val="32"/>
          <w:szCs w:val="32"/>
        </w:rPr>
      </w:pPr>
      <w:bookmarkStart w:id="4" w:name="_Toc530670654"/>
      <w:bookmarkStart w:id="5" w:name="_Toc530735957"/>
      <w:r>
        <w:rPr>
          <w:rFonts w:hint="eastAsia" w:ascii="黑体" w:hAnsi="黑体" w:eastAsia="黑体" w:cs="黑体"/>
          <w:b w:val="0"/>
          <w:bCs/>
          <w:sz w:val="32"/>
          <w:szCs w:val="32"/>
        </w:rPr>
        <w:t>二、编制过程</w:t>
      </w:r>
      <w:bookmarkEnd w:id="4"/>
      <w:bookmarkEnd w:id="5"/>
    </w:p>
    <w:p>
      <w:pPr>
        <w:spacing w:line="560" w:lineRule="exact"/>
        <w:ind w:firstLine="600" w:firstLineChars="200"/>
        <w:rPr>
          <w:rFonts w:ascii="仿宋_GB2312" w:eastAsia="仿宋_GB2312"/>
          <w:sz w:val="30"/>
          <w:szCs w:val="30"/>
        </w:rPr>
      </w:pPr>
      <w:r>
        <w:rPr>
          <w:rFonts w:hint="eastAsia" w:ascii="仿宋_GB2312" w:eastAsia="仿宋_GB2312"/>
          <w:sz w:val="30"/>
          <w:szCs w:val="30"/>
        </w:rPr>
        <w:t>受安宁市发展和改革局委托，赛迪顾问股份有限公司负责《安宁市“十四五”招商引资发展规划》的编制工作。规划编制工作于2</w:t>
      </w:r>
      <w:r>
        <w:rPr>
          <w:rFonts w:ascii="仿宋_GB2312" w:eastAsia="仿宋_GB2312"/>
          <w:sz w:val="30"/>
          <w:szCs w:val="30"/>
        </w:rPr>
        <w:t>020</w:t>
      </w:r>
      <w:r>
        <w:rPr>
          <w:rFonts w:hint="eastAsia" w:ascii="仿宋_GB2312" w:eastAsia="仿宋_GB2312"/>
          <w:sz w:val="30"/>
          <w:szCs w:val="30"/>
        </w:rPr>
        <w:t>年3月正式启动，受疫情影响项目组根据安宁市发展和改革局提供的相关资料开始规划文本编制工作，形成初步文本。2</w:t>
      </w:r>
      <w:r>
        <w:rPr>
          <w:rFonts w:ascii="仿宋_GB2312" w:eastAsia="仿宋_GB2312"/>
          <w:sz w:val="30"/>
          <w:szCs w:val="30"/>
        </w:rPr>
        <w:t>020</w:t>
      </w:r>
      <w:r>
        <w:rPr>
          <w:rFonts w:hint="eastAsia" w:ascii="仿宋_GB2312" w:eastAsia="仿宋_GB2312"/>
          <w:sz w:val="30"/>
          <w:szCs w:val="30"/>
        </w:rPr>
        <w:t>年5月中旬项目组赴安宁市开展调研工作，对安宁市发展和改革局、安宁工业园区、太平新城、职教园区等部门及主要企业进行座谈、走访。调研结束后，项目组根据调研了解到的具体情况和资料，对文本进行修改完善。修改稿形成后，先后征求安宁市发展和改革局、安宁工业园区管委会、安宁市工业和科学技术信息化局、安宁市农业农村局、太平新城管委会、职教园区管委会等部门及专家意见，并对规划文本进行多次修改完善，先后形成征求意见稿、评审稿。2</w:t>
      </w:r>
      <w:r>
        <w:rPr>
          <w:rFonts w:ascii="仿宋_GB2312" w:eastAsia="仿宋_GB2312"/>
          <w:sz w:val="30"/>
          <w:szCs w:val="30"/>
        </w:rPr>
        <w:t>021</w:t>
      </w:r>
      <w:r>
        <w:rPr>
          <w:rFonts w:hint="eastAsia" w:ascii="仿宋_GB2312" w:eastAsia="仿宋_GB2312"/>
          <w:sz w:val="30"/>
          <w:szCs w:val="30"/>
        </w:rPr>
        <w:t>年11月1</w:t>
      </w:r>
      <w:r>
        <w:rPr>
          <w:rFonts w:ascii="仿宋_GB2312" w:eastAsia="仿宋_GB2312"/>
          <w:sz w:val="30"/>
          <w:szCs w:val="30"/>
        </w:rPr>
        <w:t>1</w:t>
      </w:r>
      <w:r>
        <w:rPr>
          <w:rFonts w:hint="eastAsia" w:ascii="仿宋_GB2312" w:eastAsia="仿宋_GB2312"/>
          <w:sz w:val="30"/>
          <w:szCs w:val="30"/>
        </w:rPr>
        <w:t>日，《规划》通过专家评审。随后，项目组根据专家评审意见，对规划文本进行修改完善，并于2</w:t>
      </w:r>
      <w:r>
        <w:rPr>
          <w:rFonts w:ascii="仿宋_GB2312" w:eastAsia="仿宋_GB2312"/>
          <w:sz w:val="30"/>
          <w:szCs w:val="30"/>
        </w:rPr>
        <w:t>021</w:t>
      </w:r>
      <w:r>
        <w:rPr>
          <w:rFonts w:hint="eastAsia" w:ascii="仿宋_GB2312" w:eastAsia="仿宋_GB2312"/>
          <w:sz w:val="30"/>
          <w:szCs w:val="30"/>
        </w:rPr>
        <w:t>年11月2</w:t>
      </w:r>
      <w:r>
        <w:rPr>
          <w:rFonts w:ascii="仿宋_GB2312" w:eastAsia="仿宋_GB2312"/>
          <w:sz w:val="30"/>
          <w:szCs w:val="30"/>
        </w:rPr>
        <w:t>4</w:t>
      </w:r>
      <w:r>
        <w:rPr>
          <w:rFonts w:hint="eastAsia" w:ascii="仿宋_GB2312" w:eastAsia="仿宋_GB2312"/>
          <w:sz w:val="30"/>
          <w:szCs w:val="30"/>
        </w:rPr>
        <w:t>日提交《规划》终稿。</w:t>
      </w:r>
    </w:p>
    <w:p>
      <w:pPr>
        <w:spacing w:line="600" w:lineRule="exact"/>
        <w:ind w:firstLine="640" w:firstLineChars="200"/>
        <w:outlineLvl w:val="1"/>
        <w:rPr>
          <w:rFonts w:hint="eastAsia" w:ascii="黑体" w:hAnsi="黑体" w:eastAsia="黑体" w:cs="黑体"/>
          <w:b w:val="0"/>
          <w:bCs/>
          <w:sz w:val="32"/>
          <w:szCs w:val="32"/>
        </w:rPr>
      </w:pPr>
      <w:bookmarkStart w:id="6" w:name="_Toc530735958"/>
      <w:bookmarkStart w:id="7" w:name="_Toc530670655"/>
      <w:r>
        <w:rPr>
          <w:rFonts w:hint="eastAsia" w:ascii="黑体" w:hAnsi="黑体" w:eastAsia="黑体" w:cs="黑体"/>
          <w:b w:val="0"/>
          <w:bCs/>
          <w:sz w:val="32"/>
          <w:szCs w:val="32"/>
        </w:rPr>
        <w:t>三、《规划》的主要内容</w:t>
      </w:r>
      <w:bookmarkEnd w:id="6"/>
      <w:bookmarkEnd w:id="7"/>
    </w:p>
    <w:p>
      <w:pPr>
        <w:spacing w:line="560" w:lineRule="exact"/>
        <w:ind w:firstLine="600" w:firstLineChars="200"/>
        <w:rPr>
          <w:rFonts w:ascii="仿宋_GB2312" w:eastAsia="仿宋_GB2312"/>
          <w:sz w:val="30"/>
          <w:szCs w:val="30"/>
        </w:rPr>
      </w:pPr>
      <w:r>
        <w:rPr>
          <w:rFonts w:hint="eastAsia" w:ascii="仿宋_GB2312" w:eastAsia="仿宋_GB2312"/>
          <w:sz w:val="30"/>
          <w:szCs w:val="30"/>
        </w:rPr>
        <w:t>《安宁市“十四五”招商引资发展规划》共分为十二个部分，即前言、发展基础、“十四五”招商引资发展环境、“十四五”招商引资总体思路、“十四五”招商引资重点方向、“十四五”招商引资主要承载区、打造高质量招商引资新生态、保障措施、选择依据、安宁市招商资源禀赋分析、重点企业列表及分析、招商引资典型案例。</w:t>
      </w:r>
    </w:p>
    <w:p>
      <w:pPr>
        <w:spacing w:line="560" w:lineRule="exact"/>
        <w:ind w:firstLine="602" w:firstLineChars="200"/>
        <w:rPr>
          <w:rFonts w:ascii="仿宋_GB2312" w:eastAsia="仿宋_GB2312"/>
          <w:sz w:val="30"/>
          <w:szCs w:val="30"/>
        </w:rPr>
      </w:pPr>
      <w:bookmarkStart w:id="8" w:name="_Hlk97734721"/>
      <w:r>
        <w:rPr>
          <w:rFonts w:hint="eastAsia" w:ascii="仿宋_GB2312" w:eastAsia="仿宋_GB2312"/>
          <w:b/>
          <w:sz w:val="30"/>
          <w:szCs w:val="30"/>
        </w:rPr>
        <w:t>（一）前言。</w:t>
      </w:r>
      <w:bookmarkEnd w:id="8"/>
      <w:r>
        <w:rPr>
          <w:rFonts w:hint="eastAsia" w:ascii="仿宋_GB2312" w:eastAsia="仿宋_GB2312"/>
          <w:sz w:val="30"/>
          <w:szCs w:val="30"/>
        </w:rPr>
        <w:t>主要说明规划编制的背景、重要意义、规划期限等内容。</w:t>
      </w:r>
    </w:p>
    <w:p>
      <w:pPr>
        <w:spacing w:line="560" w:lineRule="exact"/>
        <w:ind w:firstLine="602" w:firstLineChars="200"/>
        <w:rPr>
          <w:rFonts w:ascii="仿宋_GB2312" w:eastAsia="仿宋_GB2312"/>
          <w:sz w:val="30"/>
          <w:szCs w:val="30"/>
        </w:rPr>
      </w:pPr>
      <w:r>
        <w:rPr>
          <w:rFonts w:hint="eastAsia" w:ascii="仿宋_GB2312" w:eastAsia="仿宋_GB2312"/>
          <w:b/>
          <w:sz w:val="30"/>
          <w:szCs w:val="30"/>
        </w:rPr>
        <w:t>（二）发展基础。</w:t>
      </w:r>
      <w:r>
        <w:rPr>
          <w:rFonts w:hint="eastAsia" w:ascii="仿宋_GB2312" w:eastAsia="仿宋_GB2312"/>
          <w:sz w:val="30"/>
          <w:szCs w:val="30"/>
        </w:rPr>
        <w:t>对安宁市“十三五”招商引资工作情况进行回顾，“十三五”时期安宁市招商体制不断优化，顶层支撑更加坚实；招商服务精准推进，工作体系更加健全；招商战果逐步扩大，发展动能更加强劲；招商撬动彰显动能，产业结构更加优化。但也存在引资规模有待提升、产业链条仍需延补、招商品牌亟待树立、硬性约束日益趋紧、招商引资质量不高等问题。</w:t>
      </w:r>
    </w:p>
    <w:p>
      <w:pPr>
        <w:spacing w:line="560" w:lineRule="exact"/>
        <w:ind w:firstLine="602" w:firstLineChars="200"/>
        <w:rPr>
          <w:rFonts w:ascii="仿宋_GB2312" w:eastAsia="仿宋_GB2312"/>
          <w:sz w:val="30"/>
          <w:szCs w:val="30"/>
        </w:rPr>
      </w:pPr>
      <w:r>
        <w:rPr>
          <w:rFonts w:hint="eastAsia" w:ascii="仿宋_GB2312" w:eastAsia="仿宋_GB2312"/>
          <w:b/>
          <w:bCs/>
          <w:sz w:val="30"/>
          <w:szCs w:val="30"/>
        </w:rPr>
        <w:t>（三）“十四五”招商引资发展环境。</w:t>
      </w:r>
      <w:r>
        <w:rPr>
          <w:rFonts w:hint="eastAsia" w:ascii="仿宋_GB2312" w:eastAsia="仿宋_GB2312"/>
          <w:sz w:val="30"/>
          <w:szCs w:val="30"/>
        </w:rPr>
        <w:t>“十四五”时期，安宁市招商引资工作迎来多重机遇，国家战略带来发展新契机、区域合作拓展发展新空间、省级规划提供发展新思路、滇中新区发展带来新机遇、“昆安一体化”构筑发展新支撑。同时，也面临宏观经济环境增加招商引资整体压力、东南亚低成本优势冲击国内制造业、“双碳”目标要求加快绿色低碳循环发展、周边县市区产业竞争出现同质化等诸多挑战。</w:t>
      </w:r>
    </w:p>
    <w:p>
      <w:pPr>
        <w:spacing w:line="560" w:lineRule="exact"/>
        <w:ind w:firstLine="602" w:firstLineChars="200"/>
        <w:rPr>
          <w:rFonts w:ascii="仿宋_GB2312" w:eastAsia="仿宋_GB2312"/>
          <w:sz w:val="30"/>
          <w:szCs w:val="30"/>
        </w:rPr>
      </w:pPr>
      <w:r>
        <w:rPr>
          <w:rFonts w:hint="eastAsia" w:ascii="仿宋_GB2312" w:eastAsia="仿宋_GB2312"/>
          <w:b/>
          <w:bCs/>
          <w:sz w:val="30"/>
          <w:szCs w:val="30"/>
        </w:rPr>
        <w:t>（四）“十四五”招商引资总体思路。</w:t>
      </w:r>
      <w:r>
        <w:rPr>
          <w:rFonts w:hint="eastAsia" w:ascii="仿宋_GB2312" w:eastAsia="仿宋_GB2312"/>
          <w:sz w:val="30"/>
          <w:szCs w:val="30"/>
        </w:rPr>
        <w:t>主要包括指导思想、基本原则、发展目标三个方面。</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指导思想”主要是以习近平新时代中国特色社会主义思想为指导，坚持新发展理念，以深化供给侧结构性改革为主线，以高质量发展为主题，主动融入新发展格局，突出精准性、针对性、有效性，以全面提升安宁招商引资竞争力为核心，打造一流国际化营商环境，创新招商方法、招商模式、招商机制，大力推进产业招商，“引智、引资、引技”有机结合，努力实现招商引资的规模、质量和效益新突破，将安宁打造成全省产业链招大引强示范区和承接昆明乃至东部沿海地区产业转移的现代工业基地，更好发挥招商引资对经济增长和产业转型升级“双引擎”作用。</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2、“基本原则”包括四个方面，即：坚持创新驱动，激发活力；坚持扩大开放，融入区域；坚持突出特色，发挥优势；坚持生态平衡，绿色发展。</w:t>
      </w:r>
    </w:p>
    <w:p>
      <w:pPr>
        <w:spacing w:line="560" w:lineRule="exact"/>
        <w:ind w:firstLine="600" w:firstLineChars="2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、“发展目标”包括2</w:t>
      </w:r>
      <w:r>
        <w:rPr>
          <w:rFonts w:ascii="仿宋_GB2312" w:eastAsia="仿宋_GB2312"/>
          <w:sz w:val="30"/>
          <w:szCs w:val="30"/>
        </w:rPr>
        <w:t>025</w:t>
      </w:r>
      <w:r>
        <w:rPr>
          <w:rFonts w:hint="eastAsia" w:ascii="仿宋_GB2312" w:eastAsia="仿宋_GB2312"/>
          <w:sz w:val="30"/>
          <w:szCs w:val="30"/>
        </w:rPr>
        <w:t>年目标和2</w:t>
      </w:r>
      <w:r>
        <w:rPr>
          <w:rFonts w:ascii="仿宋_GB2312" w:eastAsia="仿宋_GB2312"/>
          <w:sz w:val="30"/>
          <w:szCs w:val="30"/>
        </w:rPr>
        <w:t>035</w:t>
      </w:r>
      <w:r>
        <w:rPr>
          <w:rFonts w:hint="eastAsia" w:ascii="仿宋_GB2312" w:eastAsia="仿宋_GB2312"/>
          <w:sz w:val="30"/>
          <w:szCs w:val="30"/>
        </w:rPr>
        <w:t>年远景目标。2</w:t>
      </w:r>
      <w:r>
        <w:rPr>
          <w:rFonts w:ascii="仿宋_GB2312" w:eastAsia="仿宋_GB2312"/>
          <w:sz w:val="30"/>
          <w:szCs w:val="30"/>
        </w:rPr>
        <w:t>025</w:t>
      </w:r>
      <w:r>
        <w:rPr>
          <w:rFonts w:hint="eastAsia" w:ascii="仿宋_GB2312" w:eastAsia="仿宋_GB2312"/>
          <w:sz w:val="30"/>
          <w:szCs w:val="30"/>
        </w:rPr>
        <w:t>年目标提出，招商引资实际到位内资年均增长13%以上，外资年均增长8%以上；2</w:t>
      </w:r>
      <w:r>
        <w:rPr>
          <w:rFonts w:ascii="仿宋_GB2312" w:eastAsia="仿宋_GB2312"/>
          <w:sz w:val="30"/>
          <w:szCs w:val="30"/>
        </w:rPr>
        <w:t>035</w:t>
      </w:r>
      <w:r>
        <w:rPr>
          <w:rFonts w:hint="eastAsia" w:ascii="仿宋_GB2312" w:eastAsia="仿宋_GB2312"/>
          <w:sz w:val="30"/>
          <w:szCs w:val="30"/>
        </w:rPr>
        <w:t>年远景目标提出，到2035年全市引进500个以上亿元以上的优质项目、实际到位内资1500亿元以上、实际利用外资6亿美元以上。</w:t>
      </w:r>
    </w:p>
    <w:p>
      <w:pPr>
        <w:spacing w:line="560" w:lineRule="exact"/>
        <w:ind w:firstLine="602" w:firstLineChars="200"/>
        <w:rPr>
          <w:rFonts w:ascii="仿宋_GB2312" w:eastAsia="仿宋_GB2312"/>
          <w:sz w:val="30"/>
          <w:szCs w:val="30"/>
        </w:rPr>
      </w:pPr>
      <w:r>
        <w:rPr>
          <w:rFonts w:hint="eastAsia" w:ascii="仿宋_GB2312" w:eastAsia="仿宋_GB2312"/>
          <w:b/>
          <w:bCs/>
          <w:sz w:val="30"/>
          <w:szCs w:val="30"/>
        </w:rPr>
        <w:t>（五）“十四五”招商引资重点方向。</w:t>
      </w:r>
      <w:r>
        <w:rPr>
          <w:rFonts w:hint="eastAsia" w:ascii="仿宋_GB2312" w:eastAsia="仿宋_GB2312"/>
          <w:sz w:val="30"/>
          <w:szCs w:val="30"/>
        </w:rPr>
        <w:t>围绕推动重点产业“补链、延链、强链”，做强优势主导产业、培育战略性新兴产业、夯实现代服务业、做优现代农业，提出石油化工产业、钢铁及装备制造业、盐磷化工产业、新材料产业、铜精深加工、大健康产业、现代物流业、文化旅游业、职业教育产业、高原特色农业产业的重点引进方向、产业链招商地图。</w:t>
      </w:r>
    </w:p>
    <w:p>
      <w:pPr>
        <w:spacing w:line="560" w:lineRule="exact"/>
        <w:ind w:firstLine="602" w:firstLineChars="200"/>
        <w:rPr>
          <w:rFonts w:ascii="仿宋_GB2312" w:eastAsia="仿宋_GB2312"/>
          <w:sz w:val="30"/>
          <w:szCs w:val="30"/>
        </w:rPr>
      </w:pPr>
      <w:r>
        <w:rPr>
          <w:rFonts w:hint="eastAsia" w:ascii="仿宋_GB2312" w:eastAsia="仿宋_GB2312"/>
          <w:b/>
          <w:bCs/>
          <w:sz w:val="30"/>
          <w:szCs w:val="30"/>
        </w:rPr>
        <w:t>（六）“十四五”招商引资主要承载区。</w:t>
      </w:r>
      <w:r>
        <w:rPr>
          <w:rFonts w:hint="eastAsia" w:ascii="仿宋_GB2312" w:eastAsia="仿宋_GB2312"/>
          <w:sz w:val="30"/>
          <w:szCs w:val="30"/>
        </w:rPr>
        <w:t>按照产业互补、功能分区的原则，确定化工循环产业园区、新材料产业园区、冶金先进装备制造及环保产业园、生物医药科技产业园、320战略新兴产业园、再生资源利用片区、温泉康体养生度假基地、太平新城、安宁南亚国际陆港、安宁职业教育基地、南部地区、昆钢老厂区等主要承载区的产业承载分工。</w:t>
      </w:r>
    </w:p>
    <w:p>
      <w:pPr>
        <w:spacing w:line="560" w:lineRule="exact"/>
        <w:ind w:firstLine="602" w:firstLineChars="200"/>
        <w:rPr>
          <w:rFonts w:ascii="仿宋_GB2312" w:eastAsia="仿宋_GB2312"/>
          <w:sz w:val="30"/>
          <w:szCs w:val="30"/>
        </w:rPr>
      </w:pPr>
      <w:r>
        <w:rPr>
          <w:rFonts w:hint="eastAsia" w:ascii="仿宋_GB2312" w:eastAsia="仿宋_GB2312"/>
          <w:b/>
          <w:bCs/>
          <w:sz w:val="30"/>
          <w:szCs w:val="30"/>
        </w:rPr>
        <w:t>（七）打造高质量招商引资新生态。</w:t>
      </w:r>
      <w:r>
        <w:rPr>
          <w:rFonts w:hint="eastAsia" w:ascii="仿宋_GB2312" w:eastAsia="仿宋_GB2312"/>
          <w:sz w:val="30"/>
          <w:szCs w:val="30"/>
        </w:rPr>
        <w:t>主要通过创新招商引资方式、优化招商引资政策、加强招商要素保障、优化招商引资营商环境、优化招商引资布局、树立招商引资品牌，打造高质量招商引资新生态。</w:t>
      </w:r>
    </w:p>
    <w:p>
      <w:pPr>
        <w:spacing w:line="560" w:lineRule="exact"/>
        <w:ind w:firstLine="602" w:firstLineChars="200"/>
        <w:rPr>
          <w:rFonts w:ascii="仿宋_GB2312" w:eastAsia="仿宋_GB2312"/>
          <w:sz w:val="30"/>
          <w:szCs w:val="30"/>
        </w:rPr>
      </w:pPr>
      <w:r>
        <w:rPr>
          <w:rFonts w:hint="eastAsia" w:ascii="仿宋_GB2312" w:eastAsia="仿宋_GB2312"/>
          <w:b/>
          <w:bCs/>
          <w:sz w:val="30"/>
          <w:szCs w:val="30"/>
        </w:rPr>
        <w:t>（八）保障措施。</w:t>
      </w:r>
      <w:r>
        <w:rPr>
          <w:rFonts w:hint="eastAsia" w:ascii="仿宋_GB2312" w:eastAsia="仿宋_GB2312"/>
          <w:sz w:val="30"/>
          <w:szCs w:val="30"/>
        </w:rPr>
        <w:t>主要包括强化组织领导、加大政策引导、加强队伍建设、优化协调服务、科学管理考核五个方面。</w:t>
      </w:r>
    </w:p>
    <w:p>
      <w:pPr>
        <w:spacing w:line="560" w:lineRule="exact"/>
        <w:ind w:firstLine="602" w:firstLineChars="200"/>
        <w:rPr>
          <w:rFonts w:ascii="仿宋_GB2312" w:eastAsia="仿宋_GB2312"/>
          <w:sz w:val="30"/>
          <w:szCs w:val="30"/>
        </w:rPr>
      </w:pPr>
      <w:r>
        <w:rPr>
          <w:rFonts w:hint="eastAsia" w:ascii="仿宋_GB2312" w:eastAsia="仿宋_GB2312"/>
          <w:b/>
          <w:bCs/>
          <w:sz w:val="30"/>
          <w:szCs w:val="30"/>
        </w:rPr>
        <w:t>（九）选择依据。</w:t>
      </w:r>
      <w:r>
        <w:rPr>
          <w:rFonts w:hint="eastAsia" w:ascii="仿宋_GB2312" w:eastAsia="仿宋_GB2312"/>
          <w:sz w:val="30"/>
          <w:szCs w:val="30"/>
        </w:rPr>
        <w:t>主要围绕政策链、产业链、需求链及供给链“四链”互动联动，择优确定发展的重点产业及方向。</w:t>
      </w:r>
    </w:p>
    <w:p>
      <w:pPr>
        <w:spacing w:line="560" w:lineRule="exact"/>
        <w:ind w:firstLine="602" w:firstLineChars="200"/>
        <w:rPr>
          <w:rFonts w:ascii="仿宋_GB2312" w:eastAsia="仿宋_GB2312"/>
          <w:sz w:val="30"/>
          <w:szCs w:val="30"/>
        </w:rPr>
      </w:pPr>
      <w:r>
        <w:rPr>
          <w:rFonts w:hint="eastAsia" w:ascii="仿宋_GB2312" w:eastAsia="仿宋_GB2312"/>
          <w:b/>
          <w:bCs/>
          <w:sz w:val="30"/>
          <w:szCs w:val="30"/>
        </w:rPr>
        <w:t>（十）安宁市招商资源禀赋分析。</w:t>
      </w:r>
      <w:r>
        <w:rPr>
          <w:rFonts w:hint="eastAsia" w:ascii="仿宋_GB2312" w:eastAsia="仿宋_GB2312"/>
          <w:sz w:val="30"/>
          <w:szCs w:val="30"/>
        </w:rPr>
        <w:t>主要从区位优势、矿产资源、植物资源、文化旅游资源、人才资源、科技资源六个方面分析安宁市招商资源禀赋。</w:t>
      </w:r>
    </w:p>
    <w:p>
      <w:pPr>
        <w:spacing w:line="560" w:lineRule="exact"/>
        <w:ind w:firstLine="602" w:firstLineChars="200"/>
        <w:rPr>
          <w:rFonts w:ascii="仿宋_GB2312" w:eastAsia="仿宋_GB2312"/>
          <w:sz w:val="30"/>
          <w:szCs w:val="30"/>
        </w:rPr>
      </w:pPr>
      <w:r>
        <w:rPr>
          <w:rFonts w:hint="eastAsia" w:ascii="仿宋_GB2312" w:eastAsia="仿宋_GB2312"/>
          <w:b/>
          <w:bCs/>
          <w:sz w:val="30"/>
          <w:szCs w:val="30"/>
        </w:rPr>
        <w:t>（十一）重点企业列表及分析。</w:t>
      </w:r>
      <w:r>
        <w:rPr>
          <w:rFonts w:hint="eastAsia" w:ascii="仿宋_GB2312" w:eastAsia="仿宋_GB2312"/>
          <w:sz w:val="30"/>
          <w:szCs w:val="30"/>
        </w:rPr>
        <w:t>主要围绕装备制造业、石油化工产业、高原特色农业、新材料产业、大健康产业、现代物流产业、文化旅游产业、职业教育产业、盐磷化工产业、铜精深加工产业等安宁市主要产业，对相关领域招商目标企业进行分析，为安宁市招商引资提供参考。</w:t>
      </w:r>
    </w:p>
    <w:p>
      <w:pPr>
        <w:spacing w:line="560" w:lineRule="exact"/>
        <w:ind w:firstLine="602" w:firstLineChars="200"/>
        <w:rPr>
          <w:rFonts w:ascii="仿宋_GB2312" w:eastAsia="仿宋_GB2312"/>
          <w:sz w:val="30"/>
          <w:szCs w:val="30"/>
        </w:rPr>
      </w:pPr>
      <w:r>
        <w:rPr>
          <w:rFonts w:hint="eastAsia" w:ascii="仿宋_GB2312" w:eastAsia="仿宋_GB2312"/>
          <w:b/>
          <w:bCs/>
          <w:sz w:val="30"/>
          <w:szCs w:val="30"/>
        </w:rPr>
        <w:t>（十二）招商引资典型案例。</w:t>
      </w:r>
      <w:r>
        <w:rPr>
          <w:rFonts w:hint="eastAsia" w:ascii="仿宋_GB2312" w:eastAsia="仿宋_GB2312"/>
          <w:sz w:val="30"/>
          <w:szCs w:val="30"/>
        </w:rPr>
        <w:t>主要包括嘉善县、长兴县、新邵县招商引资的基本情况、主要举措。</w:t>
      </w: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600" w:lineRule="exact"/>
        <w:ind w:firstLine="420" w:firstLineChars="200"/>
        <w:outlineLvl w:val="1"/>
      </w:pPr>
      <w:bookmarkStart w:id="9" w:name="_GoBack"/>
      <w:bookmarkEnd w:id="9"/>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3982838"/>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hNDhhZGI3MzE0YzZlMDllZjFkYjMyOWZmMjM4ODAifQ=="/>
  </w:docVars>
  <w:rsids>
    <w:rsidRoot w:val="00FF1C79"/>
    <w:rsid w:val="00015A35"/>
    <w:rsid w:val="000217C1"/>
    <w:rsid w:val="00033548"/>
    <w:rsid w:val="00037E29"/>
    <w:rsid w:val="00040145"/>
    <w:rsid w:val="000500F0"/>
    <w:rsid w:val="0005386C"/>
    <w:rsid w:val="00071E01"/>
    <w:rsid w:val="000725BB"/>
    <w:rsid w:val="000735DF"/>
    <w:rsid w:val="000B35B9"/>
    <w:rsid w:val="000E0C91"/>
    <w:rsid w:val="00112453"/>
    <w:rsid w:val="00146575"/>
    <w:rsid w:val="00152E96"/>
    <w:rsid w:val="001556CD"/>
    <w:rsid w:val="00181B0F"/>
    <w:rsid w:val="001B1FD1"/>
    <w:rsid w:val="001B5597"/>
    <w:rsid w:val="001F0420"/>
    <w:rsid w:val="001F0495"/>
    <w:rsid w:val="00211595"/>
    <w:rsid w:val="002269A9"/>
    <w:rsid w:val="00232944"/>
    <w:rsid w:val="0025105A"/>
    <w:rsid w:val="0027399D"/>
    <w:rsid w:val="00280F56"/>
    <w:rsid w:val="00282DEA"/>
    <w:rsid w:val="00286EDD"/>
    <w:rsid w:val="002914A3"/>
    <w:rsid w:val="002F75AF"/>
    <w:rsid w:val="00300B67"/>
    <w:rsid w:val="0031731A"/>
    <w:rsid w:val="00357B6E"/>
    <w:rsid w:val="00385509"/>
    <w:rsid w:val="00386FCF"/>
    <w:rsid w:val="0039420E"/>
    <w:rsid w:val="00394879"/>
    <w:rsid w:val="003B276A"/>
    <w:rsid w:val="003C6758"/>
    <w:rsid w:val="003D0045"/>
    <w:rsid w:val="003D05D8"/>
    <w:rsid w:val="00415789"/>
    <w:rsid w:val="00424281"/>
    <w:rsid w:val="004254E7"/>
    <w:rsid w:val="00446404"/>
    <w:rsid w:val="0044668E"/>
    <w:rsid w:val="00467BD6"/>
    <w:rsid w:val="004B1019"/>
    <w:rsid w:val="00555CA5"/>
    <w:rsid w:val="00590F99"/>
    <w:rsid w:val="005A048D"/>
    <w:rsid w:val="005A79D1"/>
    <w:rsid w:val="005B196A"/>
    <w:rsid w:val="005E1869"/>
    <w:rsid w:val="005E3004"/>
    <w:rsid w:val="005F7A8D"/>
    <w:rsid w:val="00641B16"/>
    <w:rsid w:val="0065647A"/>
    <w:rsid w:val="00663C1D"/>
    <w:rsid w:val="00677B36"/>
    <w:rsid w:val="00684850"/>
    <w:rsid w:val="006A3BCA"/>
    <w:rsid w:val="006D11C2"/>
    <w:rsid w:val="006D2798"/>
    <w:rsid w:val="006F3D2B"/>
    <w:rsid w:val="006F65D4"/>
    <w:rsid w:val="00754D0D"/>
    <w:rsid w:val="00763EFC"/>
    <w:rsid w:val="00771729"/>
    <w:rsid w:val="00772AC8"/>
    <w:rsid w:val="00782DAF"/>
    <w:rsid w:val="00805412"/>
    <w:rsid w:val="00815823"/>
    <w:rsid w:val="00843D06"/>
    <w:rsid w:val="00850B5D"/>
    <w:rsid w:val="00853031"/>
    <w:rsid w:val="0086528F"/>
    <w:rsid w:val="008818FA"/>
    <w:rsid w:val="00883BE3"/>
    <w:rsid w:val="00897EC6"/>
    <w:rsid w:val="008C6829"/>
    <w:rsid w:val="008D4775"/>
    <w:rsid w:val="00910E44"/>
    <w:rsid w:val="0092796F"/>
    <w:rsid w:val="009533DD"/>
    <w:rsid w:val="0096531E"/>
    <w:rsid w:val="009A7563"/>
    <w:rsid w:val="009B4A3D"/>
    <w:rsid w:val="009C5BC3"/>
    <w:rsid w:val="00A264BB"/>
    <w:rsid w:val="00A27AC1"/>
    <w:rsid w:val="00A33E92"/>
    <w:rsid w:val="00A41514"/>
    <w:rsid w:val="00A47E08"/>
    <w:rsid w:val="00A539A9"/>
    <w:rsid w:val="00A55C90"/>
    <w:rsid w:val="00A61CD2"/>
    <w:rsid w:val="00A63E27"/>
    <w:rsid w:val="00A64355"/>
    <w:rsid w:val="00A72169"/>
    <w:rsid w:val="00A8561F"/>
    <w:rsid w:val="00AE1A91"/>
    <w:rsid w:val="00B07EBE"/>
    <w:rsid w:val="00B147A2"/>
    <w:rsid w:val="00B57E0F"/>
    <w:rsid w:val="00B63267"/>
    <w:rsid w:val="00B63C7B"/>
    <w:rsid w:val="00B9343E"/>
    <w:rsid w:val="00B9639E"/>
    <w:rsid w:val="00BA0A1E"/>
    <w:rsid w:val="00BB26E6"/>
    <w:rsid w:val="00BC1893"/>
    <w:rsid w:val="00BC33EE"/>
    <w:rsid w:val="00BD1370"/>
    <w:rsid w:val="00BE0BBF"/>
    <w:rsid w:val="00C0195E"/>
    <w:rsid w:val="00C15ACE"/>
    <w:rsid w:val="00C26235"/>
    <w:rsid w:val="00C30460"/>
    <w:rsid w:val="00C67A06"/>
    <w:rsid w:val="00C97C39"/>
    <w:rsid w:val="00CB3DD0"/>
    <w:rsid w:val="00CC4440"/>
    <w:rsid w:val="00CD684A"/>
    <w:rsid w:val="00CD7E75"/>
    <w:rsid w:val="00CE0A19"/>
    <w:rsid w:val="00CE21CC"/>
    <w:rsid w:val="00CF545B"/>
    <w:rsid w:val="00D626A9"/>
    <w:rsid w:val="00D76E36"/>
    <w:rsid w:val="00DA3E51"/>
    <w:rsid w:val="00DB3C01"/>
    <w:rsid w:val="00DC22F4"/>
    <w:rsid w:val="00DE0003"/>
    <w:rsid w:val="00DE3866"/>
    <w:rsid w:val="00DF3E1F"/>
    <w:rsid w:val="00DF5CC3"/>
    <w:rsid w:val="00DF69D8"/>
    <w:rsid w:val="00E26944"/>
    <w:rsid w:val="00E40CD4"/>
    <w:rsid w:val="00E47442"/>
    <w:rsid w:val="00E60773"/>
    <w:rsid w:val="00E91CAF"/>
    <w:rsid w:val="00E93712"/>
    <w:rsid w:val="00E94222"/>
    <w:rsid w:val="00E96AF2"/>
    <w:rsid w:val="00EA116E"/>
    <w:rsid w:val="00EA5E0B"/>
    <w:rsid w:val="00EA64C2"/>
    <w:rsid w:val="00EE7A21"/>
    <w:rsid w:val="00F153F9"/>
    <w:rsid w:val="00F2579D"/>
    <w:rsid w:val="00F8470A"/>
    <w:rsid w:val="00F966FA"/>
    <w:rsid w:val="00FA5310"/>
    <w:rsid w:val="00FB6F8C"/>
    <w:rsid w:val="00FE66CD"/>
    <w:rsid w:val="00FF1C79"/>
    <w:rsid w:val="00FF23AB"/>
    <w:rsid w:val="18B52E83"/>
    <w:rsid w:val="519F2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2416</Words>
  <Characters>2457</Characters>
  <Lines>17</Lines>
  <Paragraphs>4</Paragraphs>
  <TotalTime>30</TotalTime>
  <ScaleCrop>false</ScaleCrop>
  <LinksUpToDate>false</LinksUpToDate>
  <CharactersWithSpaces>2457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2021-09-23T05:54:00Z</dcterms:created>
  <dc:creator>Administrator</dc:creator>
  <cp:lastModifiedBy>Administrator</cp:lastModifiedBy>
  <dcterms:modified xsi:type="dcterms:W3CDTF">2023-09-14T02:41:22Z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7174B8746A884046B62C555DEEC06D07_12</vt:lpwstr>
  </property>
</Properties>
</file>