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default" w:ascii="方正粗黑宋简体" w:hAnsi="方正粗黑宋简体" w:eastAsia="方正粗黑宋简体" w:cs="方正粗黑宋简体"/>
          <w:sz w:val="32"/>
          <w:szCs w:val="32"/>
          <w:lang w:val="en-US" w:eastAsia="zh-CN"/>
        </w:rPr>
      </w:pPr>
      <w:r>
        <w:rPr>
          <w:rFonts w:hint="eastAsia" w:ascii="方正粗黑宋简体" w:hAnsi="方正粗黑宋简体" w:eastAsia="方正粗黑宋简体" w:cs="方正粗黑宋简体"/>
          <w:sz w:val="32"/>
          <w:szCs w:val="32"/>
          <w:lang w:eastAsia="zh-CN"/>
        </w:rPr>
        <w:t>附件</w:t>
      </w:r>
      <w:r>
        <w:rPr>
          <w:rFonts w:hint="eastAsia" w:ascii="方正粗黑宋简体" w:hAnsi="方正粗黑宋简体" w:eastAsia="方正粗黑宋简体" w:cs="方正粗黑宋简体"/>
          <w:sz w:val="32"/>
          <w:szCs w:val="32"/>
          <w:lang w:val="en-US" w:eastAsia="zh-CN"/>
        </w:rPr>
        <w:t>3</w:t>
      </w:r>
    </w:p>
    <w:p>
      <w:pPr>
        <w:jc w:val="center"/>
        <w:rPr>
          <w:rFonts w:hint="eastAsia" w:ascii="仿宋" w:hAnsi="仿宋" w:eastAsia="仿宋" w:cs="仿宋"/>
          <w:b/>
          <w:bCs/>
          <w:sz w:val="44"/>
          <w:szCs w:val="44"/>
          <w:lang w:eastAsia="zh-CN"/>
        </w:rPr>
      </w:pPr>
      <w:r>
        <w:rPr>
          <w:rFonts w:hint="eastAsia" w:ascii="仿宋" w:hAnsi="仿宋" w:eastAsia="仿宋" w:cs="仿宋"/>
          <w:b/>
          <w:bCs/>
          <w:sz w:val="44"/>
          <w:szCs w:val="44"/>
          <w:lang w:eastAsia="zh-CN"/>
        </w:rPr>
        <w:t>昆明市应急管理局规范行政强制裁量权细化标准表</w:t>
      </w:r>
    </w:p>
    <w:tbl>
      <w:tblPr>
        <w:tblStyle w:val="5"/>
        <w:tblW w:w="1385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437"/>
        <w:gridCol w:w="1165"/>
        <w:gridCol w:w="1560"/>
        <w:gridCol w:w="3814"/>
        <w:gridCol w:w="1815"/>
        <w:gridCol w:w="2715"/>
        <w:gridCol w:w="1200"/>
        <w:gridCol w:w="11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480"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序号</w:t>
            </w:r>
          </w:p>
        </w:tc>
        <w:tc>
          <w:tcPr>
            <w:tcW w:w="11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强制种类</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强制事项</w:t>
            </w:r>
          </w:p>
        </w:tc>
        <w:tc>
          <w:tcPr>
            <w:tcW w:w="38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sz w:val="18"/>
                <w:szCs w:val="18"/>
                <w:u w:val="none"/>
              </w:rPr>
            </w:pPr>
            <w:r>
              <w:rPr>
                <w:rFonts w:hint="eastAsia" w:ascii="宋体" w:hAnsi="宋体" w:eastAsia="宋体" w:cs="宋体"/>
                <w:b/>
                <w:bCs/>
                <w:i w:val="0"/>
                <w:color w:val="000000"/>
                <w:kern w:val="0"/>
                <w:sz w:val="18"/>
                <w:szCs w:val="18"/>
                <w:u w:val="none"/>
                <w:lang w:val="en-US" w:eastAsia="zh-CN" w:bidi="ar"/>
              </w:rPr>
              <w:t>法律依据</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适用情形</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宋体" w:hAnsi="宋体" w:eastAsia="宋体" w:cs="宋体"/>
                <w:b/>
                <w:bCs/>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强制流程</w:t>
            </w: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Style w:val="8"/>
                <w:b/>
                <w:bCs/>
                <w:lang w:val="en-US" w:eastAsia="zh-CN" w:bidi="ar"/>
              </w:rPr>
            </w:pPr>
            <w:r>
              <w:rPr>
                <w:rStyle w:val="8"/>
                <w:b/>
                <w:bCs/>
                <w:lang w:val="en-US" w:eastAsia="zh-CN" w:bidi="ar"/>
              </w:rPr>
              <w:t>裁量情节</w:t>
            </w:r>
          </w:p>
        </w:tc>
        <w:tc>
          <w:tcPr>
            <w:tcW w:w="11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Style w:val="8"/>
                <w:b/>
                <w:bCs/>
                <w:lang w:val="en-US" w:eastAsia="zh-CN" w:bidi="ar"/>
              </w:rPr>
            </w:pPr>
            <w:r>
              <w:rPr>
                <w:rStyle w:val="8"/>
                <w:b/>
                <w:bCs/>
                <w:lang w:val="en-US" w:eastAsia="zh-CN" w:bidi="ar"/>
              </w:rPr>
              <w:t>强制时限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097" w:hRule="atLeast"/>
        </w:trPr>
        <w:tc>
          <w:tcPr>
            <w:tcW w:w="437" w:type="dxa"/>
            <w:vMerge w:val="restart"/>
            <w:tcBorders>
              <w:top w:val="single" w:color="000000" w:sz="4" w:space="0"/>
              <w:left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1</w:t>
            </w:r>
          </w:p>
        </w:tc>
        <w:tc>
          <w:tcPr>
            <w:tcW w:w="1165" w:type="dxa"/>
            <w:vMerge w:val="restart"/>
            <w:tcBorders>
              <w:top w:val="single" w:color="000000" w:sz="4" w:space="0"/>
              <w:left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查封场所、设施、设备、器材，扣押危险化学品</w:t>
            </w:r>
          </w:p>
        </w:tc>
        <w:tc>
          <w:tcPr>
            <w:tcW w:w="1560" w:type="dxa"/>
            <w:vMerge w:val="restart"/>
            <w:tcBorders>
              <w:top w:val="single" w:color="000000" w:sz="4" w:space="0"/>
              <w:left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查封或者扣押有根据认为不符合保障安全生产的国家标准或者行业标准的设施、设备、器材以及违法生产、储存、使用、经营危险化学品；查封违法生产、储存、使用、经营危险化学品的作业场所</w:t>
            </w:r>
          </w:p>
        </w:tc>
        <w:tc>
          <w:tcPr>
            <w:tcW w:w="3814" w:type="dxa"/>
            <w:vMerge w:val="restart"/>
            <w:tcBorders>
              <w:top w:val="single" w:color="000000" w:sz="4" w:space="0"/>
              <w:left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sz w:val="18"/>
                <w:szCs w:val="18"/>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default" w:ascii="仿宋_GB2312" w:hAnsi="仿宋_GB2312" w:eastAsia="仿宋_GB2312" w:cs="仿宋_GB2312"/>
                <w:sz w:val="18"/>
                <w:szCs w:val="18"/>
                <w:lang w:val="en-US" w:eastAsia="zh-CN" w:bidi="ar"/>
              </w:rPr>
            </w:pPr>
            <w:r>
              <w:rPr>
                <w:rStyle w:val="8"/>
                <w:rFonts w:hint="eastAsia" w:ascii="仿宋_GB2312" w:hAnsi="仿宋_GB2312" w:eastAsia="仿宋_GB2312" w:cs="仿宋_GB2312"/>
                <w:sz w:val="18"/>
                <w:szCs w:val="18"/>
                <w:lang w:val="en-US" w:eastAsia="zh-CN" w:bidi="ar"/>
              </w:rPr>
              <w:t>1.</w:t>
            </w:r>
            <w:r>
              <w:rPr>
                <w:rStyle w:val="9"/>
                <w:rFonts w:hint="eastAsia" w:ascii="仿宋_GB2312" w:hAnsi="仿宋_GB2312" w:eastAsia="仿宋_GB2312" w:cs="仿宋_GB2312"/>
                <w:sz w:val="18"/>
                <w:szCs w:val="18"/>
                <w:lang w:val="en-US" w:eastAsia="zh-CN" w:bidi="ar"/>
              </w:rPr>
              <w:t>《中华人民共和国安全生产法》（2021年修正）第六十五条第一款第（四）项：“对有根据认为不符合保障安全生产的国家标准或者行业标准的设施、设备、器材以及违法生</w:t>
            </w:r>
            <w:bookmarkStart w:id="0" w:name="_GoBack"/>
            <w:bookmarkEnd w:id="0"/>
            <w:r>
              <w:rPr>
                <w:rStyle w:val="9"/>
                <w:rFonts w:hint="eastAsia" w:ascii="仿宋_GB2312" w:hAnsi="仿宋_GB2312" w:eastAsia="仿宋_GB2312" w:cs="仿宋_GB2312"/>
                <w:sz w:val="18"/>
                <w:szCs w:val="18"/>
                <w:lang w:val="en-US" w:eastAsia="zh-CN" w:bidi="ar"/>
              </w:rPr>
              <w:t>产、储存、使用、经营、运输的危险物品予以查封或者扣押，对违法生产、储存、使用、经营危险物品的作业场所予以查封，并依法作出处理决定。”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default" w:ascii="仿宋_GB2312" w:hAnsi="仿宋_GB2312" w:eastAsia="仿宋_GB2312" w:cs="仿宋_GB2312"/>
                <w:sz w:val="18"/>
                <w:szCs w:val="18"/>
                <w:lang w:val="en-US" w:eastAsia="zh-CN" w:bidi="ar"/>
              </w:rPr>
            </w:pPr>
            <w:r>
              <w:rPr>
                <w:rStyle w:val="8"/>
                <w:rFonts w:hint="eastAsia" w:ascii="仿宋_GB2312" w:hAnsi="仿宋_GB2312" w:eastAsia="仿宋_GB2312" w:cs="仿宋_GB2312"/>
                <w:sz w:val="18"/>
                <w:szCs w:val="18"/>
                <w:lang w:val="en-US" w:eastAsia="zh-CN" w:bidi="ar"/>
              </w:rPr>
              <w:t>2.《中华人民共和国行政强制法》（2012年实施）第九条：“行政强制措施的种类：（一）限制公民人身自由；（二）查封场所、设施或者财物；（三）扣押财物；（四）冻结存款、汇款；（五）其他行政强制措施。”</w:t>
            </w:r>
          </w:p>
        </w:tc>
        <w:tc>
          <w:tcPr>
            <w:tcW w:w="1815" w:type="dxa"/>
            <w:vMerge w:val="restart"/>
            <w:tcBorders>
              <w:top w:val="single" w:color="000000" w:sz="4" w:space="0"/>
              <w:left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sz w:val="18"/>
                <w:szCs w:val="18"/>
                <w:lang w:val="en-US" w:eastAsia="zh-CN" w:bidi="ar"/>
              </w:rPr>
            </w:pPr>
            <w:r>
              <w:rPr>
                <w:rStyle w:val="8"/>
                <w:rFonts w:hint="default" w:ascii="仿宋_GB2312" w:hAnsi="仿宋_GB2312" w:eastAsia="仿宋_GB2312" w:cs="仿宋_GB2312"/>
                <w:sz w:val="18"/>
                <w:szCs w:val="18"/>
                <w:lang w:val="en-US" w:eastAsia="zh-CN" w:bidi="ar"/>
              </w:rPr>
              <w:t>有根据</w:t>
            </w:r>
            <w:r>
              <w:rPr>
                <w:rStyle w:val="8"/>
                <w:rFonts w:hint="eastAsia" w:ascii="仿宋_GB2312" w:hAnsi="仿宋_GB2312" w:eastAsia="仿宋_GB2312" w:cs="仿宋_GB2312"/>
                <w:sz w:val="18"/>
                <w:szCs w:val="18"/>
                <w:lang w:val="en-US" w:eastAsia="zh-CN" w:bidi="ar"/>
              </w:rPr>
              <w:t>认为不符合保障安全生产的国家标准或者行业标准的设施、设备、器材，违法生产、储存、使用、经营、运输的危险物品，以及违法生产、储存、使用、经营危险物品的作业场所。</w:t>
            </w:r>
          </w:p>
        </w:tc>
        <w:tc>
          <w:tcPr>
            <w:tcW w:w="2715" w:type="dxa"/>
            <w:vMerge w:val="restart"/>
            <w:tcBorders>
              <w:top w:val="single" w:color="000000" w:sz="4" w:space="0"/>
              <w:left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sz w:val="18"/>
                <w:szCs w:val="18"/>
                <w:lang w:val="en-US" w:eastAsia="zh-CN" w:bidi="ar"/>
              </w:rPr>
            </w:pPr>
            <w:r>
              <w:rPr>
                <w:rStyle w:val="8"/>
                <w:rFonts w:hint="eastAsia" w:ascii="仿宋_GB2312" w:hAnsi="仿宋_GB2312" w:eastAsia="仿宋_GB2312" w:cs="仿宋_GB2312"/>
                <w:sz w:val="18"/>
                <w:szCs w:val="18"/>
                <w:lang w:val="en-US" w:eastAsia="zh-CN" w:bidi="ar"/>
              </w:rPr>
              <w:t>1.批准：除情况紧急以外，实施前须经行政机关负责人批准；情况紧急，需要当场实施行政强制措施的，行政执法人员应当在二十四小时内向行政机关负责人报告，并补办批准手续。行政机关负责人认为不应当采取行政强制措施的，应当立即解除。</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Style w:val="8"/>
                <w:rFonts w:hint="eastAsia" w:ascii="仿宋_GB2312" w:hAnsi="仿宋_GB2312" w:eastAsia="仿宋_GB2312" w:cs="仿宋_GB2312"/>
                <w:sz w:val="18"/>
                <w:szCs w:val="18"/>
                <w:lang w:val="en-US" w:eastAsia="zh-CN" w:bidi="ar"/>
              </w:rPr>
            </w:pPr>
            <w:r>
              <w:rPr>
                <w:rStyle w:val="8"/>
                <w:rFonts w:hint="eastAsia" w:ascii="仿宋_GB2312" w:hAnsi="仿宋_GB2312" w:eastAsia="仿宋_GB2312" w:cs="仿宋_GB2312"/>
                <w:sz w:val="18"/>
                <w:szCs w:val="18"/>
                <w:lang w:val="en-US" w:eastAsia="zh-CN" w:bidi="ar"/>
              </w:rPr>
              <w:t>2.告知：通知当事人到场，当场告知当事人采取行政强制措施的理由、依据以及当事人依法享有的权利、救济途径；</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Style w:val="8"/>
                <w:rFonts w:hint="eastAsia" w:ascii="仿宋_GB2312" w:hAnsi="仿宋_GB2312" w:eastAsia="仿宋_GB2312" w:cs="仿宋_GB2312"/>
                <w:sz w:val="18"/>
                <w:szCs w:val="18"/>
                <w:lang w:val="en-US" w:eastAsia="zh-CN" w:bidi="ar"/>
              </w:rPr>
            </w:pPr>
            <w:r>
              <w:rPr>
                <w:rStyle w:val="8"/>
                <w:rFonts w:hint="eastAsia" w:ascii="仿宋_GB2312" w:hAnsi="仿宋_GB2312" w:eastAsia="仿宋_GB2312" w:cs="仿宋_GB2312"/>
                <w:sz w:val="18"/>
                <w:szCs w:val="18"/>
                <w:lang w:val="en-US" w:eastAsia="zh-CN" w:bidi="ar"/>
              </w:rPr>
              <w:t>3.听取意见：听取当事人的陈述和申辩，并且制作现场笔录；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sz w:val="18"/>
                <w:szCs w:val="18"/>
                <w:lang w:val="en-US" w:eastAsia="zh-CN" w:bidi="ar"/>
              </w:rPr>
            </w:pPr>
            <w:r>
              <w:rPr>
                <w:rStyle w:val="8"/>
                <w:rFonts w:hint="eastAsia" w:ascii="仿宋_GB2312" w:hAnsi="仿宋_GB2312" w:eastAsia="仿宋_GB2312" w:cs="仿宋_GB2312"/>
                <w:sz w:val="18"/>
                <w:szCs w:val="18"/>
                <w:lang w:val="en-US" w:eastAsia="zh-CN" w:bidi="ar"/>
              </w:rPr>
              <w:t>4.决定：充分听取当事人意见，对当事人提出的事实、理由和证据进行记录复核，无正当理由的，报经批准，作出实施强制措施的决定；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sz w:val="18"/>
                <w:szCs w:val="18"/>
                <w:lang w:val="en-US" w:eastAsia="zh-CN" w:bidi="ar"/>
              </w:rPr>
            </w:pPr>
            <w:r>
              <w:rPr>
                <w:rStyle w:val="8"/>
                <w:rFonts w:hint="eastAsia" w:ascii="仿宋_GB2312" w:hAnsi="仿宋_GB2312" w:eastAsia="仿宋_GB2312" w:cs="仿宋_GB2312"/>
                <w:sz w:val="18"/>
                <w:szCs w:val="18"/>
                <w:lang w:val="en-US" w:eastAsia="zh-CN" w:bidi="ar"/>
              </w:rPr>
              <w:t>5.执行：按照规定的程序和执行要件，制作并当场交付扣押决定书和清单。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sz w:val="18"/>
                <w:szCs w:val="18"/>
                <w:lang w:val="en-US" w:eastAsia="zh-CN" w:bidi="ar"/>
              </w:rPr>
            </w:pPr>
          </w:p>
        </w:tc>
        <w:tc>
          <w:tcPr>
            <w:tcW w:w="1200"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Style w:val="8"/>
                <w:rFonts w:hint="eastAsia" w:ascii="仿宋_GB2312" w:hAnsi="仿宋_GB2312" w:eastAsia="仿宋_GB2312" w:cs="仿宋_GB2312"/>
                <w:sz w:val="18"/>
                <w:szCs w:val="18"/>
                <w:lang w:val="en-US" w:eastAsia="zh-CN" w:bidi="ar"/>
              </w:rPr>
            </w:pPr>
            <w:r>
              <w:rPr>
                <w:rStyle w:val="8"/>
                <w:rFonts w:hint="eastAsia" w:ascii="仿宋_GB2312" w:hAnsi="仿宋_GB2312" w:eastAsia="仿宋_GB2312" w:cs="仿宋_GB2312"/>
                <w:sz w:val="18"/>
                <w:szCs w:val="18"/>
                <w:lang w:val="en-US" w:eastAsia="zh-CN" w:bidi="ar"/>
              </w:rPr>
              <w:t>未构成重大事故隐患的</w:t>
            </w:r>
          </w:p>
        </w:tc>
        <w:tc>
          <w:tcPr>
            <w:tcW w:w="1145"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Style w:val="8"/>
                <w:rFonts w:hint="eastAsia" w:ascii="仿宋_GB2312" w:hAnsi="仿宋_GB2312" w:eastAsia="仿宋_GB2312" w:cs="仿宋_GB2312"/>
                <w:sz w:val="18"/>
                <w:szCs w:val="18"/>
                <w:lang w:val="en-US" w:eastAsia="zh-CN" w:bidi="ar"/>
              </w:rPr>
            </w:pPr>
            <w:r>
              <w:rPr>
                <w:rStyle w:val="8"/>
                <w:rFonts w:hint="eastAsia" w:ascii="仿宋_GB2312" w:hAnsi="仿宋_GB2312" w:eastAsia="仿宋_GB2312" w:cs="仿宋_GB2312"/>
                <w:sz w:val="18"/>
                <w:szCs w:val="18"/>
                <w:lang w:val="en-US" w:eastAsia="zh-CN" w:bidi="ar"/>
              </w:rPr>
              <w:t>不超过30日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917" w:hRule="atLeast"/>
        </w:trPr>
        <w:tc>
          <w:tcPr>
            <w:tcW w:w="437" w:type="dxa"/>
            <w:vMerge w:val="continue"/>
            <w:tcBorders>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165" w:type="dxa"/>
            <w:vMerge w:val="continue"/>
            <w:tcBorders>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1560" w:type="dxa"/>
            <w:vMerge w:val="continue"/>
            <w:tcBorders>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kern w:val="0"/>
                <w:sz w:val="18"/>
                <w:szCs w:val="18"/>
                <w:u w:val="none"/>
                <w:lang w:val="en-US" w:eastAsia="zh-CN" w:bidi="ar"/>
              </w:rPr>
            </w:pPr>
          </w:p>
        </w:tc>
        <w:tc>
          <w:tcPr>
            <w:tcW w:w="3814" w:type="dxa"/>
            <w:vMerge w:val="continue"/>
            <w:tcBorders>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sz w:val="18"/>
                <w:szCs w:val="18"/>
                <w:lang w:val="en-US" w:eastAsia="zh-CN" w:bidi="ar"/>
              </w:rPr>
            </w:pPr>
          </w:p>
        </w:tc>
        <w:tc>
          <w:tcPr>
            <w:tcW w:w="1815" w:type="dxa"/>
            <w:vMerge w:val="continue"/>
            <w:tcBorders>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sz w:val="18"/>
                <w:szCs w:val="18"/>
                <w:lang w:val="en-US" w:eastAsia="zh-CN" w:bidi="ar"/>
              </w:rPr>
            </w:pPr>
          </w:p>
        </w:tc>
        <w:tc>
          <w:tcPr>
            <w:tcW w:w="2715" w:type="dxa"/>
            <w:vMerge w:val="continue"/>
            <w:tcBorders>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sz w:val="18"/>
                <w:szCs w:val="18"/>
                <w:lang w:val="en-US" w:eastAsia="zh-CN" w:bidi="ar"/>
              </w:rPr>
            </w:pPr>
          </w:p>
        </w:tc>
        <w:tc>
          <w:tcPr>
            <w:tcW w:w="1200"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Style w:val="8"/>
                <w:rFonts w:hint="eastAsia" w:ascii="仿宋_GB2312" w:hAnsi="仿宋_GB2312" w:eastAsia="仿宋_GB2312" w:cs="仿宋_GB2312"/>
                <w:sz w:val="18"/>
                <w:szCs w:val="18"/>
                <w:lang w:val="en-US" w:eastAsia="zh-CN" w:bidi="ar"/>
              </w:rPr>
            </w:pPr>
            <w:r>
              <w:rPr>
                <w:rStyle w:val="8"/>
                <w:rFonts w:hint="eastAsia" w:ascii="仿宋_GB2312" w:hAnsi="仿宋_GB2312" w:eastAsia="仿宋_GB2312" w:cs="仿宋_GB2312"/>
                <w:sz w:val="18"/>
                <w:szCs w:val="18"/>
                <w:lang w:val="en-US" w:eastAsia="zh-CN" w:bidi="ar"/>
              </w:rPr>
              <w:t>构成重大事故隐患的</w:t>
            </w:r>
          </w:p>
        </w:tc>
        <w:tc>
          <w:tcPr>
            <w:tcW w:w="1145" w:type="dxa"/>
            <w:tcBorders>
              <w:top w:val="single" w:color="auto"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Style w:val="8"/>
                <w:rFonts w:hint="eastAsia" w:ascii="仿宋_GB2312" w:hAnsi="仿宋_GB2312" w:eastAsia="仿宋_GB2312" w:cs="仿宋_GB2312"/>
                <w:sz w:val="18"/>
                <w:szCs w:val="18"/>
                <w:lang w:val="en-US" w:eastAsia="zh-CN" w:bidi="ar"/>
              </w:rPr>
            </w:pPr>
            <w:r>
              <w:rPr>
                <w:rStyle w:val="8"/>
                <w:rFonts w:hint="eastAsia" w:ascii="仿宋_GB2312" w:hAnsi="仿宋_GB2312" w:eastAsia="仿宋_GB2312" w:cs="仿宋_GB2312"/>
                <w:sz w:val="18"/>
                <w:szCs w:val="18"/>
                <w:lang w:val="en-US" w:eastAsia="zh-CN" w:bidi="ar"/>
              </w:rPr>
              <w:t>不超过60日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329" w:hRule="atLeast"/>
        </w:trPr>
        <w:tc>
          <w:tcPr>
            <w:tcW w:w="437"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2</w:t>
            </w:r>
          </w:p>
        </w:tc>
        <w:tc>
          <w:tcPr>
            <w:tcW w:w="116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停止供电、停止供应民用爆炸物品</w:t>
            </w:r>
          </w:p>
        </w:tc>
        <w:tc>
          <w:tcPr>
            <w:tcW w:w="156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对企业拒不执行消除事故隐患的决定，采取停止供电、停止供应民用爆炸物品等措施</w:t>
            </w:r>
          </w:p>
        </w:tc>
        <w:tc>
          <w:tcPr>
            <w:tcW w:w="3814"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sz w:val="18"/>
                <w:szCs w:val="18"/>
                <w:u w:val="none"/>
              </w:rPr>
            </w:pPr>
            <w:r>
              <w:rPr>
                <w:rStyle w:val="8"/>
                <w:rFonts w:hint="eastAsia" w:ascii="仿宋_GB2312" w:hAnsi="仿宋_GB2312" w:eastAsia="仿宋_GB2312" w:cs="仿宋_GB2312"/>
                <w:sz w:val="18"/>
                <w:szCs w:val="18"/>
                <w:lang w:val="en-US" w:eastAsia="zh-CN" w:bidi="ar"/>
              </w:rPr>
              <w:t>1.</w:t>
            </w:r>
            <w:r>
              <w:rPr>
                <w:rStyle w:val="9"/>
                <w:rFonts w:hint="eastAsia" w:ascii="仿宋_GB2312" w:hAnsi="仿宋_GB2312" w:eastAsia="仿宋_GB2312" w:cs="仿宋_GB2312"/>
                <w:sz w:val="18"/>
                <w:szCs w:val="18"/>
                <w:lang w:val="en-US" w:eastAsia="zh-CN" w:bidi="ar"/>
              </w:rPr>
              <w:t>《中华人民共和国安全生产法》（2021年修正）第七十条第一款：“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tc>
        <w:tc>
          <w:tcPr>
            <w:tcW w:w="18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sz w:val="18"/>
                <w:szCs w:val="18"/>
                <w:lang w:val="en-US" w:eastAsia="zh-CN" w:bidi="ar"/>
              </w:rPr>
            </w:pPr>
            <w:r>
              <w:rPr>
                <w:rFonts w:hint="eastAsia" w:ascii="仿宋_GB2312" w:hAnsi="仿宋_GB2312" w:eastAsia="仿宋_GB2312" w:cs="仿宋_GB2312"/>
                <w:i w:val="0"/>
                <w:color w:val="000000"/>
                <w:kern w:val="0"/>
                <w:sz w:val="18"/>
                <w:szCs w:val="18"/>
                <w:u w:val="none"/>
                <w:lang w:val="en-US" w:eastAsia="zh-CN" w:bidi="ar"/>
              </w:rPr>
              <w:t>存在重大事故隐患的生产经营单位在接到停产停业、停止施工、停止使用相关设施或者设备的决定后拒不执行，有发生生产安全事故的现实危险，在保证安全的前提下生经营单位企业拒不执行消除事故隐患的决定，</w:t>
            </w:r>
            <w:r>
              <w:rPr>
                <w:rStyle w:val="8"/>
                <w:rFonts w:hint="eastAsia" w:ascii="仿宋_GB2312" w:hAnsi="仿宋_GB2312" w:eastAsia="仿宋_GB2312" w:cs="仿宋_GB2312"/>
                <w:sz w:val="18"/>
                <w:szCs w:val="18"/>
                <w:lang w:val="en-US" w:eastAsia="zh-CN" w:bidi="ar"/>
              </w:rPr>
              <w:t>有发生生产安全事故的现实危险，在保证安全的前提下。</w:t>
            </w:r>
          </w:p>
        </w:tc>
        <w:tc>
          <w:tcPr>
            <w:tcW w:w="271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sz w:val="18"/>
                <w:szCs w:val="18"/>
                <w:lang w:val="en-US" w:eastAsia="zh-CN" w:bidi="ar"/>
              </w:rPr>
            </w:pPr>
            <w:r>
              <w:rPr>
                <w:rStyle w:val="8"/>
                <w:rFonts w:hint="eastAsia" w:ascii="仿宋_GB2312" w:hAnsi="仿宋_GB2312" w:eastAsia="仿宋_GB2312" w:cs="仿宋_GB2312"/>
                <w:sz w:val="18"/>
                <w:szCs w:val="18"/>
                <w:lang w:val="en-US" w:eastAsia="zh-CN" w:bidi="ar"/>
              </w:rPr>
              <w:t>1.批准：实施前须经行政机关负责人批准；</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Style w:val="8"/>
                <w:rFonts w:hint="eastAsia" w:ascii="仿宋_GB2312" w:hAnsi="仿宋_GB2312" w:eastAsia="仿宋_GB2312" w:cs="仿宋_GB2312"/>
                <w:sz w:val="18"/>
                <w:szCs w:val="18"/>
                <w:lang w:val="en-US" w:eastAsia="zh-CN" w:bidi="ar"/>
              </w:rPr>
            </w:pPr>
            <w:r>
              <w:rPr>
                <w:rStyle w:val="8"/>
                <w:rFonts w:hint="eastAsia" w:ascii="仿宋_GB2312" w:hAnsi="仿宋_GB2312" w:eastAsia="仿宋_GB2312" w:cs="仿宋_GB2312"/>
                <w:sz w:val="18"/>
                <w:szCs w:val="18"/>
                <w:lang w:val="en-US" w:eastAsia="zh-CN" w:bidi="ar"/>
              </w:rPr>
              <w:t>2.告知：除有危及生产安全的紧急情形外，应当提前24小时通知生产经营单位；</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Style w:val="8"/>
                <w:rFonts w:hint="eastAsia" w:ascii="仿宋_GB2312" w:hAnsi="仿宋_GB2312" w:eastAsia="仿宋_GB2312" w:cs="仿宋_GB2312"/>
                <w:sz w:val="18"/>
                <w:szCs w:val="18"/>
                <w:lang w:val="en-US" w:eastAsia="zh-CN" w:bidi="ar"/>
              </w:rPr>
            </w:pPr>
            <w:r>
              <w:rPr>
                <w:rStyle w:val="8"/>
                <w:rFonts w:hint="eastAsia" w:ascii="仿宋_GB2312" w:hAnsi="仿宋_GB2312" w:eastAsia="仿宋_GB2312" w:cs="仿宋_GB2312"/>
                <w:sz w:val="18"/>
                <w:szCs w:val="18"/>
                <w:lang w:val="en-US" w:eastAsia="zh-CN" w:bidi="ar"/>
              </w:rPr>
              <w:t>3.听取意见：听取当事人的陈述和申辩，制作现场笔录；</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sz w:val="18"/>
                <w:szCs w:val="18"/>
                <w:lang w:val="en-US" w:eastAsia="zh-CN" w:bidi="ar"/>
              </w:rPr>
            </w:pPr>
            <w:r>
              <w:rPr>
                <w:rStyle w:val="8"/>
                <w:rFonts w:hint="eastAsia" w:ascii="仿宋_GB2312" w:hAnsi="仿宋_GB2312" w:eastAsia="仿宋_GB2312" w:cs="仿宋_GB2312"/>
                <w:sz w:val="18"/>
                <w:szCs w:val="18"/>
                <w:lang w:val="en-US" w:eastAsia="zh-CN" w:bidi="ar"/>
              </w:rPr>
              <w:t>4.通知：采用书面形式，函告有关单位应当予以配合；</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ind w:leftChars="0"/>
              <w:jc w:val="left"/>
              <w:textAlignment w:val="center"/>
              <w:rPr>
                <w:rStyle w:val="8"/>
                <w:rFonts w:hint="eastAsia" w:ascii="仿宋_GB2312" w:hAnsi="仿宋_GB2312" w:eastAsia="仿宋_GB2312" w:cs="仿宋_GB2312"/>
                <w:sz w:val="18"/>
                <w:szCs w:val="18"/>
                <w:lang w:val="en-US" w:eastAsia="zh-CN" w:bidi="ar"/>
              </w:rPr>
            </w:pPr>
            <w:r>
              <w:rPr>
                <w:rStyle w:val="8"/>
                <w:rFonts w:hint="eastAsia" w:ascii="仿宋_GB2312" w:hAnsi="仿宋_GB2312" w:eastAsia="仿宋_GB2312" w:cs="仿宋_GB2312"/>
                <w:sz w:val="18"/>
                <w:szCs w:val="18"/>
                <w:lang w:val="en-US" w:eastAsia="zh-CN" w:bidi="ar"/>
              </w:rPr>
              <w:t>5.解除：生产经营单位依法履行行政决定、采取相应措施消除事故隐患的，负有安全生产监督管理职责的部门应当及时解除前款规定的措施。</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sz w:val="18"/>
                <w:szCs w:val="18"/>
                <w:lang w:val="en-US" w:eastAsia="zh-CN" w:bidi="ar"/>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Style w:val="8"/>
                <w:rFonts w:hint="eastAsia" w:ascii="仿宋_GB2312" w:hAnsi="仿宋_GB2312" w:eastAsia="仿宋_GB2312" w:cs="仿宋_GB2312"/>
                <w:sz w:val="18"/>
                <w:szCs w:val="18"/>
                <w:lang w:val="en-US" w:eastAsia="zh-CN" w:bidi="ar"/>
              </w:rPr>
            </w:pPr>
            <w:r>
              <w:rPr>
                <w:rStyle w:val="8"/>
                <w:rFonts w:hint="eastAsia" w:ascii="仿宋_GB2312" w:hAnsi="仿宋_GB2312" w:eastAsia="仿宋_GB2312" w:cs="仿宋_GB2312"/>
                <w:sz w:val="18"/>
                <w:szCs w:val="18"/>
                <w:lang w:val="en-US" w:eastAsia="zh-CN" w:bidi="ar"/>
              </w:rPr>
              <w:t>有发生生产安全事故的现实危险的</w:t>
            </w:r>
          </w:p>
        </w:tc>
        <w:tc>
          <w:tcPr>
            <w:tcW w:w="11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Style w:val="8"/>
                <w:rFonts w:hint="eastAsia" w:ascii="仿宋_GB2312" w:hAnsi="仿宋_GB2312" w:eastAsia="仿宋_GB2312" w:cs="仿宋_GB2312"/>
                <w:sz w:val="18"/>
                <w:szCs w:val="18"/>
                <w:lang w:val="en-US" w:eastAsia="zh-CN" w:bidi="ar"/>
              </w:rPr>
            </w:pPr>
            <w:r>
              <w:rPr>
                <w:rStyle w:val="8"/>
                <w:rFonts w:hint="eastAsia" w:ascii="仿宋_GB2312" w:hAnsi="仿宋_GB2312" w:eastAsia="仿宋_GB2312" w:cs="仿宋_GB2312"/>
                <w:sz w:val="18"/>
                <w:szCs w:val="18"/>
                <w:lang w:val="en-US" w:eastAsia="zh-CN" w:bidi="ar"/>
              </w:rPr>
              <w:t>重大事故隐患消除之日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747" w:hRule="atLeast"/>
        </w:trPr>
        <w:tc>
          <w:tcPr>
            <w:tcW w:w="437"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3</w:t>
            </w:r>
          </w:p>
        </w:tc>
        <w:tc>
          <w:tcPr>
            <w:tcW w:w="1165"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仿宋_GB2312" w:hAnsi="仿宋_GB2312" w:eastAsia="仿宋_GB2312" w:cs="仿宋_GB2312"/>
                <w:i w:val="0"/>
                <w:color w:val="000000"/>
                <w:sz w:val="18"/>
                <w:szCs w:val="18"/>
                <w:u w:val="none"/>
              </w:rPr>
            </w:pPr>
            <w:r>
              <w:rPr>
                <w:rFonts w:hint="eastAsia" w:ascii="仿宋_GB2312" w:hAnsi="仿宋_GB2312" w:eastAsia="仿宋_GB2312" w:cs="仿宋_GB2312"/>
                <w:i w:val="0"/>
                <w:color w:val="000000"/>
                <w:kern w:val="0"/>
                <w:sz w:val="18"/>
                <w:szCs w:val="18"/>
                <w:u w:val="none"/>
                <w:lang w:val="en-US" w:eastAsia="zh-CN" w:bidi="ar"/>
              </w:rPr>
              <w:t>加处罚款，将查封、扣押的财物拍卖、依法处理或者将冻结的存款、汇款划拨抵缴罚款</w:t>
            </w:r>
          </w:p>
        </w:tc>
        <w:tc>
          <w:tcPr>
            <w:tcW w:w="1560"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default" w:ascii="仿宋_GB2312" w:hAnsi="仿宋_GB2312" w:eastAsia="仿宋_GB2312" w:cs="仿宋_GB2312"/>
                <w:i w:val="0"/>
                <w:color w:val="000000"/>
                <w:sz w:val="18"/>
                <w:szCs w:val="18"/>
                <w:u w:val="none"/>
                <w:lang w:val="en-US"/>
              </w:rPr>
            </w:pPr>
            <w:r>
              <w:rPr>
                <w:rFonts w:hint="eastAsia" w:ascii="仿宋_GB2312" w:hAnsi="仿宋_GB2312" w:eastAsia="仿宋_GB2312" w:cs="仿宋_GB2312"/>
                <w:i w:val="0"/>
                <w:color w:val="000000"/>
                <w:kern w:val="0"/>
                <w:sz w:val="18"/>
                <w:szCs w:val="18"/>
                <w:u w:val="none"/>
                <w:lang w:val="en-US" w:eastAsia="zh-CN" w:bidi="ar"/>
              </w:rPr>
              <w:t>加处、抵缴罚款，实施拍卖、划拨及依法处理</w:t>
            </w:r>
          </w:p>
        </w:tc>
        <w:tc>
          <w:tcPr>
            <w:tcW w:w="3814"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sz w:val="18"/>
                <w:szCs w:val="18"/>
                <w:lang w:val="en-US" w:eastAsia="zh-CN" w:bidi="ar"/>
              </w:rPr>
            </w:pPr>
            <w:r>
              <w:rPr>
                <w:rStyle w:val="8"/>
                <w:rFonts w:hint="eastAsia" w:ascii="仿宋_GB2312" w:hAnsi="仿宋_GB2312" w:eastAsia="仿宋_GB2312" w:cs="仿宋_GB2312"/>
                <w:sz w:val="18"/>
                <w:szCs w:val="18"/>
                <w:lang w:val="en-US" w:eastAsia="zh-CN" w:bidi="ar"/>
              </w:rPr>
              <w:t>法律：</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default" w:ascii="仿宋_GB2312" w:hAnsi="仿宋_GB2312" w:eastAsia="仿宋_GB2312" w:cs="仿宋_GB2312"/>
                <w:sz w:val="18"/>
                <w:szCs w:val="18"/>
                <w:lang w:val="en-US" w:eastAsia="zh-CN" w:bidi="ar"/>
              </w:rPr>
            </w:pPr>
            <w:r>
              <w:rPr>
                <w:rStyle w:val="8"/>
                <w:rFonts w:hint="eastAsia" w:ascii="仿宋_GB2312" w:hAnsi="仿宋_GB2312" w:eastAsia="仿宋_GB2312" w:cs="仿宋_GB2312"/>
                <w:sz w:val="18"/>
                <w:szCs w:val="18"/>
                <w:lang w:val="en-US" w:eastAsia="zh-CN" w:bidi="ar"/>
              </w:rPr>
              <w:t>1.《中华人民共和国行政处罚法》（2021年修正）第七十二条第一款（一）、（二）项：“当事人逾期不履行行政处罚决定的，作出行政处罚决定的行政机关可以采取下列措施：（一）到期不缴纳罚款的，每日按罚款数额的百分之三加处罚款，加处罚款的数额不得超出罚款的数额；（二）根据法律规定，将查封、扣押的财物拍卖、依法处理或者将冻结的存款、汇款划拨抵缴罚款。”</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sz w:val="18"/>
                <w:szCs w:val="18"/>
                <w:lang w:val="en-US" w:eastAsia="zh-CN" w:bidi="ar"/>
              </w:rPr>
            </w:pPr>
            <w:r>
              <w:rPr>
                <w:rStyle w:val="8"/>
                <w:rFonts w:hint="eastAsia" w:ascii="仿宋_GB2312" w:hAnsi="仿宋_GB2312" w:eastAsia="仿宋_GB2312" w:cs="仿宋_GB2312"/>
                <w:sz w:val="18"/>
                <w:szCs w:val="18"/>
                <w:lang w:val="en-US" w:eastAsia="zh-CN" w:bidi="ar"/>
              </w:rPr>
              <w:t>部门规章：</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sz w:val="18"/>
                <w:szCs w:val="18"/>
                <w:lang w:val="en-US" w:eastAsia="zh-CN" w:bidi="ar"/>
              </w:rPr>
            </w:pPr>
            <w:r>
              <w:rPr>
                <w:rStyle w:val="8"/>
                <w:rFonts w:hint="eastAsia" w:ascii="仿宋_GB2312" w:hAnsi="仿宋_GB2312" w:eastAsia="仿宋_GB2312" w:cs="仿宋_GB2312"/>
                <w:sz w:val="18"/>
                <w:szCs w:val="18"/>
                <w:lang w:val="en-US" w:eastAsia="zh-CN" w:bidi="ar"/>
              </w:rPr>
              <w:t>2.《安全生产违法行为行政处罚办法》（根据2015年4月2日国家安全监管总局令第77号修正） 第五十九条：“行政处罚决定依法作出后，当事人应当在行政处罚决定的期限内，予以履行；当事人逾期不履的，作出行政处罚决定的安全监管监察部门可以采取下列措施：（一）到期不缴纳罚款的，每日按罚款数额的3%加处罚款，但不得超过罚款数额；（二）根据法律规定，将查封、扣押的设施、设备、器材和危险物品拍卖所得价款抵缴罚款；（三）申请人民法院强制执行。当事人对行政处罚决定不服申请行政复议或者提起行政诉讼的，行政处罚不停止执行，法律另有规定的除外。”</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sz w:val="18"/>
                <w:szCs w:val="18"/>
                <w:lang w:val="en-US" w:eastAsia="zh-CN" w:bidi="ar"/>
              </w:rPr>
            </w:pPr>
            <w:r>
              <w:rPr>
                <w:rStyle w:val="8"/>
                <w:rFonts w:hint="eastAsia" w:ascii="仿宋_GB2312" w:hAnsi="仿宋_GB2312" w:eastAsia="仿宋_GB2312" w:cs="仿宋_GB2312"/>
                <w:sz w:val="18"/>
                <w:szCs w:val="18"/>
                <w:lang w:val="en-US" w:eastAsia="zh-CN" w:bidi="ar"/>
              </w:rPr>
              <w:t>”</w:t>
            </w:r>
          </w:p>
        </w:tc>
        <w:tc>
          <w:tcPr>
            <w:tcW w:w="1815"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sz w:val="18"/>
                <w:szCs w:val="18"/>
                <w:lang w:val="en-US" w:eastAsia="zh-CN" w:bidi="ar"/>
              </w:rPr>
            </w:pPr>
            <w:r>
              <w:rPr>
                <w:rStyle w:val="8"/>
                <w:rFonts w:hint="eastAsia" w:ascii="仿宋_GB2312" w:hAnsi="仿宋_GB2312" w:eastAsia="仿宋_GB2312" w:cs="仿宋_GB2312"/>
                <w:sz w:val="18"/>
                <w:szCs w:val="18"/>
                <w:lang w:val="en-US" w:eastAsia="zh-CN" w:bidi="ar"/>
              </w:rPr>
              <w:t>逾期不履行行政处罚决定。</w:t>
            </w:r>
          </w:p>
        </w:tc>
        <w:tc>
          <w:tcPr>
            <w:tcW w:w="2715"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sz w:val="18"/>
                <w:szCs w:val="18"/>
                <w:lang w:val="en-US" w:eastAsia="zh-CN" w:bidi="ar"/>
              </w:rPr>
            </w:pPr>
            <w:r>
              <w:rPr>
                <w:rStyle w:val="8"/>
                <w:rFonts w:hint="eastAsia" w:ascii="仿宋_GB2312" w:hAnsi="仿宋_GB2312" w:eastAsia="仿宋_GB2312" w:cs="仿宋_GB2312"/>
                <w:sz w:val="18"/>
                <w:szCs w:val="18"/>
                <w:lang w:val="en-US" w:eastAsia="zh-CN" w:bidi="ar"/>
              </w:rPr>
              <w:t>1.催告：申请人民法院强制执行前，应当催告当事人履行义务，告知当事人采取行政强制措施的理由、依据以及当事人依法享有的权利，听取当事人的陈述和申辩，进行记录和复核；</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sz w:val="18"/>
                <w:szCs w:val="18"/>
                <w:lang w:val="en-US" w:eastAsia="zh-CN" w:bidi="ar"/>
              </w:rPr>
            </w:pPr>
            <w:r>
              <w:rPr>
                <w:rStyle w:val="8"/>
                <w:rFonts w:hint="eastAsia" w:ascii="仿宋_GB2312" w:hAnsi="仿宋_GB2312" w:eastAsia="仿宋_GB2312" w:cs="仿宋_GB2312"/>
                <w:sz w:val="18"/>
                <w:szCs w:val="18"/>
                <w:lang w:val="en-US" w:eastAsia="zh-CN" w:bidi="ar"/>
              </w:rPr>
              <w:t>2.决定：充分听取当事人意见，对当事人提出的事实、理由和证据进行记录复核，无正当理由的，报经批准，作出加处罚款决定和拍卖决定；</w:t>
            </w:r>
          </w:p>
          <w:p>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Style w:val="8"/>
                <w:rFonts w:hint="eastAsia" w:ascii="仿宋_GB2312" w:hAnsi="仿宋_GB2312" w:eastAsia="仿宋_GB2312" w:cs="仿宋_GB2312"/>
                <w:sz w:val="18"/>
                <w:szCs w:val="18"/>
                <w:lang w:eastAsia="zh-CN" w:bidi="ar"/>
              </w:rPr>
            </w:pPr>
            <w:r>
              <w:rPr>
                <w:rStyle w:val="8"/>
                <w:rFonts w:hint="eastAsia" w:ascii="仿宋_GB2312" w:hAnsi="仿宋_GB2312" w:eastAsia="仿宋_GB2312" w:cs="仿宋_GB2312"/>
                <w:sz w:val="18"/>
                <w:szCs w:val="18"/>
                <w:lang w:val="en-US" w:eastAsia="zh-CN" w:bidi="ar"/>
              </w:rPr>
              <w:t>3.执行：根据法律规定，将查封、扣押的设施、设备、器材和危险物品拍卖所得价款抵缴罚款；依法申请人民法院强制执行。</w:t>
            </w:r>
          </w:p>
        </w:tc>
        <w:tc>
          <w:tcPr>
            <w:tcW w:w="1200" w:type="dxa"/>
            <w:tcBorders>
              <w:top w:val="single" w:color="000000" w:sz="4" w:space="0"/>
              <w:left w:val="single" w:color="000000" w:sz="4" w:space="0"/>
              <w:bottom w:val="single" w:color="auto"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Style w:val="8"/>
                <w:rFonts w:hint="eastAsia" w:ascii="仿宋_GB2312" w:hAnsi="仿宋_GB2312" w:eastAsia="仿宋_GB2312" w:cs="仿宋_GB2312"/>
                <w:sz w:val="18"/>
                <w:szCs w:val="18"/>
                <w:lang w:val="en-US" w:eastAsia="zh-CN" w:bidi="ar"/>
              </w:rPr>
            </w:pPr>
          </w:p>
        </w:tc>
        <w:tc>
          <w:tcPr>
            <w:tcW w:w="1145" w:type="dxa"/>
            <w:tcBorders>
              <w:top w:val="single" w:color="000000" w:sz="4" w:space="0"/>
              <w:left w:val="single" w:color="000000" w:sz="4" w:space="0"/>
              <w:bottom w:val="single" w:color="000000" w:sz="4" w:space="0"/>
              <w:right w:val="single" w:color="000000" w:sz="4" w:space="0"/>
            </w:tcBorders>
            <w:shd w:val="clear" w:color="auto" w:fill="FFFFFF"/>
            <w:tcMar>
              <w:top w:w="12" w:type="dxa"/>
              <w:left w:w="12" w:type="dxa"/>
              <w:right w:w="12" w:type="dxa"/>
            </w:tcMar>
            <w:vAlign w:val="center"/>
          </w:tcPr>
          <w:p>
            <w:pPr>
              <w:keepNext w:val="0"/>
              <w:keepLines w:val="0"/>
              <w:widowControl/>
              <w:suppressLineNumbers w:val="0"/>
              <w:jc w:val="left"/>
              <w:textAlignment w:val="center"/>
              <w:rPr>
                <w:rStyle w:val="8"/>
                <w:rFonts w:hint="default" w:ascii="仿宋_GB2312" w:hAnsi="仿宋_GB2312" w:eastAsia="仿宋_GB2312" w:cs="仿宋_GB2312"/>
                <w:sz w:val="18"/>
                <w:szCs w:val="18"/>
                <w:lang w:val="en-US" w:eastAsia="zh-CN" w:bidi="ar"/>
              </w:rPr>
            </w:pPr>
            <w:r>
              <w:rPr>
                <w:rStyle w:val="8"/>
                <w:rFonts w:hint="eastAsia" w:ascii="仿宋_GB2312" w:hAnsi="仿宋_GB2312" w:eastAsia="仿宋_GB2312" w:cs="仿宋_GB2312"/>
                <w:sz w:val="18"/>
                <w:szCs w:val="18"/>
                <w:lang w:val="en-US" w:eastAsia="zh-CN" w:bidi="ar"/>
              </w:rPr>
              <w:t>自生效行政处罚决定确定的履行期限届满之日起</w:t>
            </w:r>
          </w:p>
        </w:tc>
      </w:tr>
    </w:tbl>
    <w:p>
      <w:pPr>
        <w:rPr>
          <w:rFonts w:hint="eastAsia"/>
          <w:lang w:eastAsia="zh-CN"/>
        </w:rPr>
      </w:pPr>
    </w:p>
    <w:sectPr>
      <w:footerReference r:id="rId3" w:type="default"/>
      <w:pgSz w:w="16838" w:h="11906" w:orient="landscape"/>
      <w:pgMar w:top="16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方正粗黑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D361EE"/>
    <w:rsid w:val="028B7E8B"/>
    <w:rsid w:val="07905D78"/>
    <w:rsid w:val="08762C0C"/>
    <w:rsid w:val="08DD40CF"/>
    <w:rsid w:val="0BBF52D7"/>
    <w:rsid w:val="13D61991"/>
    <w:rsid w:val="218B6372"/>
    <w:rsid w:val="23687127"/>
    <w:rsid w:val="2FDC1593"/>
    <w:rsid w:val="36BC7752"/>
    <w:rsid w:val="38551925"/>
    <w:rsid w:val="3EEA7871"/>
    <w:rsid w:val="3FE17DE6"/>
    <w:rsid w:val="46D26FAD"/>
    <w:rsid w:val="4C310E51"/>
    <w:rsid w:val="507F4707"/>
    <w:rsid w:val="517F1B6F"/>
    <w:rsid w:val="56D361EE"/>
    <w:rsid w:val="59556CEF"/>
    <w:rsid w:val="5C425712"/>
    <w:rsid w:val="5E485532"/>
    <w:rsid w:val="61216714"/>
    <w:rsid w:val="612D0598"/>
    <w:rsid w:val="6A6B0214"/>
    <w:rsid w:val="6AFA3141"/>
    <w:rsid w:val="718D5B87"/>
    <w:rsid w:val="72B34BAE"/>
    <w:rsid w:val="7F454E4B"/>
    <w:rsid w:val="7FD5DC48"/>
    <w:rsid w:val="F7F743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unhideWhenUsed/>
    <w:qFormat/>
    <w:uiPriority w:val="99"/>
    <w:rPr>
      <w:rFonts w:ascii="宋体" w:hAnsi="Courier New" w:eastAsia="宋体" w:cs="Courier New"/>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11"/>
    <w:basedOn w:val="7"/>
    <w:qFormat/>
    <w:uiPriority w:val="0"/>
    <w:rPr>
      <w:rFonts w:hint="eastAsia" w:ascii="宋体" w:hAnsi="宋体" w:eastAsia="宋体" w:cs="宋体"/>
      <w:color w:val="000000"/>
      <w:sz w:val="18"/>
      <w:szCs w:val="18"/>
      <w:u w:val="none"/>
    </w:rPr>
  </w:style>
  <w:style w:type="character" w:customStyle="1" w:styleId="9">
    <w:name w:val="font01"/>
    <w:basedOn w:val="7"/>
    <w:qFormat/>
    <w:uiPriority w:val="0"/>
    <w:rPr>
      <w:rFonts w:hint="eastAsia" w:ascii="宋体" w:hAnsi="宋体" w:eastAsia="宋体" w:cs="宋体"/>
      <w:color w:val="000000"/>
      <w:sz w:val="16"/>
      <w:szCs w:val="16"/>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昆明市直属党政机关单位</Company>
  <Pages>1</Pages>
  <Words>0</Words>
  <Characters>0</Characters>
  <Lines>0</Lines>
  <Paragraphs>0</Paragraphs>
  <TotalTime>32</TotalTime>
  <ScaleCrop>false</ScaleCrop>
  <LinksUpToDate>false</LinksUpToDate>
  <CharactersWithSpaces>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2020-10-14T04:53:00Z</dcterms:created>
  <dc:creator>山林</dc:creator>
  <cp:lastModifiedBy>何如悦</cp:lastModifiedBy>
  <dcterms:modified xsi:type="dcterms:W3CDTF">2022-02-23T05:08:15Z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KSOSaveFontToCloudKey">
    <vt:lpwstr>773592234_cloud</vt:lpwstr>
  </property>
  <property fmtid="{D5CDD505-2E9C-101B-9397-08002B2CF9AE}" pid="4" name="ICV">
    <vt:lpwstr>E6A48C49F32C4450AF9CC1A5A9326D56</vt:lpwstr>
  </property>
</Properties>
</file>