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tabs>
          <w:tab w:val="center" w:pos="4416"/>
          <w:tab w:val="left" w:pos="5475"/>
        </w:tabs>
        <w:ind w:left="-78" w:right="-125" w:hanging="40"/>
        <w:jc w:val="left"/>
        <w:rPr>
          <w:sz w:val="18"/>
        </w:rPr>
      </w:pPr>
      <w:bookmarkStart w:id="0" w:name="_Hlk9241997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400675" cy="327660"/>
                <wp:effectExtent l="9525" t="59055" r="38100" b="419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00675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ind w:firstLine="720"/>
                              <w:jc w:val="center"/>
                              <w:rPr>
                                <w:color w:val="0066CC"/>
                                <w:kern w:val="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KunmingZhengyuCertifiedPublicAccountantsCo．ltd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.8pt;height:25.8pt;width:425.25pt;z-index:251659264;mso-width-relative:page;mso-height-relative:page;" filled="f" stroked="f" coordsize="21600,21600" o:gfxdata="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/c&#10;1prXAAAABgEAAA8AAAAAAAAAAQAgAAAAIgAAAGRycy9kb3ducmV2LnhtbFBLAQIUABQAAAAIAIdO&#10;4kDziP6bJAIAACkEAAAOAAAAAAAAAAEAIAAAACYBAABkcnMvZTJvRG9jLnhtbFBLBQYAAAAABgAG&#10;AFkBAAC8BQAAAAA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>
                      <w:pPr>
                        <w:ind w:firstLine="720"/>
                        <w:jc w:val="center"/>
                        <w:rPr>
                          <w:color w:val="0066CC"/>
                          <w:kern w:val="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KunmingZhengyuCertifiedPublicAccountantsCo．ltd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  <w:ind w:left="-82" w:right="-125" w:hanging="36"/>
        <w:rPr>
          <w:sz w:val="18"/>
        </w:rPr>
      </w:pPr>
    </w:p>
    <w:p>
      <w:pPr>
        <w:ind w:left="-82" w:leftChars="-37" w:right="-125" w:rightChars="-39" w:hanging="36" w:hangingChars="20"/>
        <w:jc w:val="center"/>
        <w:rPr>
          <w:sz w:val="18"/>
        </w:rPr>
      </w:pPr>
    </w:p>
    <w:p>
      <w:pPr>
        <w:ind w:left="-2" w:leftChars="-37" w:right="-125" w:rightChars="-39" w:hanging="116" w:hangingChars="20"/>
        <w:jc w:val="center"/>
        <w:rPr>
          <w:b/>
          <w:bCs/>
          <w:sz w:val="58"/>
        </w:rPr>
      </w:pPr>
      <w:r>
        <w:rPr>
          <w:b/>
          <w:bCs/>
          <w:sz w:val="58"/>
        </w:rPr>
        <w:t>昆明正宇会计师事务所有限公司</w:t>
      </w:r>
    </w:p>
    <w:p>
      <w:pPr>
        <w:ind w:left="-54" w:leftChars="-37" w:right="-125" w:rightChars="-39" w:hanging="64" w:hangingChars="20"/>
        <w:jc w:val="center"/>
      </w:pPr>
      <w:r>
        <w:t>昆正宇审字〔2023〕第</w:t>
      </w:r>
      <w:r>
        <w:rPr>
          <w:rFonts w:hint="eastAsia"/>
          <w:lang w:val="en-US" w:eastAsia="zh-CN"/>
        </w:rPr>
        <w:t>185-12</w:t>
      </w:r>
      <w:r>
        <w:t>号</w:t>
      </w:r>
    </w:p>
    <w:p>
      <w:pPr>
        <w:ind w:left="-54" w:leftChars="-37" w:right="-125" w:rightChars="-39" w:hanging="64" w:hangingChars="20"/>
        <w:rPr>
          <w:b/>
          <w:bCs/>
          <w:sz w:val="18"/>
        </w:rPr>
      </w:pPr>
      <w:r>
        <w:t>——————————————————————————</w:t>
      </w:r>
    </w:p>
    <w:p>
      <w:pPr>
        <w:pStyle w:val="3"/>
        <w:spacing w:before="120" w:after="360" w:line="480" w:lineRule="exact"/>
        <w:ind w:firstLine="883"/>
        <w:jc w:val="center"/>
        <w:rPr>
          <w:sz w:val="44"/>
        </w:rPr>
      </w:pPr>
      <w:bookmarkStart w:id="1" w:name="_Toc2539"/>
      <w:bookmarkStart w:id="2" w:name="_Toc150727925"/>
      <w:bookmarkStart w:id="3" w:name="_Toc32211"/>
      <w:r>
        <w:rPr>
          <w:sz w:val="44"/>
        </w:rPr>
        <w:t>2022年安宁市地方储备粮油利费</w:t>
      </w:r>
      <w:bookmarkEnd w:id="1"/>
      <w:bookmarkEnd w:id="2"/>
      <w:bookmarkEnd w:id="3"/>
    </w:p>
    <w:p>
      <w:pPr>
        <w:pStyle w:val="3"/>
        <w:spacing w:before="120" w:after="360" w:line="480" w:lineRule="exact"/>
        <w:ind w:firstLine="883"/>
        <w:jc w:val="center"/>
        <w:rPr>
          <w:sz w:val="44"/>
        </w:rPr>
      </w:pPr>
      <w:bookmarkStart w:id="4" w:name="_Toc20563"/>
      <w:bookmarkStart w:id="5" w:name="_Toc7231"/>
      <w:bookmarkStart w:id="6" w:name="_Toc150727926"/>
      <w:r>
        <w:rPr>
          <w:sz w:val="44"/>
        </w:rPr>
        <w:t>补贴、轮换及轮换价差资金</w:t>
      </w:r>
      <w:bookmarkEnd w:id="4"/>
      <w:bookmarkEnd w:id="5"/>
      <w:bookmarkEnd w:id="6"/>
    </w:p>
    <w:p>
      <w:pPr>
        <w:pStyle w:val="3"/>
        <w:spacing w:before="120" w:after="360" w:line="480" w:lineRule="exact"/>
        <w:ind w:firstLine="883"/>
        <w:jc w:val="center"/>
      </w:pPr>
      <w:bookmarkStart w:id="7" w:name="_Toc32556"/>
      <w:bookmarkStart w:id="8" w:name="_Toc2088"/>
      <w:bookmarkStart w:id="9" w:name="_Toc150727927"/>
      <w:r>
        <w:rPr>
          <w:sz w:val="44"/>
        </w:rPr>
        <w:t>项目</w:t>
      </w:r>
      <w:r>
        <w:rPr>
          <w:rFonts w:hint="eastAsia"/>
          <w:sz w:val="44"/>
        </w:rPr>
        <w:t>支出</w:t>
      </w:r>
      <w:r>
        <w:rPr>
          <w:sz w:val="44"/>
        </w:rPr>
        <w:t>绩效评价报告</w:t>
      </w:r>
      <w:bookmarkEnd w:id="7"/>
      <w:bookmarkEnd w:id="8"/>
      <w:bookmarkEnd w:id="9"/>
    </w:p>
    <w:p>
      <w:pPr>
        <w:ind w:right="-125" w:rightChars="-39" w:firstLine="201"/>
        <w:rPr>
          <w:rFonts w:eastAsia="黑体"/>
          <w:b/>
          <w:bCs/>
          <w:sz w:val="10"/>
          <w:szCs w:val="10"/>
        </w:rPr>
      </w:pPr>
    </w:p>
    <w:p>
      <w:pPr>
        <w:ind w:left="358" w:leftChars="112" w:right="-125" w:rightChars="-39" w:firstLine="2678" w:firstLineChars="837"/>
      </w:pPr>
      <w:r>
        <w:object>
          <v:shape id="_x0000_i1025" o:spt="75" type="#_x0000_t75" style="height:174pt;width:183.6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CorelDRAW.Graphic.9" ShapeID="_x0000_i1025" DrawAspect="Content" ObjectID="_1468075725" r:id="rId15">
            <o:LockedField>false</o:LockedField>
          </o:OLEObject>
        </w:object>
      </w:r>
    </w:p>
    <w:p>
      <w:pPr>
        <w:ind w:right="-1603" w:rightChars="-501" w:firstLine="560"/>
        <w:rPr>
          <w:sz w:val="28"/>
          <w:szCs w:val="28"/>
        </w:rPr>
      </w:pPr>
      <w:r>
        <w:rPr>
          <w:sz w:val="28"/>
          <w:szCs w:val="28"/>
        </w:rPr>
        <w:t>地址</w:t>
      </w:r>
      <w:r>
        <w:rPr>
          <w:w w:val="90"/>
          <w:sz w:val="28"/>
          <w:szCs w:val="28"/>
        </w:rPr>
        <w:t>：</w:t>
      </w:r>
      <w:r>
        <w:rPr>
          <w:sz w:val="28"/>
          <w:szCs w:val="28"/>
        </w:rPr>
        <w:t>昆明市西山区石安公路旁昆明云石商贸城C座501-503号</w:t>
      </w:r>
    </w:p>
    <w:p>
      <w:pPr>
        <w:ind w:right="-1603" w:rightChars="-501" w:firstLine="840" w:firstLineChars="300"/>
        <w:rPr>
          <w:sz w:val="28"/>
          <w:szCs w:val="28"/>
        </w:rPr>
      </w:pPr>
      <w:r>
        <w:rPr>
          <w:sz w:val="28"/>
          <w:szCs w:val="28"/>
        </w:rPr>
        <w:t>安宁市大屯新区兴屯路130-135号</w:t>
      </w:r>
    </w:p>
    <w:p>
      <w:pPr>
        <w:ind w:right="-1603" w:rightChars="-501" w:firstLine="560"/>
        <w:rPr>
          <w:sz w:val="28"/>
          <w:szCs w:val="28"/>
        </w:rPr>
      </w:pPr>
      <w:r>
        <w:rPr>
          <w:sz w:val="28"/>
          <w:szCs w:val="28"/>
        </w:rPr>
        <w:t>网址：www．zhengyu99．com</w:t>
      </w:r>
    </w:p>
    <w:p>
      <w:pPr>
        <w:ind w:right="-1603" w:rightChars="-501" w:firstLine="560"/>
        <w:rPr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sz w:val="28"/>
          <w:szCs w:val="28"/>
        </w:rPr>
        <w:t>电话</w:t>
      </w:r>
      <w:r>
        <w:rPr>
          <w:w w:val="90"/>
          <w:sz w:val="28"/>
          <w:szCs w:val="28"/>
        </w:rPr>
        <w:t>：</w:t>
      </w:r>
      <w:r>
        <w:rPr>
          <w:sz w:val="28"/>
          <w:szCs w:val="28"/>
        </w:rPr>
        <w:t>0871－68335386</w:t>
      </w:r>
      <w:bookmarkStart w:id="34" w:name="_GoBack"/>
      <w:bookmarkEnd w:id="34"/>
    </w:p>
    <w:bookmarkEnd w:id="0"/>
    <w:p>
      <w:pPr>
        <w:ind w:left="0" w:leftChars="0" w:firstLine="0" w:firstLineChars="0"/>
        <w:jc w:val="both"/>
        <w:rPr>
          <w:rFonts w:eastAsia="方正小标宋简体"/>
          <w:b/>
          <w:bCs/>
          <w:sz w:val="44"/>
          <w:szCs w:val="44"/>
        </w:rPr>
      </w:pPr>
    </w:p>
    <w:p>
      <w:pPr>
        <w:pStyle w:val="3"/>
        <w:ind w:left="0" w:leftChars="0"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/>
          <w:sz w:val="44"/>
          <w:lang w:val="en-US" w:eastAsia="zh-CN"/>
        </w:rPr>
        <w:t>报  告</w:t>
      </w:r>
      <w:bookmarkStart w:id="10" w:name="_Toc24283"/>
      <w:bookmarkStart w:id="11" w:name="_Toc8145"/>
      <w:r>
        <w:rPr>
          <w:rFonts w:hint="eastAsia"/>
          <w:sz w:val="44"/>
          <w:lang w:val="en-US" w:eastAsia="zh-CN"/>
        </w:rPr>
        <w:t xml:space="preserve"> </w:t>
      </w:r>
      <w:r>
        <w:rPr>
          <w:sz w:val="44"/>
        </w:rPr>
        <w:t>摘  要</w:t>
      </w:r>
      <w:bookmarkEnd w:id="10"/>
      <w:bookmarkEnd w:id="11"/>
    </w:p>
    <w:p>
      <w:pPr>
        <w:pStyle w:val="2"/>
        <w:ind w:firstLine="643"/>
        <w:rPr>
          <w:rFonts w:ascii="Times New Roman" w:hAnsi="Times New Roman" w:cs="Times New Roman"/>
          <w:bCs w:val="0"/>
        </w:rPr>
      </w:pPr>
      <w:bookmarkStart w:id="12" w:name="_Toc30607"/>
      <w:bookmarkStart w:id="13" w:name="_Toc31648"/>
      <w:r>
        <w:rPr>
          <w:rFonts w:ascii="Times New Roman" w:hAnsi="Times New Roman" w:cs="Times New Roman"/>
          <w:bCs w:val="0"/>
        </w:rPr>
        <w:t>一、项目基本情况</w:t>
      </w:r>
      <w:bookmarkEnd w:id="12"/>
      <w:bookmarkEnd w:id="13"/>
    </w:p>
    <w:p>
      <w:pPr>
        <w:ind w:firstLine="640"/>
      </w:pPr>
      <w:r>
        <w:t>安宁市发展和改革局严格按照昆明市地方储备粮管理的相关要求和2016年10月国家粮食局编制的《粮油安全储存守则》《粮库安全生产守则》进行储存作业管理，完成安宁市县级储备粮油的储备任务。</w:t>
      </w:r>
    </w:p>
    <w:p>
      <w:pPr>
        <w:pStyle w:val="2"/>
        <w:ind w:firstLine="643"/>
        <w:rPr>
          <w:rFonts w:ascii="Times New Roman" w:hAnsi="Times New Roman" w:cs="Times New Roman"/>
        </w:rPr>
      </w:pPr>
      <w:bookmarkStart w:id="14" w:name="_Toc12386"/>
      <w:bookmarkStart w:id="15" w:name="_Toc12406"/>
      <w:r>
        <w:rPr>
          <w:rFonts w:ascii="Times New Roman" w:hAnsi="Times New Roman" w:cs="Times New Roman"/>
        </w:rPr>
        <w:t>二、绩效评价结论</w:t>
      </w:r>
      <w:bookmarkEnd w:id="14"/>
      <w:bookmarkEnd w:id="15"/>
    </w:p>
    <w:p>
      <w:pPr>
        <w:ind w:firstLine="640"/>
      </w:pPr>
      <w:r>
        <w:t>安宁市地方储备粮油利费补贴、轮换及轮换价差资金绩效评价得分9</w:t>
      </w:r>
      <w:r>
        <w:rPr>
          <w:rFonts w:hint="eastAsia"/>
          <w:lang w:val="en-US" w:eastAsia="zh-CN"/>
        </w:rPr>
        <w:t>3.5</w:t>
      </w:r>
      <w:r>
        <w:t>分，评价等级</w:t>
      </w:r>
      <w:r>
        <w:rPr>
          <w:rFonts w:hint="eastAsia" w:ascii="仿宋_GB2312" w:hAnsi="仿宋_GB2312" w:eastAsia="仿宋_GB2312" w:cs="仿宋_GB2312"/>
        </w:rPr>
        <w:t>为“优”</w:t>
      </w:r>
      <w:r>
        <w:t>。</w:t>
      </w:r>
    </w:p>
    <w:p>
      <w:pPr>
        <w:bidi w:val="0"/>
      </w:pPr>
      <w:r>
        <w:rPr>
          <w:rFonts w:hint="eastAsia"/>
          <w:lang w:val="en-US" w:eastAsia="zh-CN"/>
        </w:rPr>
        <w:t>经评价，</w:t>
      </w:r>
      <w:r>
        <w:t>安宁市地方储备粮油利费补贴、轮换及轮换价差资金项目，完成了地方粮油储备任务。但</w:t>
      </w:r>
      <w:r>
        <w:rPr>
          <w:rFonts w:hint="eastAsia"/>
          <w:lang w:val="en-US" w:eastAsia="zh-CN"/>
        </w:rPr>
        <w:t>存在</w:t>
      </w:r>
      <w:r>
        <w:t>预算确定的项目投资额或资金量与工作任务不匹配和</w:t>
      </w:r>
      <w:r>
        <w:rPr>
          <w:rFonts w:hint="eastAsia"/>
          <w:lang w:val="en-US" w:eastAsia="zh-CN"/>
        </w:rPr>
        <w:t>绩效指标不够明确的情况</w:t>
      </w:r>
      <w:r>
        <w:t>。</w:t>
      </w:r>
    </w:p>
    <w:p>
      <w:pPr>
        <w:spacing w:line="276" w:lineRule="auto"/>
        <w:ind w:left="-178" w:firstLine="640"/>
        <w:rPr>
          <w:rFonts w:hint="eastAsia" w:eastAsia="仿宋_GB2312"/>
          <w:lang w:val="en-US" w:eastAsia="zh-CN"/>
        </w:rPr>
      </w:pPr>
      <w:r>
        <w:t>在项目决策方面，安宁市地方储备粮油利费补贴、轮换及轮换价差资金项目立项符合行业发展规划和政策要求；预算编制经过科学论证；但</w:t>
      </w:r>
      <w:r>
        <w:rPr>
          <w:rFonts w:hint="eastAsia"/>
          <w:lang w:val="en-US" w:eastAsia="zh-CN"/>
        </w:rPr>
        <w:t>存在</w:t>
      </w:r>
      <w:r>
        <w:t>预算确定的项目投资额或资金量与工作任务不匹配</w:t>
      </w:r>
      <w:r>
        <w:rPr>
          <w:rFonts w:hint="eastAsia"/>
          <w:lang w:eastAsia="zh-CN"/>
        </w:rPr>
        <w:t>，</w:t>
      </w:r>
      <w:r>
        <w:rPr>
          <w:rFonts w:hint="eastAsia"/>
          <w:kern w:val="0"/>
          <w:szCs w:val="32"/>
          <w:lang w:val="en-US" w:eastAsia="zh-CN"/>
        </w:rPr>
        <w:t>绩效指标不够明确的情况</w:t>
      </w:r>
      <w:r>
        <w:t>。</w:t>
      </w:r>
    </w:p>
    <w:p>
      <w:pPr>
        <w:spacing w:line="276" w:lineRule="auto"/>
        <w:ind w:left="-178" w:firstLine="640"/>
      </w:pPr>
      <w:r>
        <w:t>在项目过程方面，资金到位率达标；资金使用规范；会计核算规范；按安宁市财政局要求的自评工作程序开展自评工作；项目管理制度健全；项目管理制度执行有效；档案管理规范。</w:t>
      </w:r>
    </w:p>
    <w:p>
      <w:pPr>
        <w:spacing w:line="276" w:lineRule="auto"/>
        <w:ind w:left="-178" w:firstLine="640"/>
      </w:pPr>
      <w:r>
        <w:t>在项目产出方面，地方粮油储备任务和粮油轮换任务目标及时完成；粮油储备质量达到标准；资金使用和成本节约情况达到要求。</w:t>
      </w:r>
    </w:p>
    <w:p>
      <w:pPr>
        <w:ind w:firstLine="640"/>
      </w:pPr>
      <w:r>
        <w:t>在项目效果方面，项目实施对当地社会稳定性的影响；应急保障的影响以及保障粮油的持续供应；修订完善和起草制定相关管理制度，逐步建立健全粮食管理规章制度，形成长效机制。</w:t>
      </w:r>
    </w:p>
    <w:p>
      <w:pPr>
        <w:pStyle w:val="2"/>
        <w:ind w:firstLine="643"/>
        <w:rPr>
          <w:rFonts w:ascii="Times New Roman" w:hAnsi="Times New Roman" w:cs="Times New Roman"/>
        </w:rPr>
      </w:pPr>
      <w:bookmarkStart w:id="16" w:name="_Toc26587"/>
      <w:bookmarkStart w:id="17" w:name="_Toc15117"/>
      <w:r>
        <w:rPr>
          <w:rFonts w:hint="eastAsia"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、主要经验及做法</w:t>
      </w:r>
      <w:bookmarkEnd w:id="16"/>
      <w:bookmarkEnd w:id="17"/>
    </w:p>
    <w:p>
      <w:pPr>
        <w:ind w:firstLine="64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签订承储协议。2022年6月2日，安宁市发展和改革局与</w:t>
      </w:r>
      <w:r>
        <w:rPr>
          <w:rFonts w:hint="eastAsia"/>
          <w:lang w:eastAsia="zh-CN"/>
        </w:rPr>
        <w:t>承储企业</w:t>
      </w:r>
      <w:r>
        <w:t>签订了《安宁市人民政府储备粮油承储协议》；</w:t>
      </w:r>
    </w:p>
    <w:p>
      <w:pPr>
        <w:ind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组织开展粮油轮换。根据粮油轮换推进情况，2022年8月4日，分别下达了《关于调整下达2022年安宁市县级政府储备成品粮轮出计划的通知》（安发改发〔2022〕46号）、《关于调整下达2022年安宁市县级政府储备成品粮轮入计划的通知》（安发改发〔2022〕47号），及时协调解决承储企业在轮换工作的困难问题，按计划要求推进粮油轮换工作</w:t>
      </w:r>
      <w:r>
        <w:rPr>
          <w:rFonts w:hint="eastAsia"/>
          <w:lang w:eastAsia="zh-CN"/>
        </w:rPr>
        <w:t>。</w:t>
      </w:r>
    </w:p>
    <w:p>
      <w:pPr>
        <w:ind w:firstLine="64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建设管理制度。按照市委、市政府的要求，</w:t>
      </w:r>
      <w:r>
        <w:rPr>
          <w:rFonts w:hint="eastAsia"/>
          <w:lang w:val="en-US" w:eastAsia="zh-CN"/>
        </w:rPr>
        <w:t>安宁</w:t>
      </w:r>
      <w:r>
        <w:t>市</w:t>
      </w:r>
      <w:r>
        <w:rPr>
          <w:rFonts w:hint="eastAsia"/>
          <w:lang w:val="en-US" w:eastAsia="zh-CN"/>
        </w:rPr>
        <w:t>发展和改革局</w:t>
      </w:r>
      <w:r>
        <w:t>积极研究和落实，修订完善和起草制定相关管理制度，逐步建立健全粮食管理规章制度，形成长效机制。一是成立组织机构。经安宁市委常委会研究同意印发了《关于成立安宁市粮食安全领导小组的通知》，经市政府常务会研究同意印发了《关于成立安宁市超标粮食处置工作协调领导小组的通知》，加强对粮油管理工作的组织领导；二是健全管理制度。制定印发了《安宁市人民政府办公室关于印发&lt;安宁市粮食应急预案&gt;的通知》</w:t>
      </w:r>
      <w:r>
        <w:rPr>
          <w:rFonts w:hint="eastAsia"/>
          <w:lang w:eastAsia="zh-CN"/>
        </w:rPr>
        <w:t>、</w:t>
      </w:r>
      <w:r>
        <w:t>《安宁市人民政府办公室关于印发&lt;安宁市（县）级成品粮储备管理办法（2022年修订）&gt;的通知》</w:t>
      </w:r>
      <w:r>
        <w:rPr>
          <w:rFonts w:hint="eastAsia"/>
          <w:lang w:eastAsia="zh-CN"/>
        </w:rPr>
        <w:t>、</w:t>
      </w:r>
      <w:r>
        <w:t>《安宁市人民政府办公室关于印发&lt;安宁市粮食安全实施方案&gt;的通知》</w:t>
      </w:r>
      <w:r>
        <w:rPr>
          <w:rFonts w:hint="eastAsia"/>
          <w:lang w:eastAsia="zh-CN"/>
        </w:rPr>
        <w:t>、</w:t>
      </w:r>
      <w:r>
        <w:t>《关于印发安宁市县级储备粮油管理暂行办法的通知》</w:t>
      </w:r>
      <w:r>
        <w:rPr>
          <w:rFonts w:hint="eastAsia"/>
          <w:lang w:eastAsia="zh-CN"/>
        </w:rPr>
        <w:t>、</w:t>
      </w:r>
      <w:r>
        <w:t>《关于印发安宁市县级政府储备粮油轮换管理暂行办法的通知》</w:t>
      </w:r>
      <w:r>
        <w:rPr>
          <w:rFonts w:hint="eastAsia"/>
          <w:lang w:eastAsia="zh-CN"/>
        </w:rPr>
        <w:t>、</w:t>
      </w:r>
      <w:r>
        <w:t>《安宁市政府储备粮油财政补贴资金管理暂行办法》</w:t>
      </w:r>
      <w:r>
        <w:rPr>
          <w:rFonts w:hint="eastAsia"/>
          <w:lang w:eastAsia="zh-CN"/>
        </w:rPr>
        <w:t>、</w:t>
      </w:r>
      <w:r>
        <w:t>《关于印发安宁市超标（期）粮食处置办法（试行）的通知》，规范化开展粮食安全管理工作。</w:t>
      </w:r>
    </w:p>
    <w:p>
      <w:pPr>
        <w:pStyle w:val="2"/>
        <w:ind w:firstLine="643"/>
        <w:rPr>
          <w:rFonts w:ascii="Times New Roman" w:hAnsi="Times New Roman" w:cs="Times New Roman"/>
        </w:rPr>
      </w:pPr>
      <w:bookmarkStart w:id="18" w:name="_Toc7016"/>
      <w:bookmarkStart w:id="19" w:name="_Toc23126"/>
      <w:bookmarkStart w:id="20" w:name="_Toc25450"/>
      <w:r>
        <w:rPr>
          <w:rFonts w:ascii="Times New Roman" w:hAnsi="Times New Roman" w:cs="Times New Roman"/>
        </w:rPr>
        <w:t>四、存在的主要问题</w:t>
      </w:r>
      <w:bookmarkEnd w:id="18"/>
      <w:bookmarkEnd w:id="19"/>
      <w:bookmarkEnd w:id="20"/>
    </w:p>
    <w:p>
      <w:pPr>
        <w:bidi w:val="0"/>
      </w:pPr>
      <w:bookmarkStart w:id="21" w:name="_Toc8517"/>
      <w:bookmarkStart w:id="22" w:name="_Toc25215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预算编制资金投入与工作任务不匹配</w:t>
      </w:r>
      <w:bookmarkEnd w:id="21"/>
      <w:bookmarkEnd w:id="22"/>
    </w:p>
    <w:p>
      <w:pPr>
        <w:ind w:firstLine="640"/>
      </w:pPr>
      <w:r>
        <w:rPr>
          <w:rFonts w:hint="eastAsia"/>
        </w:rPr>
        <w:t>2022年安宁市地方储备粮油利费补贴、轮换及轮换价差资金项目</w:t>
      </w:r>
      <w:r>
        <w:t>到位财政预算资金</w:t>
      </w:r>
      <w:r>
        <w:rPr>
          <w:rFonts w:hint="eastAsia"/>
          <w:lang w:val="en-US" w:eastAsia="zh-CN"/>
        </w:rPr>
        <w:t>与</w:t>
      </w:r>
      <w:r>
        <w:t>实际使用资金</w:t>
      </w:r>
      <w:r>
        <w:rPr>
          <w:rFonts w:hint="eastAsia"/>
          <w:lang w:val="en-US" w:eastAsia="zh-CN"/>
        </w:rPr>
        <w:t>不匹配</w:t>
      </w:r>
      <w:r>
        <w:t>。</w:t>
      </w:r>
    </w:p>
    <w:p>
      <w:pPr>
        <w:bidi w:val="0"/>
        <w:rPr>
          <w:rFonts w:hint="default"/>
          <w:lang w:val="en-US" w:eastAsia="zh-CN"/>
        </w:rPr>
      </w:pPr>
      <w:bookmarkStart w:id="23" w:name="_Toc28267"/>
      <w:bookmarkStart w:id="24" w:name="_Toc25295"/>
      <w:r>
        <w:rPr>
          <w:rFonts w:hint="eastAsia"/>
          <w:lang w:val="en-US" w:eastAsia="zh-CN"/>
        </w:rPr>
        <w:t>（二）绩效指标不够明确</w:t>
      </w:r>
      <w:bookmarkEnd w:id="23"/>
      <w:bookmarkEnd w:id="24"/>
    </w:p>
    <w:p>
      <w:pPr>
        <w:ind w:firstLine="640"/>
      </w:pPr>
      <w:r>
        <w:t>《项目支出绩效自评表》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产出指标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中，未设置“产出时效”和“产出成本”指标；“效益指标”中，未设置“可持续发展”指标，该项目未</w:t>
      </w:r>
      <w:r>
        <w:t>将绩效目标细化分解为具体的绩效指标；</w:t>
      </w:r>
      <w:r>
        <w:rPr>
          <w:rFonts w:hint="eastAsia"/>
          <w:lang w:val="en-US" w:eastAsia="zh-CN"/>
        </w:rPr>
        <w:t>不能</w:t>
      </w:r>
      <w:r>
        <w:t>通过清晰、可衡量的绩效指标值予以体现</w:t>
      </w:r>
      <w:r>
        <w:rPr>
          <w:rFonts w:hint="eastAsia"/>
          <w:lang w:eastAsia="zh-CN"/>
        </w:rPr>
        <w:t>。</w:t>
      </w:r>
    </w:p>
    <w:p>
      <w:pPr>
        <w:pStyle w:val="2"/>
        <w:ind w:firstLine="643"/>
        <w:rPr>
          <w:rFonts w:ascii="Times New Roman" w:hAnsi="Times New Roman" w:cs="Times New Roman"/>
        </w:rPr>
      </w:pPr>
      <w:bookmarkStart w:id="25" w:name="_Toc6689"/>
      <w:bookmarkStart w:id="26" w:name="_Toc18113"/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、相关建议和措施</w:t>
      </w:r>
      <w:bookmarkEnd w:id="25"/>
      <w:bookmarkEnd w:id="26"/>
    </w:p>
    <w:p>
      <w:pPr>
        <w:bidi w:val="0"/>
      </w:pPr>
      <w:bookmarkStart w:id="27" w:name="_Toc12928"/>
      <w:bookmarkStart w:id="28" w:name="_Toc17027"/>
      <w:bookmarkStart w:id="29" w:name="_Toc23534"/>
      <w:bookmarkStart w:id="30" w:name="_Toc21166"/>
      <w:bookmarkStart w:id="31" w:name="_Toc31594"/>
      <w:r>
        <w:t>（一）科学设定绩效目标，细化各项绩效指标</w:t>
      </w:r>
      <w:bookmarkEnd w:id="27"/>
      <w:bookmarkEnd w:id="28"/>
      <w:bookmarkEnd w:id="29"/>
      <w:bookmarkEnd w:id="30"/>
      <w:bookmarkEnd w:id="31"/>
    </w:p>
    <w:p>
      <w:pPr>
        <w:ind w:firstLine="640"/>
        <w:rPr>
          <w:color w:val="333333"/>
          <w:szCs w:val="32"/>
          <w:highlight w:val="yellow"/>
        </w:rPr>
      </w:pPr>
      <w:r>
        <w:t>要依据项目总体目标，结合各项具体工作职责和工作任务，确定每项工作任务预计要达到的产出和效果，从中概括、提炼出最能反映工作任务预期实现程度的关键性指标，并将其确定为相应的绩效指标。</w:t>
      </w:r>
    </w:p>
    <w:p>
      <w:pPr>
        <w:bidi w:val="0"/>
      </w:pPr>
      <w:bookmarkStart w:id="32" w:name="_Toc14602"/>
      <w:bookmarkStart w:id="33" w:name="_Toc28005"/>
      <w:r>
        <w:t>（二）加强预算编制科学性</w:t>
      </w:r>
      <w:bookmarkEnd w:id="32"/>
      <w:bookmarkEnd w:id="33"/>
    </w:p>
    <w:p>
      <w:pPr>
        <w:ind w:firstLine="640"/>
      </w:pPr>
      <w:r>
        <w:t>建议</w:t>
      </w:r>
      <w:r>
        <w:rPr>
          <w:rFonts w:hint="eastAsia"/>
          <w:lang w:val="en-US" w:eastAsia="zh-CN"/>
        </w:rPr>
        <w:t>主管部门</w:t>
      </w:r>
      <w:r>
        <w:t>严格根据项目实施内容和收费标准筹划项目预算资金，并分析预算编制的科学性，同时建议财政部门加强对主管部门的指导，明确</w:t>
      </w:r>
      <w:r>
        <w:rPr>
          <w:rFonts w:hint="eastAsia"/>
          <w:lang w:val="en-US" w:eastAsia="zh-CN"/>
        </w:rPr>
        <w:t>项目</w:t>
      </w:r>
      <w:r>
        <w:t>资金的适用范围，提高主管部门资金管理水平。</w:t>
      </w:r>
    </w:p>
    <w:p>
      <w:pPr>
        <w:spacing w:line="276" w:lineRule="auto"/>
        <w:ind w:left="-178" w:firstLine="643"/>
        <w:jc w:val="left"/>
        <w:rPr>
          <w:b/>
          <w:bCs/>
        </w:rPr>
      </w:pPr>
    </w:p>
    <w:p>
      <w:pPr>
        <w:spacing w:line="276" w:lineRule="auto"/>
        <w:ind w:left="-178" w:firstLine="964"/>
        <w:jc w:val="center"/>
        <w:rPr>
          <w:b/>
          <w:sz w:val="48"/>
          <w:szCs w:val="48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bidi w:val="0"/>
        <w:ind w:left="0" w:leftChars="0" w:firstLine="0" w:firstLineChars="0"/>
        <w:rPr>
          <w:rFonts w:hint="eastAsia" w:eastAsia="仿宋"/>
          <w:sz w:val="28"/>
        </w:rPr>
      </w:pPr>
    </w:p>
    <w:sectPr>
      <w:footerReference r:id="rId1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center"/>
      <w:rPr>
        <w:rFonts w:ascii="宋体" w:hAnsi="宋体" w:eastAsia="宋体"/>
      </w:rPr>
    </w:pPr>
    <w:r>
      <w:rPr>
        <w:rFonts w:hint="eastAsia" w:ascii="宋体" w:hAnsi="宋体" w:eastAsia="宋体"/>
      </w:rPr>
      <w:t xml:space="preserve">摘要 第 </w:t>
    </w:r>
    <w:sdt>
      <w:sdtPr>
        <w:rPr>
          <w:rFonts w:ascii="宋体" w:hAnsi="宋体" w:eastAsia="宋体"/>
        </w:rPr>
        <w:id w:val="2130431424"/>
        <w:docPartObj>
          <w:docPartGallery w:val="autotext"/>
        </w:docPartObj>
      </w:sdtPr>
      <w:sdtEndPr>
        <w:rPr>
          <w:rFonts w:ascii="宋体" w:hAnsi="宋体" w:eastAsia="宋体"/>
        </w:rPr>
      </w:sdtEndPr>
      <w:sdtContent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  <w:r>
          <w:rPr>
            <w:rFonts w:ascii="宋体" w:hAnsi="宋体" w:eastAsia="宋体"/>
          </w:rPr>
          <w:t xml:space="preserve"> </w:t>
        </w:r>
        <w:r>
          <w:rPr>
            <w:rFonts w:hint="eastAsia" w:ascii="宋体" w:hAnsi="宋体" w:eastAsia="宋体"/>
          </w:rPr>
          <w:t>页</w:t>
        </w:r>
      </w:sdtContent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center"/>
    </w:pPr>
    <w:r>
      <w:rPr>
        <w:rFonts w:hint="eastAsia" w:ascii="宋体" w:hAnsi="宋体" w:eastAsia="宋体"/>
      </w:rPr>
      <w:t xml:space="preserve">正文 第 </w:t>
    </w:r>
    <w:sdt>
      <w:sdtPr>
        <w:rPr>
          <w:rFonts w:ascii="宋体" w:hAnsi="宋体" w:eastAsia="宋体"/>
        </w:rPr>
        <w:id w:val="-93165548"/>
        <w:docPartObj>
          <w:docPartGallery w:val="autotext"/>
        </w:docPartObj>
      </w:sdtPr>
      <w:sdtEndPr>
        <w:rPr>
          <w:rFonts w:asciiTheme="minorHAnsi" w:hAnsiTheme="minorHAnsi" w:eastAsiaTheme="minorEastAsia"/>
        </w:rPr>
      </w:sdtEndPr>
      <w:sdtContent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  <w:r>
          <w:rPr>
            <w:rFonts w:ascii="宋体" w:hAnsi="宋体" w:eastAsia="宋体"/>
          </w:rPr>
          <w:t xml:space="preserve"> </w:t>
        </w:r>
        <w:r>
          <w:rPr>
            <w:rFonts w:hint="eastAsia" w:ascii="宋体" w:hAnsi="宋体" w:eastAsia="宋体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spacing w:before="0" w:after="0" w:line="240" w:lineRule="auto"/>
      <w:ind w:firstLine="360" w:firstLineChars="20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  <w:jc w:val="left"/>
      <w:rPr>
        <w:rFonts w:ascii="仿宋_GB2312" w:eastAsia="仿宋_GB2312"/>
      </w:rPr>
    </w:pPr>
    <w:r>
      <w:rPr>
        <w:rFonts w:hint="eastAsia" w:ascii="仿宋_GB2312" w:eastAsia="仿宋_GB2312"/>
      </w:rPr>
      <w:t>2022年安宁市地方储备粮油利费补贴、轮换及轮换价差资金项目支出绩效评价报告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8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ZjYwNDlmMDY5MDIwNTE4ZDhkNGZjZjg5M2FjM2EifQ=="/>
  </w:docVars>
  <w:rsids>
    <w:rsidRoot w:val="001C0412"/>
    <w:rsid w:val="00106DB7"/>
    <w:rsid w:val="001445F0"/>
    <w:rsid w:val="001834E5"/>
    <w:rsid w:val="001A0015"/>
    <w:rsid w:val="001B2849"/>
    <w:rsid w:val="001C0412"/>
    <w:rsid w:val="00246315"/>
    <w:rsid w:val="002C1462"/>
    <w:rsid w:val="002C466D"/>
    <w:rsid w:val="00314BCE"/>
    <w:rsid w:val="003668F3"/>
    <w:rsid w:val="00370008"/>
    <w:rsid w:val="004531C0"/>
    <w:rsid w:val="005058DB"/>
    <w:rsid w:val="00581548"/>
    <w:rsid w:val="00693C7C"/>
    <w:rsid w:val="00693E5F"/>
    <w:rsid w:val="006C0551"/>
    <w:rsid w:val="006C3A13"/>
    <w:rsid w:val="00701F4E"/>
    <w:rsid w:val="0077101F"/>
    <w:rsid w:val="00775173"/>
    <w:rsid w:val="00791E5E"/>
    <w:rsid w:val="007A6253"/>
    <w:rsid w:val="008366D3"/>
    <w:rsid w:val="00883BA5"/>
    <w:rsid w:val="008E1937"/>
    <w:rsid w:val="009241AB"/>
    <w:rsid w:val="00941079"/>
    <w:rsid w:val="009E0363"/>
    <w:rsid w:val="00A103B0"/>
    <w:rsid w:val="00A71B7E"/>
    <w:rsid w:val="00AB5A2F"/>
    <w:rsid w:val="00AF2E9E"/>
    <w:rsid w:val="00B02942"/>
    <w:rsid w:val="00B06A84"/>
    <w:rsid w:val="00B32799"/>
    <w:rsid w:val="00B909D0"/>
    <w:rsid w:val="00BC4816"/>
    <w:rsid w:val="00BE3FC9"/>
    <w:rsid w:val="00C450E1"/>
    <w:rsid w:val="00C7287A"/>
    <w:rsid w:val="00D431DD"/>
    <w:rsid w:val="00D738BC"/>
    <w:rsid w:val="00E010F1"/>
    <w:rsid w:val="00E01A69"/>
    <w:rsid w:val="00E0682F"/>
    <w:rsid w:val="00E16B22"/>
    <w:rsid w:val="00E230F0"/>
    <w:rsid w:val="01BE1D1C"/>
    <w:rsid w:val="03BD7ADB"/>
    <w:rsid w:val="03E47515"/>
    <w:rsid w:val="04B07506"/>
    <w:rsid w:val="04BA371A"/>
    <w:rsid w:val="0685064D"/>
    <w:rsid w:val="06A82D0D"/>
    <w:rsid w:val="06C344B5"/>
    <w:rsid w:val="06F35CC1"/>
    <w:rsid w:val="08185946"/>
    <w:rsid w:val="082440E2"/>
    <w:rsid w:val="08705280"/>
    <w:rsid w:val="08E13408"/>
    <w:rsid w:val="0AFD14E1"/>
    <w:rsid w:val="0B647BAD"/>
    <w:rsid w:val="0BA37D3F"/>
    <w:rsid w:val="0BFA52D4"/>
    <w:rsid w:val="0C765FD7"/>
    <w:rsid w:val="0C7C233E"/>
    <w:rsid w:val="0C874EE1"/>
    <w:rsid w:val="0CD6163A"/>
    <w:rsid w:val="0DE56644"/>
    <w:rsid w:val="0E614144"/>
    <w:rsid w:val="0E6954F6"/>
    <w:rsid w:val="0F8363DA"/>
    <w:rsid w:val="100B5E29"/>
    <w:rsid w:val="11233321"/>
    <w:rsid w:val="1161257D"/>
    <w:rsid w:val="121F3F2A"/>
    <w:rsid w:val="12531870"/>
    <w:rsid w:val="127C307E"/>
    <w:rsid w:val="131706C3"/>
    <w:rsid w:val="14B3499C"/>
    <w:rsid w:val="158D56C0"/>
    <w:rsid w:val="15B23B68"/>
    <w:rsid w:val="162D2CD3"/>
    <w:rsid w:val="175F3A21"/>
    <w:rsid w:val="17681DB3"/>
    <w:rsid w:val="17EC6B3F"/>
    <w:rsid w:val="183373D5"/>
    <w:rsid w:val="18936A41"/>
    <w:rsid w:val="18CA5EEA"/>
    <w:rsid w:val="197B0342"/>
    <w:rsid w:val="1A524C82"/>
    <w:rsid w:val="1A9A6727"/>
    <w:rsid w:val="1AD1522E"/>
    <w:rsid w:val="1AD971C1"/>
    <w:rsid w:val="1B16287B"/>
    <w:rsid w:val="1B3E0525"/>
    <w:rsid w:val="1C054A33"/>
    <w:rsid w:val="1C775D3C"/>
    <w:rsid w:val="1CB93479"/>
    <w:rsid w:val="1CD37E6C"/>
    <w:rsid w:val="1DE9400F"/>
    <w:rsid w:val="1DEB7990"/>
    <w:rsid w:val="1EA27E71"/>
    <w:rsid w:val="1EAA5969"/>
    <w:rsid w:val="1EDA202C"/>
    <w:rsid w:val="1F7F698B"/>
    <w:rsid w:val="1FAA530E"/>
    <w:rsid w:val="20C31AA4"/>
    <w:rsid w:val="20DD6CB6"/>
    <w:rsid w:val="20EB0D89"/>
    <w:rsid w:val="20EE3E4D"/>
    <w:rsid w:val="215472F2"/>
    <w:rsid w:val="215A4C9A"/>
    <w:rsid w:val="2351005F"/>
    <w:rsid w:val="23843646"/>
    <w:rsid w:val="23A51943"/>
    <w:rsid w:val="25141C91"/>
    <w:rsid w:val="259A3647"/>
    <w:rsid w:val="26264154"/>
    <w:rsid w:val="26590356"/>
    <w:rsid w:val="272C05D7"/>
    <w:rsid w:val="277F6236"/>
    <w:rsid w:val="28DA1580"/>
    <w:rsid w:val="29243C4A"/>
    <w:rsid w:val="299B6018"/>
    <w:rsid w:val="2A5E64A2"/>
    <w:rsid w:val="2AFF1676"/>
    <w:rsid w:val="2B1B4807"/>
    <w:rsid w:val="2BAC22A9"/>
    <w:rsid w:val="2BE2734D"/>
    <w:rsid w:val="2C0D5453"/>
    <w:rsid w:val="2C15372D"/>
    <w:rsid w:val="2DF42FEC"/>
    <w:rsid w:val="2E3A2709"/>
    <w:rsid w:val="2E9D1C16"/>
    <w:rsid w:val="2EC51158"/>
    <w:rsid w:val="2F142551"/>
    <w:rsid w:val="2F2A13CF"/>
    <w:rsid w:val="2F3E5257"/>
    <w:rsid w:val="2F8209AE"/>
    <w:rsid w:val="2FA466D7"/>
    <w:rsid w:val="2FEC6AB9"/>
    <w:rsid w:val="30550263"/>
    <w:rsid w:val="30A27C20"/>
    <w:rsid w:val="31076DA0"/>
    <w:rsid w:val="31700814"/>
    <w:rsid w:val="33217324"/>
    <w:rsid w:val="33B00F80"/>
    <w:rsid w:val="341162BA"/>
    <w:rsid w:val="34594B05"/>
    <w:rsid w:val="34C544E7"/>
    <w:rsid w:val="36960347"/>
    <w:rsid w:val="374C2FFD"/>
    <w:rsid w:val="37760C48"/>
    <w:rsid w:val="37E21694"/>
    <w:rsid w:val="37E871C6"/>
    <w:rsid w:val="38721E3A"/>
    <w:rsid w:val="38A76620"/>
    <w:rsid w:val="39ED48FC"/>
    <w:rsid w:val="39FD0B4E"/>
    <w:rsid w:val="3BD27E81"/>
    <w:rsid w:val="3BF74C54"/>
    <w:rsid w:val="3D903A2C"/>
    <w:rsid w:val="3DC06E18"/>
    <w:rsid w:val="3F4D2AF7"/>
    <w:rsid w:val="3FAA090B"/>
    <w:rsid w:val="3FAE0DAC"/>
    <w:rsid w:val="3FE3076E"/>
    <w:rsid w:val="4109668D"/>
    <w:rsid w:val="41127F30"/>
    <w:rsid w:val="4175733B"/>
    <w:rsid w:val="41AB39C1"/>
    <w:rsid w:val="423A4065"/>
    <w:rsid w:val="428B0580"/>
    <w:rsid w:val="434362D7"/>
    <w:rsid w:val="435B177D"/>
    <w:rsid w:val="43825B85"/>
    <w:rsid w:val="43913D8B"/>
    <w:rsid w:val="439A5C60"/>
    <w:rsid w:val="44965CD9"/>
    <w:rsid w:val="450A6168"/>
    <w:rsid w:val="45A20DE9"/>
    <w:rsid w:val="46894FD7"/>
    <w:rsid w:val="47792768"/>
    <w:rsid w:val="484370EC"/>
    <w:rsid w:val="48530805"/>
    <w:rsid w:val="48942A2D"/>
    <w:rsid w:val="4A2B3C19"/>
    <w:rsid w:val="4D8B3A9A"/>
    <w:rsid w:val="4ECB0A8A"/>
    <w:rsid w:val="4EE66083"/>
    <w:rsid w:val="4F511528"/>
    <w:rsid w:val="4FBA3AA7"/>
    <w:rsid w:val="503A5C56"/>
    <w:rsid w:val="50C4642F"/>
    <w:rsid w:val="516E3EE2"/>
    <w:rsid w:val="51A82BE2"/>
    <w:rsid w:val="525B6782"/>
    <w:rsid w:val="531F6D00"/>
    <w:rsid w:val="538C7084"/>
    <w:rsid w:val="53F95220"/>
    <w:rsid w:val="541537CD"/>
    <w:rsid w:val="5449198D"/>
    <w:rsid w:val="552516B9"/>
    <w:rsid w:val="55674E7D"/>
    <w:rsid w:val="55BF7CC1"/>
    <w:rsid w:val="56213DD5"/>
    <w:rsid w:val="5698138E"/>
    <w:rsid w:val="57650F48"/>
    <w:rsid w:val="588B6CAC"/>
    <w:rsid w:val="590D6AC3"/>
    <w:rsid w:val="591C0EBE"/>
    <w:rsid w:val="59366E73"/>
    <w:rsid w:val="59EF411E"/>
    <w:rsid w:val="5AC33928"/>
    <w:rsid w:val="5AF7248B"/>
    <w:rsid w:val="5B0B62AC"/>
    <w:rsid w:val="5B137237"/>
    <w:rsid w:val="5BA270A2"/>
    <w:rsid w:val="5C0806FB"/>
    <w:rsid w:val="5C626676"/>
    <w:rsid w:val="5D3E080E"/>
    <w:rsid w:val="5F030A99"/>
    <w:rsid w:val="5F0413E9"/>
    <w:rsid w:val="5FF15F2D"/>
    <w:rsid w:val="604B2775"/>
    <w:rsid w:val="61236DE5"/>
    <w:rsid w:val="613F64A6"/>
    <w:rsid w:val="6179141A"/>
    <w:rsid w:val="61D34144"/>
    <w:rsid w:val="621B4A56"/>
    <w:rsid w:val="626E24DC"/>
    <w:rsid w:val="631606DB"/>
    <w:rsid w:val="631C3265"/>
    <w:rsid w:val="63AE67B1"/>
    <w:rsid w:val="651E7D15"/>
    <w:rsid w:val="65603B36"/>
    <w:rsid w:val="66083F2B"/>
    <w:rsid w:val="683973DC"/>
    <w:rsid w:val="68911766"/>
    <w:rsid w:val="68A030A1"/>
    <w:rsid w:val="68BA2266"/>
    <w:rsid w:val="68CF67A8"/>
    <w:rsid w:val="692F7770"/>
    <w:rsid w:val="6A6D1720"/>
    <w:rsid w:val="6AAF5FDC"/>
    <w:rsid w:val="6AEB20E8"/>
    <w:rsid w:val="6B467FA2"/>
    <w:rsid w:val="6C105E8F"/>
    <w:rsid w:val="6D0F32B7"/>
    <w:rsid w:val="6D6A11A3"/>
    <w:rsid w:val="6D7D5C34"/>
    <w:rsid w:val="6DBC258E"/>
    <w:rsid w:val="6DE442E1"/>
    <w:rsid w:val="6E290C95"/>
    <w:rsid w:val="6E380D0C"/>
    <w:rsid w:val="6E434BA6"/>
    <w:rsid w:val="6E675C2E"/>
    <w:rsid w:val="6EDA2EEB"/>
    <w:rsid w:val="6F912DCA"/>
    <w:rsid w:val="6FED119C"/>
    <w:rsid w:val="70001CFE"/>
    <w:rsid w:val="70277011"/>
    <w:rsid w:val="70FB1969"/>
    <w:rsid w:val="71B75A2E"/>
    <w:rsid w:val="71E9325E"/>
    <w:rsid w:val="724B484C"/>
    <w:rsid w:val="72524AFD"/>
    <w:rsid w:val="729D16F7"/>
    <w:rsid w:val="743441DB"/>
    <w:rsid w:val="743D52CE"/>
    <w:rsid w:val="75407F4B"/>
    <w:rsid w:val="75C502FA"/>
    <w:rsid w:val="76071B41"/>
    <w:rsid w:val="76CC5462"/>
    <w:rsid w:val="771D217F"/>
    <w:rsid w:val="77376CA5"/>
    <w:rsid w:val="77E8224A"/>
    <w:rsid w:val="77E85563"/>
    <w:rsid w:val="780D5DA7"/>
    <w:rsid w:val="78625B30"/>
    <w:rsid w:val="787E164C"/>
    <w:rsid w:val="78B177F9"/>
    <w:rsid w:val="79AB7522"/>
    <w:rsid w:val="7A072C29"/>
    <w:rsid w:val="7B6D36E4"/>
    <w:rsid w:val="7BBC38C9"/>
    <w:rsid w:val="7C2D5EFE"/>
    <w:rsid w:val="7CD20995"/>
    <w:rsid w:val="7CED32C2"/>
    <w:rsid w:val="7D3F0416"/>
    <w:rsid w:val="7DF94B2A"/>
    <w:rsid w:val="7F6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/>
      <w:outlineLvl w:val="1"/>
    </w:pPr>
    <w:rPr>
      <w:rFonts w:eastAsia="楷体_GB2312"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120" w:after="120" w:line="360" w:lineRule="auto"/>
      <w:outlineLvl w:val="2"/>
    </w:pPr>
    <w:rPr>
      <w:bCs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120" w:after="120" w:line="360" w:lineRule="auto"/>
      <w:outlineLvl w:val="3"/>
    </w:pPr>
    <w:rPr>
      <w:rFonts w:asciiTheme="majorAscii" w:hAnsiTheme="majorAscii" w:cstheme="majorBidi"/>
      <w:bCs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/>
      <w:outlineLvl w:val="4"/>
    </w:p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qFormat/>
    <w:uiPriority w:val="0"/>
    <w:pPr>
      <w:ind w:left="640" w:leftChars="200" w:firstLine="0" w:firstLineChars="0"/>
    </w:pPr>
    <w:rPr>
      <w:rFonts w:ascii="Times New Roman" w:hAnsi="Times New Roman"/>
    </w:rPr>
  </w:style>
  <w:style w:type="paragraph" w:styleId="9">
    <w:name w:val="Plain Text"/>
    <w:basedOn w:val="1"/>
    <w:next w:val="1"/>
    <w:unhideWhenUsed/>
    <w:qFormat/>
    <w:uiPriority w:val="99"/>
    <w:rPr>
      <w:rFonts w:hAnsi="Courier New"/>
      <w:kern w:val="0"/>
      <w:sz w:val="20"/>
      <w:szCs w:val="21"/>
      <w:lang w:val="zh-CN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before="0" w:after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  <w:pPr>
      <w:ind w:firstLine="0" w:firstLineChars="0"/>
    </w:pPr>
    <w:rPr>
      <w:rFonts w:ascii="Times New Roman" w:hAnsi="Times New Roman" w:eastAsia="方正小标宋简体"/>
    </w:rPr>
  </w:style>
  <w:style w:type="paragraph" w:styleId="13">
    <w:name w:val="toc 2"/>
    <w:basedOn w:val="1"/>
    <w:next w:val="1"/>
    <w:qFormat/>
    <w:uiPriority w:val="0"/>
    <w:pPr>
      <w:ind w:left="320" w:leftChars="100" w:firstLine="0" w:firstLineChars="0"/>
    </w:pPr>
    <w:rPr>
      <w:rFonts w:ascii="Times New Roman" w:hAnsi="Times New Roman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jc w:val="left"/>
    </w:pPr>
    <w:rPr>
      <w:kern w:val="0"/>
      <w:sz w:val="24"/>
    </w:rPr>
  </w:style>
  <w:style w:type="paragraph" w:styleId="15">
    <w:name w:val="Title"/>
    <w:basedOn w:val="1"/>
    <w:link w:val="22"/>
    <w:qFormat/>
    <w:uiPriority w:val="0"/>
    <w:pPr>
      <w:spacing w:before="0" w:after="0" w:line="240" w:lineRule="auto"/>
      <w:ind w:left="-37" w:leftChars="-37" w:right="-109" w:rightChars="-39" w:hanging="104" w:hangingChars="20"/>
      <w:jc w:val="center"/>
    </w:pPr>
    <w:rPr>
      <w:rFonts w:eastAsia="宋体"/>
      <w:sz w:val="52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2">
    <w:name w:val="标题 字符"/>
    <w:basedOn w:val="17"/>
    <w:link w:val="15"/>
    <w:qFormat/>
    <w:uiPriority w:val="0"/>
    <w:rPr>
      <w:rFonts w:ascii="Times New Roman" w:hAnsi="Times New Roman" w:eastAsia="宋体" w:cs="Times New Roman"/>
      <w:sz w:val="52"/>
      <w:szCs w:val="24"/>
    </w:rPr>
  </w:style>
  <w:style w:type="character" w:customStyle="1" w:styleId="23">
    <w:name w:val="标题 1 字符"/>
    <w:basedOn w:val="17"/>
    <w:link w:val="3"/>
    <w:qFormat/>
    <w:uiPriority w:val="9"/>
    <w:rPr>
      <w:rFonts w:ascii="Times New Roman" w:hAnsi="Times New Roman" w:eastAsia="方正小标宋简体" w:cs="Times New Roman"/>
      <w:b/>
      <w:bCs/>
      <w:kern w:val="44"/>
      <w:sz w:val="36"/>
      <w:szCs w:val="44"/>
    </w:rPr>
  </w:style>
  <w:style w:type="character" w:customStyle="1" w:styleId="24">
    <w:name w:val="标题 2 字符"/>
    <w:basedOn w:val="17"/>
    <w:link w:val="2"/>
    <w:qFormat/>
    <w:uiPriority w:val="9"/>
    <w:rPr>
      <w:rFonts w:eastAsia="楷体_GB2312" w:asciiTheme="majorAscii" w:hAnsiTheme="majorAscii" w:cstheme="majorBidi"/>
      <w:b/>
      <w:bCs/>
      <w:sz w:val="32"/>
      <w:szCs w:val="32"/>
    </w:rPr>
  </w:style>
  <w:style w:type="character" w:customStyle="1" w:styleId="25">
    <w:name w:val="标题 3 字符"/>
    <w:basedOn w:val="17"/>
    <w:link w:val="4"/>
    <w:qFormat/>
    <w:uiPriority w:val="9"/>
    <w:rPr>
      <w:rFonts w:ascii="Times New Roman" w:hAnsi="Times New Roman" w:eastAsia="仿宋_GB2312" w:cs="Times New Roman"/>
      <w:bCs/>
      <w:sz w:val="32"/>
      <w:szCs w:val="32"/>
    </w:rPr>
  </w:style>
  <w:style w:type="character" w:customStyle="1" w:styleId="26">
    <w:name w:val="标题 4 字符"/>
    <w:basedOn w:val="17"/>
    <w:link w:val="5"/>
    <w:qFormat/>
    <w:uiPriority w:val="9"/>
    <w:rPr>
      <w:rFonts w:eastAsia="仿宋_GB2312" w:asciiTheme="majorAscii" w:hAnsiTheme="majorAscii" w:cstheme="majorBidi"/>
      <w:bCs/>
      <w:sz w:val="32"/>
      <w:szCs w:val="28"/>
    </w:rPr>
  </w:style>
  <w:style w:type="character" w:customStyle="1" w:styleId="27">
    <w:name w:val="font11"/>
    <w:basedOn w:val="1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8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character" w:customStyle="1" w:styleId="29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6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7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8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wmf"/><Relationship Id="rId15" Type="http://schemas.openxmlformats.org/officeDocument/2006/relationships/oleObject" Target="embeddings/oleObject1.bin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7D980-2669-47F6-9398-A46DBA9D1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1692</Words>
  <Characters>1819</Characters>
  <Lines>133</Lines>
  <Paragraphs>37</Paragraphs>
  <TotalTime>7</TotalTime>
  <ScaleCrop>false</ScaleCrop>
  <LinksUpToDate>false</LinksUpToDate>
  <CharactersWithSpaces>1824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2023-10-15T07:48:00Z</dcterms:created>
  <dc:creator>段 蒙</dc:creator>
  <cp:lastModifiedBy>panjianx</cp:lastModifiedBy>
  <dcterms:modified xsi:type="dcterms:W3CDTF">2023-12-14T07:24:44Z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BB880C6888FA41EBAFBA0CB5C13C8A10_13</vt:lpwstr>
  </property>
</Properties>
</file>