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center"/>
        <w:outlineLvl w:val="1"/>
        <w:rPr>
          <w:rFonts w:hint="eastAsia" w:ascii="方正小标宋简体" w:hAnsi="方正小标宋简体" w:eastAsia="方正小标宋简体" w:cs="方正小标宋简体"/>
          <w:sz w:val="44"/>
          <w:szCs w:val="44"/>
          <w:lang w:val="en-US" w:eastAsia="zh-CN"/>
        </w:rPr>
      </w:pPr>
      <w:bookmarkStart w:id="0" w:name="_Toc8759_WPSOffice_Level1"/>
      <w:r>
        <w:rPr>
          <w:rFonts w:hint="eastAsia" w:ascii="方正小标宋简体" w:hAnsi="方正小标宋简体" w:eastAsia="方正小标宋简体" w:cs="方正小标宋简体"/>
          <w:sz w:val="44"/>
          <w:szCs w:val="44"/>
          <w:lang w:val="en-US" w:eastAsia="zh-CN"/>
        </w:rPr>
        <w:t>运输危险化学品的车辆进入危险化学品运输车辆限制通行区域审批许可</w:t>
      </w:r>
      <w:bookmarkEnd w:id="0"/>
    </w:p>
    <w:p>
      <w:pPr>
        <w:spacing w:line="560" w:lineRule="exact"/>
        <w:jc w:val="center"/>
        <w:rPr>
          <w:rFonts w:hint="eastAsia"/>
          <w:lang w:val="en-US" w:eastAsia="zh-CN"/>
        </w:rPr>
      </w:pPr>
      <w:r>
        <w:rPr>
          <w:rFonts w:ascii="Times New Roman" w:hAnsi="Times New Roman" w:eastAsia="方正小标宋_GBK"/>
          <w:sz w:val="32"/>
          <w:szCs w:val="32"/>
        </w:rPr>
        <w:t>【00010913</w:t>
      </w:r>
      <w:r>
        <w:rPr>
          <w:rFonts w:hint="eastAsia" w:ascii="Times New Roman" w:hAnsi="Times New Roman" w:eastAsia="方正小标宋_GBK"/>
          <w:sz w:val="32"/>
          <w:szCs w:val="32"/>
          <w:lang w:val="en-US" w:eastAsia="zh-CN"/>
        </w:rPr>
        <w:t>9003</w:t>
      </w:r>
      <w:r>
        <w:rPr>
          <w:rFonts w:ascii="Times New Roman" w:hAnsi="Times New Roman" w:eastAsia="方正小标宋_GBK"/>
          <w:sz w:val="32"/>
          <w:szCs w:val="32"/>
        </w:rPr>
        <w:t>】</w:t>
      </w: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color w:val="FF0000"/>
          <w:sz w:val="32"/>
          <w:szCs w:val="32"/>
        </w:rPr>
      </w:pPr>
      <w:r>
        <w:rPr>
          <w:rFonts w:ascii="Times New Roman" w:hAnsi="Times New Roman" w:eastAsia="方正小标宋_GBK"/>
          <w:sz w:val="32"/>
          <w:szCs w:val="32"/>
        </w:rPr>
        <w:t>行政许可事项实施规范</w:t>
      </w:r>
    </w:p>
    <w:p>
      <w:pPr>
        <w:spacing w:line="560" w:lineRule="exact"/>
        <w:jc w:val="center"/>
        <w:rPr>
          <w:rFonts w:ascii="Times New Roman" w:hAnsi="Times New Roman" w:eastAsia="方正楷体_GBK"/>
          <w:sz w:val="32"/>
          <w:szCs w:val="32"/>
        </w:rPr>
      </w:pPr>
      <w:r>
        <w:rPr>
          <w:rFonts w:ascii="Times New Roman" w:hAnsi="Times New Roman" w:eastAsia="方正楷体_GBK"/>
          <w:sz w:val="32"/>
          <w:szCs w:val="32"/>
        </w:rPr>
        <w:t>（基本要素）</w:t>
      </w:r>
    </w:p>
    <w:p>
      <w:pPr>
        <w:spacing w:line="560" w:lineRule="exact"/>
        <w:jc w:val="center"/>
        <w:rPr>
          <w:rFonts w:ascii="Times New Roman" w:hAnsi="Times New Roman"/>
          <w:color w:val="FF0000"/>
          <w:sz w:val="32"/>
          <w:szCs w:val="32"/>
        </w:rPr>
      </w:pPr>
    </w:p>
    <w:p>
      <w:pPr>
        <w:spacing w:line="560" w:lineRule="exact"/>
        <w:rPr>
          <w:rFonts w:ascii="Times New Roman" w:hAnsi="Times New Roman" w:eastAsia="黑体"/>
          <w:sz w:val="32"/>
          <w:szCs w:val="32"/>
        </w:rPr>
      </w:pPr>
      <w:r>
        <w:rPr>
          <w:rFonts w:ascii="Times New Roman" w:hAnsi="Times New Roman" w:eastAsia="黑体"/>
          <w:sz w:val="32"/>
          <w:szCs w:val="32"/>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运输危险化学品的车辆进入危险化学品运输车辆限制通行区域审批</w:t>
      </w:r>
    </w:p>
    <w:p>
      <w:pPr>
        <w:numPr>
          <w:ilvl w:val="0"/>
          <w:numId w:val="1"/>
        </w:numPr>
        <w:spacing w:line="560" w:lineRule="exact"/>
        <w:rPr>
          <w:rFonts w:ascii="Times New Roman" w:hAnsi="Times New Roman" w:eastAsia="黑体"/>
          <w:sz w:val="32"/>
          <w:szCs w:val="32"/>
        </w:rPr>
      </w:pPr>
      <w:r>
        <w:rPr>
          <w:rFonts w:ascii="Times New Roman" w:hAnsi="Times New Roman" w:eastAsia="黑体"/>
          <w:sz w:val="32"/>
          <w:szCs w:val="32"/>
        </w:rPr>
        <w:t>主管部门：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安宁市公安局</w:t>
      </w:r>
    </w:p>
    <w:p>
      <w:pPr>
        <w:spacing w:line="560" w:lineRule="exact"/>
        <w:rPr>
          <w:rFonts w:ascii="Times New Roman" w:hAnsi="Times New Roman" w:eastAsia="黑体"/>
          <w:sz w:val="32"/>
          <w:szCs w:val="32"/>
        </w:rPr>
      </w:pPr>
      <w:r>
        <w:rPr>
          <w:rFonts w:ascii="Times New Roman" w:hAnsi="Times New Roman" w:eastAsia="黑体"/>
          <w:sz w:val="32"/>
          <w:szCs w:val="32"/>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安宁市公安局交通警察大队</w:t>
      </w:r>
    </w:p>
    <w:p>
      <w:pPr>
        <w:spacing w:line="560" w:lineRule="exact"/>
        <w:rPr>
          <w:rFonts w:ascii="Times New Roman" w:hAnsi="Times New Roman" w:eastAsia="黑体"/>
          <w:sz w:val="32"/>
          <w:szCs w:val="32"/>
        </w:rPr>
      </w:pPr>
      <w:r>
        <w:rPr>
          <w:rFonts w:ascii="Times New Roman" w:hAnsi="Times New Roman" w:eastAsia="黑体"/>
          <w:sz w:val="32"/>
          <w:szCs w:val="32"/>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《危险化学品安全管理条例》(国务院令第591号)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第四十九条：未经公安机关批准，运输危险化学品的车辆不得进入危险化学品运输车辆限制通行的区域。</w:t>
      </w:r>
    </w:p>
    <w:p>
      <w:pPr>
        <w:spacing w:line="560" w:lineRule="exact"/>
        <w:rPr>
          <w:rFonts w:ascii="Times New Roman" w:hAnsi="Times New Roman" w:eastAsia="黑体"/>
          <w:sz w:val="32"/>
          <w:szCs w:val="32"/>
        </w:rPr>
      </w:pPr>
      <w:r>
        <w:rPr>
          <w:rFonts w:ascii="Times New Roman" w:hAnsi="Times New Roman" w:eastAsia="黑体"/>
          <w:sz w:val="32"/>
          <w:szCs w:val="32"/>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无</w:t>
      </w:r>
    </w:p>
    <w:p>
      <w:pPr>
        <w:pStyle w:val="2"/>
        <w:rPr>
          <w:sz w:val="32"/>
          <w:szCs w:val="32"/>
        </w:rPr>
      </w:pPr>
    </w:p>
    <w:p>
      <w:pPr>
        <w:spacing w:line="560" w:lineRule="exact"/>
        <w:rPr>
          <w:rFonts w:ascii="Times New Roman" w:hAnsi="Times New Roman" w:eastAsia="仿宋GB2312"/>
          <w:sz w:val="32"/>
          <w:szCs w:val="32"/>
        </w:rPr>
      </w:pP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运输危险化学品的车辆进入危险化学品运输车辆限制通行区域审批</w:t>
      </w:r>
    </w:p>
    <w:p>
      <w:pPr>
        <w:spacing w:line="560" w:lineRule="exact"/>
        <w:rPr>
          <w:rFonts w:hint="eastAsia" w:ascii="方正小标宋简体" w:hAnsi="方正小标宋简体" w:eastAsia="方正小标宋简体" w:cs="方正小标宋简体"/>
          <w:sz w:val="32"/>
          <w:szCs w:val="32"/>
        </w:rPr>
      </w:pPr>
    </w:p>
    <w:p>
      <w:pPr>
        <w:spacing w:line="560" w:lineRule="exact"/>
        <w:rPr>
          <w:rFonts w:ascii="Times New Roman" w:hAnsi="Times New Roman" w:eastAsia="黑体"/>
          <w:sz w:val="32"/>
          <w:szCs w:val="32"/>
        </w:rPr>
      </w:pPr>
      <w:r>
        <w:rPr>
          <w:rFonts w:ascii="Times New Roman" w:hAnsi="Times New Roman" w:eastAsia="黑体"/>
          <w:sz w:val="32"/>
          <w:szCs w:val="32"/>
        </w:rPr>
        <w:t>一、基本要素</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1.行政许可事项名称及编码</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运输危险化学品的车辆进入危险化学品运输车辆限制通行区域审批  00010939003</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2.行政许可事项子项名称及编码</w:t>
      </w:r>
    </w:p>
    <w:p>
      <w:pPr>
        <w:spacing w:line="560" w:lineRule="exact"/>
        <w:ind w:firstLine="640" w:firstLineChars="200"/>
        <w:rPr>
          <w:rFonts w:ascii="Times New Roman" w:hAnsi="Times New Roman" w:eastAsia="方正仿宋_GBK"/>
          <w:sz w:val="32"/>
          <w:szCs w:val="32"/>
        </w:rPr>
      </w:pPr>
      <w:r>
        <w:rPr>
          <w:rFonts w:hint="eastAsia" w:ascii="仿宋_GB2312" w:hAnsi="仿宋_GB2312" w:eastAsia="仿宋_GB2312" w:cs="仿宋_GB2312"/>
          <w:sz w:val="32"/>
          <w:szCs w:val="32"/>
          <w:lang w:eastAsia="en-US"/>
        </w:rPr>
        <w:t>无</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3.行政许可事项业务办理项名称及编码</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运输危险化学品的车辆进入危险化学品运输车辆限制通行区域审批  00010939003</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《危险化学品安全管理条例》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第四十九条：未经公安机关批准，运输危险化学品的车辆不得进入危险化学品运输车辆限制通行的区域。</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5.实施依据</w:t>
      </w:r>
    </w:p>
    <w:p>
      <w:pPr>
        <w:spacing w:line="560" w:lineRule="exact"/>
        <w:ind w:firstLine="640" w:firstLineChars="200"/>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《危险化学品安全管理条例》第四十九条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en-US"/>
        </w:rPr>
        <w:t>未经公安机关批准，运输危险化学品的车辆不得进入危险化学品运输车辆限制通行的区域。危险化学品运输车辆限制通行的区域由县级人民政府公安机关划定，并设置明显的标志。</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en-US"/>
        </w:rPr>
        <w:t>《危险化学品安全管理条例》第三条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en-US"/>
        </w:rPr>
        <w:t>本条例所称危险化学品，是指具有毒害、腐蚀、爆炸、燃烧、助燃等性质，对人体、设施、环境具有危害的剧毒化学品和其他化学品。</w:t>
      </w:r>
    </w:p>
    <w:p>
      <w:pPr>
        <w:pStyle w:val="2"/>
        <w:ind w:firstLine="640" w:firstLineChars="200"/>
        <w:rPr>
          <w:rFonts w:hint="eastAsia" w:eastAsia="仿宋_GB231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Times New Roman" w:hAnsi="Times New Roman" w:eastAsia="仿宋GB2312"/>
          <w:color w:val="000000"/>
          <w:sz w:val="32"/>
          <w:szCs w:val="32"/>
        </w:rPr>
        <w:t>《危险化学品安全管理条例》第</w:t>
      </w:r>
      <w:r>
        <w:rPr>
          <w:rFonts w:hint="eastAsia" w:ascii="Times New Roman" w:hAnsi="Times New Roman" w:eastAsia="仿宋GB2312"/>
          <w:color w:val="000000"/>
          <w:sz w:val="32"/>
          <w:szCs w:val="32"/>
          <w:lang w:eastAsia="zh-CN"/>
        </w:rPr>
        <w:t>六</w:t>
      </w:r>
      <w:r>
        <w:rPr>
          <w:rFonts w:hint="eastAsia" w:ascii="Times New Roman" w:hAnsi="Times New Roman" w:eastAsia="仿宋GB2312"/>
          <w:color w:val="000000"/>
          <w:sz w:val="32"/>
          <w:szCs w:val="32"/>
        </w:rPr>
        <w:t>条</w:t>
      </w:r>
      <w:r>
        <w:rPr>
          <w:rFonts w:hint="eastAsia" w:ascii="Times New Roman" w:hAnsi="Times New Roman" w:eastAsia="仿宋GB2312"/>
          <w:color w:val="000000"/>
          <w:sz w:val="32"/>
          <w:szCs w:val="32"/>
          <w:lang w:eastAsia="zh-CN"/>
        </w:rPr>
        <w:t>：公安机关负责危险化学品的公共安全管理，核发剧毒化学品购买许可证、剧毒化学品道路运输通行证，并负责危险化学品运输车辆的道路交通安全管理。</w:t>
      </w:r>
    </w:p>
    <w:p>
      <w:pPr>
        <w:spacing w:line="560" w:lineRule="exact"/>
        <w:ind w:firstLine="643" w:firstLineChars="200"/>
        <w:rPr>
          <w:rFonts w:hint="eastAsia" w:ascii="仿宋_GB2312" w:hAnsi="仿宋_GB2312" w:eastAsia="仿宋_GB2312" w:cs="仿宋_GB2312"/>
          <w:sz w:val="32"/>
          <w:szCs w:val="32"/>
          <w:lang w:eastAsia="en-US"/>
        </w:rPr>
      </w:pPr>
      <w:r>
        <w:rPr>
          <w:rFonts w:ascii="Times New Roman" w:hAnsi="Times New Roman" w:eastAsia="仿宋GB2312"/>
          <w:b/>
          <w:bCs/>
          <w:sz w:val="32"/>
          <w:szCs w:val="32"/>
        </w:rPr>
        <w:t>7.实施机关：</w:t>
      </w:r>
      <w:r>
        <w:rPr>
          <w:rFonts w:hint="eastAsia" w:ascii="仿宋_GB2312" w:hAnsi="仿宋_GB2312" w:eastAsia="仿宋_GB2312" w:cs="仿宋_GB2312"/>
          <w:sz w:val="32"/>
          <w:szCs w:val="32"/>
          <w:lang w:eastAsia="en-US"/>
        </w:rPr>
        <w:t>县级公安机关</w:t>
      </w:r>
    </w:p>
    <w:p>
      <w:pPr>
        <w:spacing w:line="560" w:lineRule="exact"/>
        <w:ind w:firstLine="643" w:firstLineChars="200"/>
        <w:rPr>
          <w:rFonts w:ascii="Times New Roman" w:hAnsi="Times New Roman" w:eastAsia="仿宋GB2312"/>
          <w:color w:val="000000"/>
          <w:sz w:val="32"/>
          <w:szCs w:val="32"/>
        </w:rPr>
      </w:pPr>
      <w:r>
        <w:rPr>
          <w:rFonts w:ascii="Times New Roman" w:hAnsi="Times New Roman" w:eastAsia="仿宋GB2312"/>
          <w:b/>
          <w:bCs/>
          <w:color w:val="000000"/>
          <w:sz w:val="32"/>
          <w:szCs w:val="32"/>
        </w:rPr>
        <w:t>8.审批层级：</w:t>
      </w:r>
      <w:r>
        <w:rPr>
          <w:rFonts w:hint="eastAsia" w:ascii="仿宋_GB2312" w:hAnsi="仿宋_GB2312" w:eastAsia="仿宋_GB2312" w:cs="仿宋_GB2312"/>
          <w:sz w:val="32"/>
          <w:szCs w:val="32"/>
          <w:lang w:eastAsia="en-US"/>
        </w:rPr>
        <w:t>县级</w:t>
      </w:r>
    </w:p>
    <w:p>
      <w:pPr>
        <w:spacing w:line="560" w:lineRule="exact"/>
        <w:ind w:firstLine="643" w:firstLineChars="200"/>
        <w:rPr>
          <w:rFonts w:hint="eastAsia" w:ascii="仿宋_GB2312" w:hAnsi="仿宋_GB2312" w:eastAsia="仿宋_GB2312" w:cs="仿宋_GB2312"/>
          <w:sz w:val="32"/>
          <w:szCs w:val="32"/>
          <w:lang w:eastAsia="en-US"/>
        </w:rPr>
      </w:pPr>
      <w:r>
        <w:rPr>
          <w:rFonts w:ascii="Times New Roman" w:hAnsi="Times New Roman" w:eastAsia="仿宋GB2312"/>
          <w:b/>
          <w:bCs/>
          <w:color w:val="000000"/>
          <w:sz w:val="32"/>
          <w:szCs w:val="32"/>
        </w:rPr>
        <w:t>9.行使层级：</w:t>
      </w:r>
      <w:r>
        <w:rPr>
          <w:rFonts w:hint="eastAsia" w:ascii="仿宋_GB2312" w:hAnsi="仿宋_GB2312" w:eastAsia="仿宋_GB2312" w:cs="仿宋_GB2312"/>
          <w:sz w:val="32"/>
          <w:szCs w:val="32"/>
          <w:lang w:eastAsia="en-US"/>
        </w:rPr>
        <w:t>县级</w:t>
      </w:r>
    </w:p>
    <w:p>
      <w:pPr>
        <w:spacing w:line="560" w:lineRule="exact"/>
        <w:ind w:firstLine="643" w:firstLineChars="200"/>
        <w:rPr>
          <w:rFonts w:hint="eastAsia" w:ascii="Times New Roman" w:hAnsi="Times New Roman" w:eastAsia="仿宋GB2312"/>
          <w:color w:val="000000"/>
          <w:sz w:val="32"/>
          <w:szCs w:val="32"/>
        </w:rPr>
      </w:pPr>
      <w:r>
        <w:rPr>
          <w:rFonts w:ascii="Times New Roman" w:hAnsi="Times New Roman" w:eastAsia="仿宋GB2312"/>
          <w:b/>
          <w:bCs/>
          <w:color w:val="000000"/>
          <w:sz w:val="32"/>
          <w:szCs w:val="32"/>
        </w:rPr>
        <w:t>10.是否由审批机关受理：</w:t>
      </w:r>
      <w:r>
        <w:rPr>
          <w:rFonts w:hint="eastAsia" w:ascii="Times New Roman" w:hAnsi="Times New Roman" w:eastAsia="仿宋GB2312"/>
          <w:color w:val="000000"/>
          <w:sz w:val="32"/>
          <w:szCs w:val="32"/>
        </w:rPr>
        <w:t>是</w:t>
      </w:r>
    </w:p>
    <w:p>
      <w:pPr>
        <w:spacing w:line="560" w:lineRule="exact"/>
        <w:ind w:firstLine="643" w:firstLineChars="200"/>
        <w:rPr>
          <w:rFonts w:ascii="Times New Roman" w:hAnsi="Times New Roman" w:eastAsia="方正仿宋_GBK"/>
          <w:color w:val="000000"/>
          <w:sz w:val="32"/>
          <w:szCs w:val="32"/>
        </w:rPr>
      </w:pPr>
      <w:r>
        <w:rPr>
          <w:rFonts w:ascii="Times New Roman" w:hAnsi="Times New Roman" w:eastAsia="仿宋GB2312"/>
          <w:b/>
          <w:bCs/>
          <w:color w:val="000000"/>
          <w:sz w:val="32"/>
          <w:szCs w:val="32"/>
        </w:rPr>
        <w:t>11.受理层级：</w:t>
      </w:r>
      <w:r>
        <w:rPr>
          <w:rFonts w:hint="eastAsia" w:ascii="仿宋_GB2312" w:hAnsi="仿宋_GB2312" w:eastAsia="仿宋_GB2312" w:cs="仿宋_GB2312"/>
          <w:sz w:val="32"/>
          <w:szCs w:val="32"/>
          <w:lang w:eastAsia="en-US"/>
        </w:rPr>
        <w:t>县级</w:t>
      </w:r>
    </w:p>
    <w:p>
      <w:pPr>
        <w:spacing w:line="560" w:lineRule="exact"/>
        <w:ind w:firstLine="643" w:firstLineChars="200"/>
        <w:rPr>
          <w:rFonts w:hint="eastAsia" w:ascii="Times New Roman" w:hAnsi="Times New Roman" w:eastAsia="仿宋GB2312"/>
          <w:color w:val="000000"/>
          <w:sz w:val="32"/>
          <w:szCs w:val="32"/>
        </w:rPr>
      </w:pPr>
      <w:r>
        <w:rPr>
          <w:rFonts w:ascii="Times New Roman" w:hAnsi="Times New Roman" w:eastAsia="仿宋GB2312"/>
          <w:b/>
          <w:bCs/>
          <w:sz w:val="32"/>
          <w:szCs w:val="32"/>
        </w:rPr>
        <w:t>12.是否存在初审环节：</w:t>
      </w:r>
      <w:r>
        <w:rPr>
          <w:rFonts w:hint="eastAsia" w:ascii="Times New Roman" w:hAnsi="Times New Roman" w:eastAsia="仿宋GB2312"/>
          <w:color w:val="000000"/>
          <w:sz w:val="32"/>
          <w:szCs w:val="32"/>
        </w:rPr>
        <w:t>否</w:t>
      </w:r>
    </w:p>
    <w:p>
      <w:pPr>
        <w:spacing w:line="560" w:lineRule="exact"/>
        <w:ind w:firstLine="643" w:firstLineChars="200"/>
        <w:rPr>
          <w:rFonts w:ascii="Times New Roman" w:hAnsi="Times New Roman" w:eastAsia="仿宋GB2312"/>
          <w:sz w:val="32"/>
          <w:szCs w:val="32"/>
          <w:highlight w:val="yellow"/>
        </w:rPr>
      </w:pPr>
      <w:r>
        <w:rPr>
          <w:rFonts w:ascii="Times New Roman" w:hAnsi="Times New Roman" w:eastAsia="仿宋GB2312"/>
          <w:b/>
          <w:bCs/>
          <w:sz w:val="32"/>
          <w:szCs w:val="32"/>
        </w:rPr>
        <w:t>13.初审层级：</w:t>
      </w:r>
      <w:r>
        <w:rPr>
          <w:rFonts w:hint="eastAsia" w:ascii="Times New Roman" w:hAnsi="Times New Roman" w:eastAsia="仿宋GB2312"/>
          <w:sz w:val="32"/>
          <w:szCs w:val="32"/>
        </w:rPr>
        <w:t>无</w:t>
      </w:r>
    </w:p>
    <w:p>
      <w:pPr>
        <w:spacing w:line="560" w:lineRule="exact"/>
        <w:ind w:firstLine="643" w:firstLineChars="200"/>
        <w:jc w:val="left"/>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14.对应政务服务事项国家级基本目录名称：</w:t>
      </w:r>
      <w:r>
        <w:rPr>
          <w:rFonts w:hint="eastAsia" w:ascii="仿宋_GB2312" w:hAnsi="仿宋_GB2312" w:eastAsia="仿宋_GB2312" w:cs="仿宋_GB2312"/>
          <w:sz w:val="32"/>
          <w:szCs w:val="32"/>
          <w:lang w:val="en-US" w:eastAsia="zh-CN"/>
        </w:rPr>
        <w:t>运输危险化学品的车辆进入危险化学品运输车辆限制通行区域审批</w:t>
      </w:r>
    </w:p>
    <w:p>
      <w:pPr>
        <w:spacing w:line="560" w:lineRule="exact"/>
        <w:ind w:firstLine="643" w:firstLineChars="200"/>
        <w:jc w:val="left"/>
        <w:rPr>
          <w:rFonts w:ascii="Times New Roman" w:hAnsi="Times New Roman" w:eastAsia="方正仿宋_GBK"/>
          <w:sz w:val="32"/>
          <w:szCs w:val="32"/>
        </w:rPr>
      </w:pPr>
      <w:r>
        <w:rPr>
          <w:rFonts w:ascii="Times New Roman" w:hAnsi="Times New Roman" w:eastAsia="仿宋GB2312"/>
          <w:b/>
          <w:bCs/>
          <w:sz w:val="32"/>
          <w:szCs w:val="32"/>
        </w:rPr>
        <w:t>15.要素统一情况：</w:t>
      </w:r>
      <w:r>
        <w:rPr>
          <w:rFonts w:hint="eastAsia" w:ascii="Times New Roman" w:hAnsi="Times New Roman" w:eastAsia="仿宋GB2312"/>
          <w:color w:val="000000"/>
          <w:sz w:val="32"/>
          <w:szCs w:val="32"/>
        </w:rPr>
        <w:t>全省要素统一</w:t>
      </w:r>
    </w:p>
    <w:p>
      <w:pPr>
        <w:spacing w:line="560" w:lineRule="exact"/>
        <w:rPr>
          <w:rFonts w:ascii="Times New Roman" w:hAnsi="Times New Roman" w:eastAsia="黑体"/>
          <w:sz w:val="32"/>
          <w:szCs w:val="32"/>
        </w:rPr>
      </w:pPr>
      <w:r>
        <w:rPr>
          <w:rFonts w:ascii="Times New Roman" w:hAnsi="Times New Roman" w:eastAsia="黑体"/>
          <w:sz w:val="32"/>
          <w:szCs w:val="32"/>
        </w:rPr>
        <w:t>二、行政许可事项类型</w:t>
      </w:r>
    </w:p>
    <w:p>
      <w:pPr>
        <w:spacing w:line="560" w:lineRule="exact"/>
        <w:ind w:firstLine="640" w:firstLineChars="200"/>
        <w:jc w:val="left"/>
        <w:rPr>
          <w:rFonts w:hint="eastAsia" w:ascii="Times New Roman" w:hAnsi="Times New Roman" w:eastAsia="仿宋GB2312"/>
          <w:color w:val="000000"/>
          <w:sz w:val="32"/>
          <w:szCs w:val="32"/>
        </w:rPr>
      </w:pPr>
      <w:r>
        <w:rPr>
          <w:rFonts w:hint="eastAsia" w:ascii="Times New Roman" w:hAnsi="Times New Roman" w:eastAsia="仿宋GB2312"/>
          <w:color w:val="000000"/>
          <w:sz w:val="32"/>
          <w:szCs w:val="32"/>
        </w:rPr>
        <w:t>条件型</w:t>
      </w:r>
    </w:p>
    <w:p>
      <w:pPr>
        <w:spacing w:line="560" w:lineRule="exact"/>
        <w:rPr>
          <w:rFonts w:ascii="Times New Roman" w:hAnsi="Times New Roman" w:eastAsia="黑体"/>
          <w:sz w:val="32"/>
          <w:szCs w:val="32"/>
        </w:rPr>
      </w:pPr>
      <w:r>
        <w:rPr>
          <w:rFonts w:ascii="Times New Roman" w:hAnsi="Times New Roman" w:eastAsia="黑体"/>
          <w:sz w:val="32"/>
          <w:szCs w:val="32"/>
        </w:rPr>
        <w:t>三、行政许可条件</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1.准予行政许可的条件</w:t>
      </w:r>
    </w:p>
    <w:p>
      <w:pPr>
        <w:spacing w:line="560" w:lineRule="exact"/>
        <w:ind w:firstLine="640" w:firstLineChars="200"/>
        <w:jc w:val="left"/>
        <w:rPr>
          <w:rFonts w:hint="eastAsia" w:ascii="Times New Roman" w:hAnsi="Times New Roman" w:eastAsia="仿宋_GB2312"/>
          <w:color w:val="000000"/>
          <w:sz w:val="32"/>
          <w:szCs w:val="32"/>
          <w:lang w:eastAsia="zh-CN"/>
        </w:rPr>
      </w:pPr>
      <w:r>
        <w:rPr>
          <w:rFonts w:hint="eastAsia" w:ascii="仿宋_GB2312" w:hAnsi="仿宋_GB2312" w:eastAsia="仿宋_GB2312" w:cs="仿宋_GB2312"/>
          <w:sz w:val="32"/>
          <w:szCs w:val="32"/>
          <w:lang w:eastAsia="en-US"/>
        </w:rPr>
        <w:t>运输危险化学品的车辆</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lang w:eastAsia="en-US"/>
        </w:rPr>
        <w:t>进入危险化学品运输车辆限制通行的区域</w:t>
      </w:r>
      <w:r>
        <w:rPr>
          <w:rFonts w:hint="eastAsia" w:ascii="仿宋_GB2312" w:hAnsi="仿宋_GB2312" w:eastAsia="仿宋_GB2312" w:cs="仿宋_GB2312"/>
          <w:sz w:val="32"/>
          <w:szCs w:val="32"/>
          <w:lang w:eastAsia="zh-CN"/>
        </w:rPr>
        <w:t>，需经过</w:t>
      </w:r>
      <w:r>
        <w:rPr>
          <w:rFonts w:hint="eastAsia" w:ascii="仿宋_GB2312" w:hAnsi="仿宋_GB2312" w:eastAsia="仿宋_GB2312" w:cs="仿宋_GB2312"/>
          <w:sz w:val="32"/>
          <w:szCs w:val="32"/>
          <w:lang w:eastAsia="en-US"/>
        </w:rPr>
        <w:t>限制通行的区域</w:t>
      </w:r>
      <w:r>
        <w:rPr>
          <w:rFonts w:hint="eastAsia" w:ascii="仿宋_GB2312" w:hAnsi="仿宋_GB2312" w:eastAsia="仿宋_GB2312" w:cs="仿宋_GB2312"/>
          <w:sz w:val="32"/>
          <w:szCs w:val="32"/>
          <w:lang w:eastAsia="zh-CN"/>
        </w:rPr>
        <w:t>内的</w:t>
      </w:r>
      <w:r>
        <w:rPr>
          <w:rFonts w:hint="eastAsia" w:ascii="仿宋_GB2312" w:hAnsi="仿宋_GB2312" w:eastAsia="仿宋_GB2312" w:cs="仿宋_GB2312"/>
          <w:sz w:val="32"/>
          <w:szCs w:val="32"/>
          <w:lang w:eastAsia="en-US"/>
        </w:rPr>
        <w:t>公安机关批准</w:t>
      </w:r>
      <w:r>
        <w:rPr>
          <w:rFonts w:hint="eastAsia" w:ascii="仿宋_GB2312" w:hAnsi="仿宋_GB2312" w:eastAsia="仿宋_GB2312" w:cs="仿宋_GB2312"/>
          <w:sz w:val="32"/>
          <w:szCs w:val="32"/>
          <w:lang w:eastAsia="zh-CN"/>
        </w:rPr>
        <w:t>。</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2.规定行政许可条件的依据</w:t>
      </w:r>
    </w:p>
    <w:p>
      <w:pPr>
        <w:spacing w:line="560" w:lineRule="exact"/>
        <w:ind w:firstLine="640" w:firstLineChars="200"/>
        <w:jc w:val="left"/>
        <w:rPr>
          <w:rFonts w:hint="eastAsia" w:ascii="Times New Roman" w:hAnsi="Times New Roman" w:eastAsia="仿宋GB2312"/>
          <w:color w:val="000000"/>
          <w:sz w:val="32"/>
          <w:szCs w:val="32"/>
          <w:lang w:eastAsia="en-US"/>
        </w:rPr>
      </w:pPr>
      <w:r>
        <w:rPr>
          <w:rFonts w:hint="eastAsia" w:ascii="Times New Roman" w:hAnsi="Times New Roman" w:eastAsia="仿宋GB2312"/>
          <w:color w:val="000000"/>
          <w:sz w:val="32"/>
          <w:szCs w:val="32"/>
        </w:rPr>
        <w:t>《危险化学品安全管理条例》第</w:t>
      </w:r>
      <w:r>
        <w:rPr>
          <w:rFonts w:hint="eastAsia" w:ascii="Times New Roman" w:hAnsi="Times New Roman" w:eastAsia="仿宋GB2312"/>
          <w:color w:val="000000"/>
          <w:sz w:val="32"/>
          <w:szCs w:val="32"/>
          <w:lang w:eastAsia="zh-CN"/>
        </w:rPr>
        <w:t>六</w:t>
      </w:r>
      <w:r>
        <w:rPr>
          <w:rFonts w:hint="eastAsia" w:ascii="Times New Roman" w:hAnsi="Times New Roman" w:eastAsia="仿宋GB2312"/>
          <w:color w:val="000000"/>
          <w:sz w:val="32"/>
          <w:szCs w:val="32"/>
        </w:rPr>
        <w:t>条</w:t>
      </w:r>
      <w:r>
        <w:rPr>
          <w:rFonts w:hint="eastAsia" w:ascii="Times New Roman" w:hAnsi="Times New Roman" w:eastAsia="仿宋GB2312"/>
          <w:color w:val="000000"/>
          <w:sz w:val="32"/>
          <w:szCs w:val="32"/>
          <w:lang w:eastAsia="zh-CN"/>
        </w:rPr>
        <w:t>：公安机关负责危险化学品的公共安全管理，核发剧毒化学品购买许可证、剧毒化学品道路运输通行证，并负责危险化学品运输车辆的道路交通安全管理。</w:t>
      </w:r>
      <w:r>
        <w:rPr>
          <w:rFonts w:hint="eastAsia"/>
          <w:lang w:val="en-US" w:eastAsia="zh-CN"/>
        </w:rPr>
        <w:t xml:space="preserve">  </w:t>
      </w:r>
    </w:p>
    <w:p>
      <w:pPr>
        <w:spacing w:line="560" w:lineRule="exact"/>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1.服务对象类型：</w:t>
      </w:r>
      <w:r>
        <w:rPr>
          <w:rFonts w:hint="eastAsia" w:ascii="Times New Roman" w:hAnsi="Times New Roman" w:eastAsia="仿宋GB2312"/>
          <w:color w:val="000000"/>
          <w:sz w:val="32"/>
          <w:szCs w:val="32"/>
          <w:lang w:eastAsia="en-US"/>
        </w:rPr>
        <w:t>非法人企业,行政机关,其他组织</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hint="eastAsia" w:ascii="Times New Roman" w:hAnsi="Times New Roman" w:eastAsia="仿宋GB2312"/>
          <w:color w:val="000000"/>
          <w:sz w:val="32"/>
          <w:szCs w:val="32"/>
          <w:lang w:eastAsia="en-US"/>
        </w:rPr>
        <w:t>否</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hint="eastAsia" w:ascii="Times New Roman" w:hAnsi="Times New Roman" w:eastAsia="仿宋GB2312"/>
          <w:color w:val="000000"/>
          <w:sz w:val="32"/>
          <w:szCs w:val="32"/>
          <w:lang w:eastAsia="en-US"/>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4.许可证件名称：</w:t>
      </w:r>
      <w:r>
        <w:rPr>
          <w:rFonts w:hint="eastAsia" w:ascii="Times New Roman" w:hAnsi="Times New Roman" w:eastAsia="仿宋GB2312"/>
          <w:color w:val="000000"/>
          <w:sz w:val="32"/>
          <w:szCs w:val="32"/>
          <w:lang w:eastAsia="en-US"/>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5.改革方式：</w:t>
      </w:r>
      <w:r>
        <w:rPr>
          <w:rFonts w:hint="eastAsia" w:ascii="Times New Roman" w:hAnsi="Times New Roman" w:eastAsia="仿宋GB2312"/>
          <w:color w:val="000000"/>
          <w:sz w:val="32"/>
          <w:szCs w:val="32"/>
          <w:lang w:eastAsia="en-US"/>
        </w:rPr>
        <w:t>无</w:t>
      </w:r>
    </w:p>
    <w:p>
      <w:pPr>
        <w:spacing w:line="560" w:lineRule="exact"/>
        <w:ind w:firstLine="643" w:firstLineChars="200"/>
        <w:rPr>
          <w:rFonts w:hint="eastAsia" w:ascii="Times New Roman" w:hAnsi="Times New Roman" w:eastAsia="仿宋GB2312"/>
          <w:sz w:val="32"/>
          <w:szCs w:val="32"/>
        </w:rPr>
      </w:pPr>
      <w:r>
        <w:rPr>
          <w:rFonts w:ascii="Times New Roman" w:hAnsi="Times New Roman" w:eastAsia="仿宋GB2312"/>
          <w:b/>
          <w:bCs/>
          <w:sz w:val="32"/>
          <w:szCs w:val="32"/>
        </w:rPr>
        <w:t>6.具体改革举措</w:t>
      </w:r>
      <w:r>
        <w:rPr>
          <w:rFonts w:hint="eastAsia" w:ascii="Times New Roman" w:hAnsi="Times New Roman" w:eastAsia="仿宋GB2312"/>
          <w:b/>
          <w:bCs/>
          <w:sz w:val="32"/>
          <w:szCs w:val="32"/>
        </w:rPr>
        <w:t>：</w:t>
      </w:r>
      <w:r>
        <w:rPr>
          <w:rFonts w:hint="eastAsia" w:ascii="Times New Roman" w:hAnsi="Times New Roman" w:eastAsia="仿宋GB2312"/>
          <w:sz w:val="32"/>
          <w:szCs w:val="32"/>
        </w:rPr>
        <w:t>无</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加强动态监管。道路运输管理机构、公安机关交通管理部门、应急管理部门依据法定职责，对</w:t>
      </w:r>
      <w:r>
        <w:rPr>
          <w:rFonts w:hint="eastAsia" w:ascii="仿宋_GB2312" w:hAnsi="仿宋_GB2312" w:eastAsia="仿宋_GB2312" w:cs="仿宋_GB2312"/>
          <w:sz w:val="32"/>
          <w:szCs w:val="32"/>
          <w:lang w:eastAsia="zh-CN"/>
        </w:rPr>
        <w:t>危险</w:t>
      </w:r>
      <w:r>
        <w:rPr>
          <w:rFonts w:hint="eastAsia" w:ascii="仿宋_GB2312" w:hAnsi="仿宋_GB2312" w:eastAsia="仿宋_GB2312" w:cs="仿宋_GB2312"/>
          <w:sz w:val="32"/>
          <w:szCs w:val="32"/>
        </w:rPr>
        <w:t>化学品道路运输车辆动态监控工作实施联合监督管理，公安机关交通管理部门可以将道路运输车辆动态监控系统记录的超速、疲劳驾驶等交通违法信息作为执法依据，依法查处。 二是加强路面管控。公安机关交通管理部门依托执法站点，会同交通运输部门，加强对途经辖区</w:t>
      </w:r>
      <w:r>
        <w:rPr>
          <w:rFonts w:hint="eastAsia" w:ascii="仿宋_GB2312" w:hAnsi="仿宋_GB2312" w:eastAsia="仿宋_GB2312" w:cs="仿宋_GB2312"/>
          <w:sz w:val="32"/>
          <w:szCs w:val="32"/>
          <w:lang w:eastAsia="zh-CN"/>
        </w:rPr>
        <w:t>危险</w:t>
      </w:r>
      <w:r>
        <w:rPr>
          <w:rFonts w:hint="eastAsia" w:ascii="仿宋_GB2312" w:hAnsi="仿宋_GB2312" w:eastAsia="仿宋_GB2312" w:cs="仿宋_GB2312"/>
          <w:sz w:val="32"/>
          <w:szCs w:val="32"/>
        </w:rPr>
        <w:t>化学品道路运输车辆的检查，对发现的未按指定时间、路线行驶、未携带有效证明文件等行为依法作出处罚，涉及违法治安管理处罚法规定的情形，及时移交相关警种部门处理。三是定期排查隐患。配合行业主管部门深入</w:t>
      </w:r>
      <w:r>
        <w:rPr>
          <w:rFonts w:hint="eastAsia" w:ascii="仿宋_GB2312" w:hAnsi="仿宋_GB2312" w:eastAsia="仿宋_GB2312" w:cs="仿宋_GB2312"/>
          <w:sz w:val="32"/>
          <w:szCs w:val="32"/>
          <w:lang w:eastAsia="zh-CN"/>
        </w:rPr>
        <w:t>危险</w:t>
      </w:r>
      <w:r>
        <w:rPr>
          <w:rFonts w:hint="eastAsia" w:ascii="仿宋_GB2312" w:hAnsi="仿宋_GB2312" w:eastAsia="仿宋_GB2312" w:cs="仿宋_GB2312"/>
          <w:sz w:val="32"/>
          <w:szCs w:val="32"/>
        </w:rPr>
        <w:t>化学品运输企业，联合检查安全管理制度落实情况，检查车辆安全技术状况、从业人员和驾驶人安全教育情况，加强隐患排查整改，加大安全教育警示力度。</w:t>
      </w:r>
    </w:p>
    <w:p>
      <w:pPr>
        <w:spacing w:line="560" w:lineRule="exact"/>
        <w:rPr>
          <w:rFonts w:ascii="Times New Roman" w:hAnsi="Times New Roman" w:eastAsia="黑体"/>
          <w:sz w:val="32"/>
          <w:szCs w:val="32"/>
        </w:rPr>
      </w:pPr>
      <w:r>
        <w:rPr>
          <w:rFonts w:ascii="Times New Roman" w:hAnsi="Times New Roman" w:eastAsia="黑体"/>
          <w:sz w:val="32"/>
          <w:szCs w:val="32"/>
        </w:rPr>
        <w:t>五、申请材料</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1.申请材料名称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1.承运单位法人授权被委托人的委托书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2.承运单位从事危险货物道路运输的经营（运输）许可证（复印件）、营业执照（复印件）、机动车行驶证、运输车辆从事危险货物道路运输的道路运输证；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3.驾驶人的机动车驾驶证，驾驶人、押运人员的身份证件以及从事危险货物道路运输的上岗资格证；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涉及罐式车辆有效期内罐体检验报告、计量测试检定证书复印件（非罐式车辆不需要）；</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5.涉及民用爆炸物品的企业除以上材料还需提供爆破作业单位许可证、爆破作业项目许可审批表、安全生产许可证、民用爆炸物品行政许可事项批准决定书。</w:t>
      </w:r>
    </w:p>
    <w:p>
      <w:pPr>
        <w:pStyle w:val="2"/>
        <w:rPr>
          <w:rFonts w:hint="default" w:eastAsia="仿宋_GB2312"/>
          <w:lang w:val="en-US" w:eastAsia="zh-CN"/>
        </w:rPr>
      </w:pP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2.规定申请材料的依据</w:t>
      </w:r>
    </w:p>
    <w:p>
      <w:pPr>
        <w:pStyle w:val="2"/>
        <w:rPr>
          <w:rFonts w:hint="default"/>
          <w:lang w:val="en-US" w:eastAsia="zh-CN"/>
        </w:rPr>
      </w:pPr>
      <w:r>
        <w:rPr>
          <w:rFonts w:hint="eastAsia"/>
          <w:lang w:val="en-US" w:eastAsia="zh-CN"/>
        </w:rPr>
        <w:t xml:space="preserve">  </w:t>
      </w: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lang w:val="en-US" w:eastAsia="zh-CN"/>
        </w:rPr>
        <w:t>1</w:t>
      </w: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rPr>
        <w:t>《危险化学品安全管理条例》第四十</w:t>
      </w:r>
      <w:r>
        <w:rPr>
          <w:rFonts w:hint="eastAsia" w:ascii="Times New Roman" w:hAnsi="Times New Roman" w:eastAsia="仿宋GB2312"/>
          <w:color w:val="000000"/>
          <w:sz w:val="32"/>
          <w:szCs w:val="32"/>
          <w:lang w:eastAsia="zh-CN"/>
        </w:rPr>
        <w:t>三</w:t>
      </w:r>
      <w:r>
        <w:rPr>
          <w:rFonts w:hint="eastAsia" w:ascii="Times New Roman" w:hAnsi="Times New Roman" w:eastAsia="仿宋GB2312"/>
          <w:color w:val="000000"/>
          <w:sz w:val="32"/>
          <w:szCs w:val="32"/>
        </w:rPr>
        <w:t>条</w:t>
      </w:r>
      <w:r>
        <w:rPr>
          <w:rFonts w:hint="eastAsia" w:ascii="Times New Roman" w:hAnsi="Times New Roman" w:eastAsia="仿宋GB2312"/>
          <w:color w:val="000000"/>
          <w:sz w:val="32"/>
          <w:szCs w:val="32"/>
          <w:lang w:eastAsia="zh-CN"/>
        </w:rPr>
        <w:t>：从事危险化学品道路运输、水路运输的应当分别依照有关道路运输、水路运输的法律、行政法规的规定，取得危险货物道路运输许可、危险货物水路运输许可。</w:t>
      </w:r>
    </w:p>
    <w:p>
      <w:pPr>
        <w:pStyle w:val="2"/>
        <w:ind w:firstLine="640" w:firstLineChars="200"/>
        <w:rPr>
          <w:rFonts w:hint="default"/>
          <w:lang w:val="en-US" w:eastAsia="zh-CN"/>
        </w:rPr>
      </w:pP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lang w:val="en-US" w:eastAsia="zh-CN"/>
        </w:rPr>
        <w:t>2</w:t>
      </w: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rPr>
        <w:t>《危险化学品安全管理条例》第四十</w:t>
      </w:r>
      <w:r>
        <w:rPr>
          <w:rFonts w:hint="eastAsia" w:ascii="Times New Roman" w:hAnsi="Times New Roman" w:eastAsia="仿宋GB2312"/>
          <w:color w:val="000000"/>
          <w:sz w:val="32"/>
          <w:szCs w:val="32"/>
          <w:lang w:eastAsia="zh-CN"/>
        </w:rPr>
        <w:t>四</w:t>
      </w:r>
      <w:r>
        <w:rPr>
          <w:rFonts w:hint="eastAsia" w:ascii="Times New Roman" w:hAnsi="Times New Roman" w:eastAsia="仿宋GB2312"/>
          <w:color w:val="000000"/>
          <w:sz w:val="32"/>
          <w:szCs w:val="32"/>
        </w:rPr>
        <w:t>条</w:t>
      </w:r>
      <w:r>
        <w:rPr>
          <w:rFonts w:hint="eastAsia" w:ascii="Times New Roman" w:hAnsi="Times New Roman" w:eastAsia="仿宋GB2312"/>
          <w:color w:val="000000"/>
          <w:sz w:val="32"/>
          <w:szCs w:val="32"/>
          <w:lang w:eastAsia="zh-CN"/>
        </w:rPr>
        <w:t>：危险化学品道路运输企业、水路运输企业的驾驶人员、船员、装卸管理人员、押运人员、申报人员、集装箱</w:t>
      </w:r>
      <w:bookmarkStart w:id="1" w:name="_GoBack"/>
      <w:bookmarkEnd w:id="1"/>
      <w:r>
        <w:rPr>
          <w:rFonts w:hint="eastAsia" w:ascii="Times New Roman" w:hAnsi="Times New Roman" w:eastAsia="仿宋GB2312"/>
          <w:color w:val="000000"/>
          <w:sz w:val="32"/>
          <w:szCs w:val="32"/>
          <w:lang w:eastAsia="zh-CN"/>
        </w:rPr>
        <w:t>现场检查员应当经交通运输主管部门考核合格，取得从业资格。</w:t>
      </w:r>
    </w:p>
    <w:p>
      <w:pPr>
        <w:spacing w:line="560" w:lineRule="exact"/>
        <w:ind w:firstLine="640" w:firstLineChars="200"/>
        <w:jc w:val="left"/>
        <w:rPr>
          <w:rFonts w:hint="eastAsia" w:ascii="Times New Roman" w:hAnsi="Times New Roman" w:eastAsia="仿宋GB2312"/>
          <w:color w:val="000000"/>
          <w:sz w:val="32"/>
          <w:szCs w:val="32"/>
        </w:rPr>
      </w:pP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lang w:val="en-US" w:eastAsia="zh-CN"/>
        </w:rPr>
        <w:t>3</w:t>
      </w:r>
      <w:r>
        <w:rPr>
          <w:rFonts w:hint="eastAsia" w:ascii="Times New Roman" w:hAnsi="Times New Roman" w:eastAsia="仿宋GB2312"/>
          <w:color w:val="000000"/>
          <w:sz w:val="32"/>
          <w:szCs w:val="32"/>
          <w:lang w:eastAsia="zh-CN"/>
        </w:rPr>
        <w:t>）</w:t>
      </w:r>
      <w:r>
        <w:rPr>
          <w:rFonts w:hint="eastAsia" w:ascii="Times New Roman" w:hAnsi="Times New Roman" w:eastAsia="仿宋GB2312"/>
          <w:color w:val="000000"/>
          <w:sz w:val="32"/>
          <w:szCs w:val="32"/>
        </w:rPr>
        <w:t>《危险化学品安全管理条例》第四十</w:t>
      </w:r>
      <w:r>
        <w:rPr>
          <w:rFonts w:hint="eastAsia" w:ascii="Times New Roman" w:hAnsi="Times New Roman" w:eastAsia="仿宋GB2312"/>
          <w:color w:val="000000"/>
          <w:sz w:val="32"/>
          <w:szCs w:val="32"/>
          <w:lang w:eastAsia="zh-CN"/>
        </w:rPr>
        <w:t>六</w:t>
      </w:r>
      <w:r>
        <w:rPr>
          <w:rFonts w:hint="eastAsia" w:ascii="Times New Roman" w:hAnsi="Times New Roman" w:eastAsia="仿宋GB2312"/>
          <w:color w:val="000000"/>
          <w:sz w:val="32"/>
          <w:szCs w:val="32"/>
        </w:rPr>
        <w:t>条</w:t>
      </w:r>
      <w:r>
        <w:rPr>
          <w:rFonts w:hint="eastAsia" w:ascii="Times New Roman" w:hAnsi="Times New Roman" w:eastAsia="仿宋GB2312"/>
          <w:color w:val="000000"/>
          <w:sz w:val="32"/>
          <w:szCs w:val="32"/>
          <w:lang w:eastAsia="zh-CN"/>
        </w:rPr>
        <w:t>：通过道路运输危险化学品的，委托人应当委托依法取得危险货物道路运输许可的企业承运</w:t>
      </w:r>
      <w:r>
        <w:rPr>
          <w:rFonts w:hint="eastAsia" w:ascii="Times New Roman" w:hAnsi="Times New Roman" w:eastAsia="仿宋GB2312"/>
          <w:color w:val="000000"/>
          <w:sz w:val="32"/>
          <w:szCs w:val="32"/>
        </w:rPr>
        <w:t>。</w:t>
      </w:r>
    </w:p>
    <w:p>
      <w:pPr>
        <w:spacing w:line="560" w:lineRule="exact"/>
        <w:ind w:firstLine="640" w:firstLineChars="200"/>
        <w:jc w:val="left"/>
        <w:rPr>
          <w:rFonts w:hint="eastAsia" w:ascii="Times New Roman" w:hAnsi="Times New Roman" w:eastAsia="仿宋GB2312"/>
          <w:color w:val="000000"/>
          <w:sz w:val="32"/>
          <w:szCs w:val="32"/>
          <w:lang w:eastAsia="en-US"/>
        </w:rPr>
      </w:pPr>
      <w:r>
        <w:rPr>
          <w:rFonts w:hint="eastAsia" w:ascii="Times New Roman" w:hAnsi="Times New Roman" w:eastAsia="仿宋GB2312"/>
          <w:color w:val="000000"/>
          <w:sz w:val="32"/>
          <w:szCs w:val="32"/>
        </w:rPr>
        <w:t>（</w:t>
      </w:r>
      <w:r>
        <w:rPr>
          <w:rFonts w:hint="eastAsia" w:ascii="Times New Roman" w:hAnsi="Times New Roman" w:eastAsia="仿宋GB2312"/>
          <w:color w:val="000000"/>
          <w:sz w:val="32"/>
          <w:szCs w:val="32"/>
          <w:lang w:val="en-US" w:eastAsia="zh-CN"/>
        </w:rPr>
        <w:t>4</w:t>
      </w:r>
      <w:r>
        <w:rPr>
          <w:rFonts w:hint="eastAsia" w:ascii="Times New Roman" w:hAnsi="Times New Roman" w:eastAsia="仿宋GB2312"/>
          <w:color w:val="000000"/>
          <w:sz w:val="32"/>
          <w:szCs w:val="32"/>
          <w:lang w:eastAsia="en-US"/>
        </w:rPr>
        <w:t>）《危险化学品安全管理条例》第</w:t>
      </w:r>
      <w:r>
        <w:rPr>
          <w:rFonts w:hint="eastAsia" w:ascii="Times New Roman" w:hAnsi="Times New Roman" w:eastAsia="仿宋GB2312"/>
          <w:color w:val="000000"/>
          <w:sz w:val="32"/>
          <w:szCs w:val="32"/>
          <w:lang w:eastAsia="zh-CN"/>
        </w:rPr>
        <w:t>四十七</w:t>
      </w:r>
      <w:r>
        <w:rPr>
          <w:rFonts w:hint="eastAsia" w:ascii="Times New Roman" w:hAnsi="Times New Roman" w:eastAsia="仿宋GB2312"/>
          <w:color w:val="000000"/>
          <w:sz w:val="32"/>
          <w:szCs w:val="32"/>
          <w:lang w:eastAsia="en-US"/>
        </w:rPr>
        <w:t>条</w:t>
      </w:r>
      <w:r>
        <w:rPr>
          <w:rFonts w:hint="eastAsia" w:ascii="Times New Roman" w:hAnsi="Times New Roman" w:eastAsia="仿宋GB2312"/>
          <w:color w:val="000000"/>
          <w:sz w:val="32"/>
          <w:szCs w:val="32"/>
          <w:lang w:eastAsia="zh-CN"/>
        </w:rPr>
        <w:t>：通过道路运输危险化学品的，应当按照运输车辆的核定载质量装载危险化学品，不得超载。</w:t>
      </w:r>
      <w:r>
        <w:rPr>
          <w:rFonts w:hint="eastAsia" w:ascii="Times New Roman" w:hAnsi="Times New Roman" w:eastAsia="仿宋GB2312"/>
          <w:color w:val="000000"/>
          <w:sz w:val="32"/>
          <w:szCs w:val="32"/>
          <w:lang w:eastAsia="en-US"/>
        </w:rPr>
        <w:t xml:space="preserve"> </w:t>
      </w:r>
    </w:p>
    <w:p>
      <w:pPr>
        <w:spacing w:line="560" w:lineRule="exact"/>
        <w:rPr>
          <w:rFonts w:ascii="Times New Roman" w:hAnsi="Times New Roman" w:eastAsia="黑体"/>
          <w:sz w:val="32"/>
          <w:szCs w:val="32"/>
        </w:rPr>
      </w:pPr>
      <w:r>
        <w:rPr>
          <w:rFonts w:ascii="Times New Roman" w:hAnsi="Times New Roman" w:eastAsia="黑体"/>
          <w:sz w:val="32"/>
          <w:szCs w:val="32"/>
        </w:rPr>
        <w:t>六、中介服务</w:t>
      </w:r>
    </w:p>
    <w:p>
      <w:pPr>
        <w:spacing w:line="560" w:lineRule="exact"/>
        <w:ind w:firstLine="643" w:firstLineChars="200"/>
        <w:rPr>
          <w:rFonts w:hint="eastAsia" w:ascii="仿宋_GB2312" w:hAnsi="仿宋_GB2312" w:eastAsia="仿宋_GB2312" w:cs="仿宋_GB2312"/>
          <w:sz w:val="32"/>
          <w:szCs w:val="32"/>
        </w:rPr>
      </w:pPr>
      <w:r>
        <w:rPr>
          <w:rFonts w:ascii="Times New Roman" w:hAnsi="Times New Roman" w:eastAsia="仿宋GB2312"/>
          <w:b/>
          <w:bCs/>
          <w:sz w:val="32"/>
          <w:szCs w:val="32"/>
        </w:rPr>
        <w:t>1.有无法定中介服务事项：</w:t>
      </w:r>
      <w:r>
        <w:rPr>
          <w:rFonts w:hint="eastAsia" w:ascii="仿宋_GB2312" w:hAnsi="仿宋_GB2312" w:eastAsia="仿宋_GB2312" w:cs="仿宋_GB2312"/>
          <w:sz w:val="32"/>
          <w:szCs w:val="32"/>
        </w:rPr>
        <w:t>无</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2.中介服务事项名称：</w:t>
      </w:r>
      <w:r>
        <w:rPr>
          <w:rFonts w:hint="eastAsia" w:ascii="仿宋_GB2312" w:hAnsi="仿宋_GB2312" w:eastAsia="仿宋_GB2312" w:cs="仿宋_GB2312"/>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hint="eastAsia" w:ascii="仿宋_GB2312" w:hAnsi="仿宋_GB2312" w:eastAsia="仿宋_GB2312" w:cs="仿宋_GB2312"/>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hint="eastAsia" w:ascii="仿宋_GB2312" w:hAnsi="仿宋_GB2312" w:eastAsia="仿宋_GB2312" w:cs="仿宋_GB2312"/>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hint="eastAsia" w:ascii="仿宋_GB2312" w:hAnsi="仿宋_GB2312" w:eastAsia="仿宋_GB2312" w:cs="仿宋_GB2312"/>
          <w:sz w:val="32"/>
          <w:szCs w:val="32"/>
        </w:rPr>
        <w:t>无</w:t>
      </w:r>
    </w:p>
    <w:p>
      <w:pPr>
        <w:spacing w:line="560" w:lineRule="exact"/>
        <w:rPr>
          <w:rFonts w:ascii="Times New Roman" w:hAnsi="Times New Roman" w:eastAsia="黑体"/>
          <w:sz w:val="32"/>
          <w:szCs w:val="32"/>
        </w:rPr>
      </w:pPr>
      <w:r>
        <w:rPr>
          <w:rFonts w:ascii="Times New Roman" w:hAnsi="Times New Roman" w:eastAsia="黑体"/>
          <w:sz w:val="32"/>
          <w:szCs w:val="32"/>
        </w:rPr>
        <w:t>七、审批程序</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1.办理行政许可的程序环节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（3）审批机构审查；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（4）决定核发许可。</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2.规定行政许可程序的依据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（3）审批机构审查；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（4）决定核发许可。</w:t>
      </w:r>
    </w:p>
    <w:p>
      <w:pPr>
        <w:spacing w:line="560" w:lineRule="exact"/>
        <w:ind w:firstLine="643" w:firstLineChars="200"/>
        <w:rPr>
          <w:rFonts w:hint="eastAsia" w:ascii="Times New Roman" w:hAnsi="Times New Roman" w:eastAsia="方正仿宋_GBK"/>
          <w:sz w:val="32"/>
          <w:szCs w:val="32"/>
        </w:rPr>
      </w:pPr>
      <w:r>
        <w:rPr>
          <w:rFonts w:ascii="Times New Roman" w:hAnsi="Times New Roman" w:eastAsia="仿宋GB2312"/>
          <w:b/>
          <w:bCs/>
          <w:sz w:val="32"/>
          <w:szCs w:val="32"/>
        </w:rPr>
        <w:t>3.是否需要现场勘验：</w:t>
      </w:r>
      <w:r>
        <w:rPr>
          <w:rFonts w:hint="eastAsia" w:ascii="仿宋_GB2312" w:hAnsi="仿宋_GB2312" w:eastAsia="仿宋_GB2312" w:cs="仿宋_GB2312"/>
          <w:sz w:val="32"/>
          <w:szCs w:val="32"/>
        </w:rPr>
        <w:t>是</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hint="eastAsia" w:ascii="仿宋_GB2312" w:hAnsi="仿宋_GB2312" w:eastAsia="仿宋_GB2312" w:cs="仿宋_GB2312"/>
          <w:sz w:val="32"/>
          <w:szCs w:val="32"/>
        </w:rPr>
        <w:t>否</w:t>
      </w:r>
    </w:p>
    <w:p>
      <w:pPr>
        <w:spacing w:line="560" w:lineRule="exact"/>
        <w:ind w:firstLine="643" w:firstLineChars="200"/>
        <w:rPr>
          <w:rFonts w:hint="eastAsia" w:ascii="仿宋_GB2312" w:hAnsi="仿宋_GB2312" w:eastAsia="仿宋_GB2312" w:cs="仿宋_GB2312"/>
          <w:sz w:val="32"/>
          <w:szCs w:val="32"/>
        </w:rPr>
      </w:pPr>
      <w:r>
        <w:rPr>
          <w:rFonts w:ascii="Times New Roman" w:hAnsi="Times New Roman" w:eastAsia="仿宋GB2312"/>
          <w:b/>
          <w:bCs/>
          <w:sz w:val="32"/>
          <w:szCs w:val="32"/>
        </w:rPr>
        <w:t>5.是否需要招标、拍卖、挂牌交易：</w:t>
      </w:r>
      <w:r>
        <w:rPr>
          <w:rFonts w:hint="eastAsia" w:ascii="仿宋_GB2312" w:hAnsi="仿宋_GB2312" w:eastAsia="仿宋_GB2312" w:cs="仿宋_GB2312"/>
          <w:sz w:val="32"/>
          <w:szCs w:val="32"/>
        </w:rPr>
        <w:t>否</w:t>
      </w:r>
    </w:p>
    <w:p>
      <w:pPr>
        <w:spacing w:line="560" w:lineRule="exact"/>
        <w:ind w:firstLine="643" w:firstLineChars="200"/>
        <w:rPr>
          <w:rFonts w:hint="eastAsia" w:ascii="仿宋_GB2312" w:hAnsi="仿宋_GB2312" w:eastAsia="仿宋_GB2312" w:cs="仿宋_GB2312"/>
          <w:sz w:val="32"/>
          <w:szCs w:val="32"/>
        </w:rPr>
      </w:pPr>
      <w:r>
        <w:rPr>
          <w:rFonts w:ascii="Times New Roman" w:hAnsi="Times New Roman" w:eastAsia="仿宋GB2312"/>
          <w:b/>
          <w:bCs/>
          <w:sz w:val="32"/>
          <w:szCs w:val="32"/>
        </w:rPr>
        <w:t>6.是否需要检验、检测、检疫：</w:t>
      </w:r>
      <w:r>
        <w:rPr>
          <w:rFonts w:hint="eastAsia" w:ascii="仿宋_GB2312" w:hAnsi="仿宋_GB2312" w:eastAsia="仿宋_GB2312" w:cs="仿宋_GB2312"/>
          <w:sz w:val="32"/>
          <w:szCs w:val="32"/>
        </w:rPr>
        <w:t>否</w:t>
      </w:r>
    </w:p>
    <w:p>
      <w:pPr>
        <w:spacing w:line="560" w:lineRule="exact"/>
        <w:ind w:firstLine="643" w:firstLineChars="200"/>
        <w:rPr>
          <w:rFonts w:hint="eastAsia" w:ascii="仿宋_GB2312" w:hAnsi="仿宋_GB2312" w:eastAsia="仿宋_GB2312" w:cs="仿宋_GB2312"/>
          <w:sz w:val="32"/>
          <w:szCs w:val="32"/>
        </w:rPr>
      </w:pPr>
      <w:r>
        <w:rPr>
          <w:rFonts w:ascii="Times New Roman" w:hAnsi="Times New Roman" w:eastAsia="仿宋GB2312"/>
          <w:b/>
          <w:bCs/>
          <w:sz w:val="32"/>
          <w:szCs w:val="32"/>
        </w:rPr>
        <w:t>7.是否需要鉴定：</w:t>
      </w:r>
      <w:r>
        <w:rPr>
          <w:rFonts w:hint="eastAsia" w:ascii="仿宋_GB2312" w:hAnsi="仿宋_GB2312" w:eastAsia="仿宋_GB2312" w:cs="仿宋_GB2312"/>
          <w:sz w:val="32"/>
          <w:szCs w:val="32"/>
        </w:rPr>
        <w:t>否</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hint="eastAsia" w:ascii="仿宋_GB2312" w:hAnsi="仿宋_GB2312" w:eastAsia="仿宋_GB2312" w:cs="仿宋_GB2312"/>
          <w:sz w:val="32"/>
          <w:szCs w:val="32"/>
        </w:rPr>
        <w:t>否</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hint="eastAsia" w:ascii="仿宋_GB2312" w:hAnsi="仿宋_GB2312" w:eastAsia="仿宋_GB2312" w:cs="仿宋_GB2312"/>
          <w:sz w:val="32"/>
          <w:szCs w:val="32"/>
        </w:rPr>
        <w:t>否</w:t>
      </w:r>
    </w:p>
    <w:p>
      <w:pPr>
        <w:spacing w:line="560" w:lineRule="exact"/>
        <w:ind w:firstLine="643" w:firstLineChars="200"/>
        <w:rPr>
          <w:rFonts w:hint="eastAsia" w:ascii="Times New Roman" w:hAnsi="Times New Roman" w:eastAsia="仿宋GB2312"/>
          <w:sz w:val="32"/>
          <w:szCs w:val="32"/>
        </w:rPr>
      </w:pPr>
      <w:r>
        <w:rPr>
          <w:rFonts w:ascii="Times New Roman" w:hAnsi="Times New Roman" w:eastAsia="仿宋GB2312"/>
          <w:b/>
          <w:bCs/>
          <w:sz w:val="32"/>
          <w:szCs w:val="32"/>
        </w:rPr>
        <w:t>10.是否实行告知承诺办理：</w:t>
      </w:r>
      <w:r>
        <w:rPr>
          <w:rFonts w:hint="eastAsia" w:ascii="仿宋_GB2312" w:hAnsi="仿宋_GB2312" w:eastAsia="仿宋_GB2312" w:cs="仿宋_GB2312"/>
          <w:sz w:val="32"/>
          <w:szCs w:val="32"/>
        </w:rPr>
        <w:t>否</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hint="eastAsia" w:ascii="仿宋_GB2312" w:hAnsi="仿宋_GB2312" w:eastAsia="仿宋_GB2312" w:cs="仿宋_GB2312"/>
          <w:sz w:val="32"/>
          <w:szCs w:val="32"/>
        </w:rPr>
        <w:t>否</w:t>
      </w:r>
    </w:p>
    <w:p>
      <w:pPr>
        <w:spacing w:line="560" w:lineRule="exact"/>
        <w:rPr>
          <w:rFonts w:ascii="Times New Roman" w:hAnsi="Times New Roman" w:eastAsia="黑体"/>
          <w:sz w:val="32"/>
          <w:szCs w:val="32"/>
        </w:rPr>
      </w:pPr>
      <w:r>
        <w:rPr>
          <w:rFonts w:ascii="Times New Roman" w:hAnsi="Times New Roman" w:eastAsia="黑体"/>
          <w:sz w:val="32"/>
          <w:szCs w:val="32"/>
        </w:rPr>
        <w:t>八、受理和审批时限</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1.承诺受理时限：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2.法定审批时限：</w:t>
      </w:r>
      <w:r>
        <w:rPr>
          <w:rFonts w:hint="eastAsia" w:ascii="仿宋_GB2312" w:hAnsi="仿宋_GB2312" w:eastAsia="仿宋_GB2312" w:cs="仿宋_GB2312"/>
          <w:sz w:val="32"/>
          <w:szCs w:val="32"/>
        </w:rPr>
        <w:t>3个工作日。</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3.规定法定审批时限依据</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《剧毒化学品购买和公路运输许可证件管理办法》（公安部令77 号）第十五条 对已经受理的申请，公安机关应当及时进行审查，并在三个工作日内作出批准或者不予批准的决定；对批准的，应当即时填发</w:t>
      </w:r>
      <w:r>
        <w:rPr>
          <w:rFonts w:hint="eastAsia" w:ascii="仿宋_GB2312" w:hAnsi="仿宋_GB2312" w:eastAsia="仿宋_GB2312" w:cs="仿宋_GB2312"/>
          <w:sz w:val="32"/>
          <w:szCs w:val="32"/>
          <w:lang w:eastAsia="zh-CN"/>
        </w:rPr>
        <w:t>许</w:t>
      </w:r>
      <w:r>
        <w:rPr>
          <w:rFonts w:hint="eastAsia" w:ascii="仿宋_GB2312" w:hAnsi="仿宋_GB2312" w:eastAsia="仿宋_GB2312" w:cs="仿宋_GB2312"/>
          <w:sz w:val="32"/>
          <w:szCs w:val="32"/>
        </w:rPr>
        <w:t>可证件，并于当日送达或者通知申请人领取；对不予批准的，应当告知申请人不予批准的理由，并出具不予批准的书面凭证。</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4.承诺审批时限：</w:t>
      </w:r>
      <w:r>
        <w:rPr>
          <w:rFonts w:hint="eastAsia" w:ascii="仿宋_GB2312" w:hAnsi="仿宋_GB2312" w:eastAsia="仿宋_GB2312" w:cs="仿宋_GB2312"/>
          <w:sz w:val="32"/>
          <w:szCs w:val="32"/>
          <w:lang w:val="en-US" w:eastAsia="zh-CN"/>
        </w:rPr>
        <w:t>3个工作日</w:t>
      </w:r>
    </w:p>
    <w:p>
      <w:pPr>
        <w:spacing w:line="560" w:lineRule="exact"/>
        <w:rPr>
          <w:rFonts w:ascii="Times New Roman" w:hAnsi="Times New Roman" w:eastAsia="黑体"/>
          <w:sz w:val="32"/>
          <w:szCs w:val="32"/>
        </w:rPr>
      </w:pPr>
      <w:r>
        <w:rPr>
          <w:rFonts w:ascii="Times New Roman" w:hAnsi="Times New Roman" w:eastAsia="黑体"/>
          <w:sz w:val="32"/>
          <w:szCs w:val="32"/>
        </w:rPr>
        <w:t>九、收费</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hint="eastAsia" w:ascii="仿宋_GB2312" w:hAnsi="仿宋_GB2312" w:eastAsia="仿宋_GB2312" w:cs="仿宋_GB2312"/>
          <w:sz w:val="32"/>
          <w:szCs w:val="32"/>
          <w:lang w:val="en-US" w:eastAsia="zh-CN"/>
        </w:rPr>
        <w:t>否</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2.收费项目的名称、收费项目的标准、设定收费项目的依据、规定收费标准的依据：</w:t>
      </w:r>
      <w:r>
        <w:rPr>
          <w:rFonts w:hint="eastAsia" w:ascii="仿宋_GB2312" w:hAnsi="仿宋_GB2312" w:eastAsia="仿宋_GB2312" w:cs="仿宋_GB2312"/>
          <w:sz w:val="32"/>
          <w:szCs w:val="32"/>
          <w:lang w:val="en-US" w:eastAsia="zh-CN"/>
        </w:rPr>
        <w:t>无</w:t>
      </w:r>
    </w:p>
    <w:p>
      <w:pPr>
        <w:spacing w:line="560" w:lineRule="exact"/>
        <w:rPr>
          <w:rFonts w:ascii="Times New Roman" w:hAnsi="Times New Roman" w:eastAsia="黑体"/>
          <w:sz w:val="32"/>
          <w:szCs w:val="32"/>
        </w:rPr>
      </w:pPr>
      <w:r>
        <w:rPr>
          <w:rFonts w:ascii="Times New Roman" w:hAnsi="Times New Roman" w:eastAsia="黑体"/>
          <w:sz w:val="32"/>
          <w:szCs w:val="32"/>
        </w:rPr>
        <w:t>十、行政许可证件</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1.审批结果类型：</w:t>
      </w:r>
      <w:r>
        <w:rPr>
          <w:rFonts w:hint="eastAsia" w:ascii="仿宋_GB2312" w:hAnsi="仿宋_GB2312" w:eastAsia="仿宋_GB2312" w:cs="仿宋_GB2312"/>
          <w:sz w:val="32"/>
          <w:szCs w:val="32"/>
          <w:lang w:val="en-US" w:eastAsia="zh-CN"/>
        </w:rPr>
        <w:t>证照</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2.审批结果名称：</w:t>
      </w:r>
      <w:r>
        <w:rPr>
          <w:rFonts w:hint="eastAsia" w:ascii="仿宋_GB2312" w:hAnsi="仿宋_GB2312" w:eastAsia="仿宋_GB2312" w:cs="仿宋_GB2312"/>
          <w:sz w:val="32"/>
          <w:szCs w:val="32"/>
          <w:lang w:val="en-US" w:eastAsia="zh-CN"/>
        </w:rPr>
        <w:t>《通行证》</w:t>
      </w:r>
    </w:p>
    <w:p>
      <w:pPr>
        <w:spacing w:line="560" w:lineRule="exact"/>
        <w:ind w:firstLine="643" w:firstLineChars="200"/>
        <w:rPr>
          <w:rFonts w:hint="eastAsia" w:ascii="Times New Roman" w:hAnsi="Times New Roman" w:eastAsia="方正仿宋_GBK"/>
          <w:sz w:val="32"/>
          <w:szCs w:val="32"/>
        </w:rPr>
      </w:pPr>
      <w:r>
        <w:rPr>
          <w:rFonts w:ascii="Times New Roman" w:hAnsi="Times New Roman" w:eastAsia="仿宋GB2312"/>
          <w:b/>
          <w:bCs/>
          <w:sz w:val="32"/>
          <w:szCs w:val="32"/>
        </w:rPr>
        <w:t>3.审批结果的有效期限：</w:t>
      </w:r>
      <w:r>
        <w:rPr>
          <w:rFonts w:hint="eastAsia" w:ascii="仿宋_GB2312" w:hAnsi="仿宋_GB2312" w:eastAsia="仿宋_GB2312" w:cs="仿宋_GB2312"/>
          <w:sz w:val="32"/>
          <w:szCs w:val="32"/>
          <w:lang w:val="en-US" w:eastAsia="zh-CN"/>
        </w:rPr>
        <w:t>15天</w:t>
      </w:r>
    </w:p>
    <w:p>
      <w:pPr>
        <w:spacing w:line="560" w:lineRule="exact"/>
        <w:ind w:firstLine="643" w:firstLineChars="200"/>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4.规定审批结果有效期限的依据：</w:t>
      </w:r>
      <w:r>
        <w:rPr>
          <w:rFonts w:hint="eastAsia" w:ascii="仿宋_GB2312" w:hAnsi="仿宋_GB2312" w:eastAsia="仿宋_GB2312" w:cs="仿宋_GB2312"/>
          <w:sz w:val="32"/>
          <w:szCs w:val="32"/>
          <w:lang w:val="en-US" w:eastAsia="zh-CN"/>
        </w:rPr>
        <w:t>《剧毒化学品购买和公路运输许可证件管理办法》（公安部令77 号）第十条 公安机关交通管理部门经过审核和查验后，应当按照下列情况分别处理：（一）对证明文件真实有效，运输单位、运输车辆、驾驶人和押运人员符合规定，通行路线和时间对公共安全不构成威胁的，报本级公安机关负责人批准签发《剧毒化学品公路运输通行证》，每次运输一车一证，有效期不超过十五天。……</w:t>
      </w:r>
    </w:p>
    <w:p>
      <w:pPr>
        <w:spacing w:line="560" w:lineRule="exact"/>
        <w:ind w:firstLine="643" w:firstLineChars="200"/>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5.是否需要办理审批结果变更手续：</w:t>
      </w:r>
      <w:r>
        <w:rPr>
          <w:rFonts w:hint="eastAsia" w:ascii="仿宋_GB2312" w:hAnsi="仿宋_GB2312" w:eastAsia="仿宋_GB2312" w:cs="仿宋_GB2312"/>
          <w:sz w:val="32"/>
          <w:szCs w:val="32"/>
          <w:lang w:val="en-US" w:eastAsia="zh-CN"/>
        </w:rPr>
        <w:t>否</w:t>
      </w:r>
    </w:p>
    <w:p>
      <w:pPr>
        <w:spacing w:line="560" w:lineRule="exact"/>
        <w:ind w:firstLine="643" w:firstLineChars="200"/>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6.办理审批结果变更手续的要求：</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7.是否需要办理审批结果延续手续：</w:t>
      </w:r>
      <w:r>
        <w:rPr>
          <w:rFonts w:hint="eastAsia" w:ascii="仿宋_GB2312" w:hAnsi="仿宋_GB2312" w:eastAsia="仿宋_GB2312" w:cs="仿宋_GB2312"/>
          <w:sz w:val="32"/>
          <w:szCs w:val="32"/>
          <w:lang w:val="en-US" w:eastAsia="zh-CN"/>
        </w:rPr>
        <w:t>否</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8.办理审批结果延续手续的要求：</w:t>
      </w:r>
      <w:r>
        <w:rPr>
          <w:rFonts w:hint="eastAsia" w:ascii="仿宋_GB2312" w:hAnsi="仿宋_GB2312" w:eastAsia="仿宋_GB2312" w:cs="仿宋_GB2312"/>
          <w:sz w:val="32"/>
          <w:szCs w:val="32"/>
          <w:lang w:val="en-US" w:eastAsia="zh-CN"/>
        </w:rPr>
        <w:t>无</w:t>
      </w:r>
    </w:p>
    <w:p>
      <w:pPr>
        <w:spacing w:line="560" w:lineRule="exact"/>
        <w:ind w:firstLine="643" w:firstLineChars="200"/>
        <w:outlineLvl w:val="2"/>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9.审批结果的有效地域范围：</w:t>
      </w:r>
      <w:r>
        <w:rPr>
          <w:rFonts w:hint="eastAsia" w:ascii="仿宋_GB2312" w:hAnsi="仿宋_GB2312" w:eastAsia="仿宋_GB2312" w:cs="仿宋_GB2312"/>
          <w:sz w:val="32"/>
          <w:szCs w:val="32"/>
          <w:lang w:val="en-US" w:eastAsia="zh-CN"/>
        </w:rPr>
        <w:t>按照《通行证》载明的运输车辆、驾驶人、押运人员、装载数量、有效期限、时间和速度运输，禁止超载、超速行驶。</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10.规定审批结果有效地域范围的依据</w:t>
      </w:r>
    </w:p>
    <w:p>
      <w:pPr>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《剧毒化学品购买和公路运输许可证件管理办法》（公安部令77 号）第十八条 通过公路运输剧毒化学品的，应当遵守《中华人民共和国道路交通安全法》《危险化学品安全管理条例》等法律、法规对剧毒化学品运输安全的管理规定，悬挂警示标志，采取必要的安全措施，并按照《剧毒化学品公路运输通行证》载明的运输车辆、驾驶人、押运人员、装载数量、有效期限、指定的路线、时间和速度运输，禁止超载、超速行驶；押运人员应当随车携带《剧毒化学品公路运输通行证》，以备查验。</w:t>
      </w:r>
    </w:p>
    <w:p>
      <w:pPr>
        <w:spacing w:line="56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运输车辆行驶速度在不超过限速标志的前提下，在高速公路上不低于每小时七十公里、不高于每小时九十公里，在其他道路上不超过每小时六十公里。</w:t>
      </w:r>
    </w:p>
    <w:p>
      <w:pPr>
        <w:spacing w:line="560" w:lineRule="exact"/>
        <w:rPr>
          <w:rFonts w:ascii="Times New Roman" w:hAnsi="Times New Roman" w:eastAsia="黑体"/>
          <w:sz w:val="32"/>
          <w:szCs w:val="32"/>
        </w:rPr>
      </w:pPr>
      <w:r>
        <w:rPr>
          <w:rFonts w:ascii="Times New Roman" w:hAnsi="Times New Roman" w:eastAsia="黑体"/>
          <w:sz w:val="32"/>
          <w:szCs w:val="32"/>
        </w:rPr>
        <w:t>十一、行政许可数量限制</w:t>
      </w:r>
    </w:p>
    <w:p>
      <w:pPr>
        <w:spacing w:line="560" w:lineRule="exact"/>
        <w:ind w:firstLine="643" w:firstLineChars="200"/>
        <w:rPr>
          <w:rFonts w:hint="eastAsia" w:ascii="仿宋_GB2312" w:hAnsi="仿宋_GB2312" w:eastAsia="仿宋_GB2312" w:cs="仿宋_GB2312"/>
          <w:sz w:val="32"/>
          <w:szCs w:val="32"/>
          <w:lang w:val="en-US" w:eastAsia="zh-CN"/>
        </w:rPr>
      </w:pPr>
      <w:r>
        <w:rPr>
          <w:rFonts w:ascii="Times New Roman" w:hAnsi="Times New Roman" w:eastAsia="仿宋GB2312"/>
          <w:b/>
          <w:bCs/>
          <w:sz w:val="32"/>
          <w:szCs w:val="32"/>
        </w:rPr>
        <w:t>1.有无行政许可数量限制：</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2.公布数量限制的方式：</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3.公布数量限制的周期：</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4.在数量限制条件下实施行政许可的方式：</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hint="eastAsia" w:ascii="仿宋_GB2312" w:hAnsi="仿宋_GB2312" w:eastAsia="仿宋_GB2312" w:cs="仿宋_GB2312"/>
          <w:sz w:val="32"/>
          <w:szCs w:val="32"/>
          <w:lang w:val="en-US" w:eastAsia="zh-CN"/>
        </w:rPr>
        <w:t>无</w:t>
      </w:r>
    </w:p>
    <w:p>
      <w:pPr>
        <w:spacing w:line="560" w:lineRule="exact"/>
        <w:rPr>
          <w:rFonts w:ascii="Times New Roman" w:hAnsi="Times New Roman" w:eastAsia="黑体"/>
          <w:sz w:val="32"/>
          <w:szCs w:val="32"/>
        </w:rPr>
      </w:pPr>
      <w:r>
        <w:rPr>
          <w:rFonts w:ascii="Times New Roman" w:hAnsi="Times New Roman" w:eastAsia="黑体"/>
          <w:sz w:val="32"/>
          <w:szCs w:val="32"/>
        </w:rPr>
        <w:t>十二、行政许可后年检</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1.有无年检要求：</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2.设定年检要求的依据：</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3.年检周期：</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4.年检是否要求报送材料：</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6.年检是否收费：</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8.通过年检的证明或者标志：</w:t>
      </w:r>
      <w:r>
        <w:rPr>
          <w:rFonts w:hint="eastAsia" w:ascii="仿宋_GB2312" w:hAnsi="仿宋_GB2312" w:eastAsia="仿宋_GB2312" w:cs="仿宋_GB2312"/>
          <w:sz w:val="32"/>
          <w:szCs w:val="32"/>
          <w:lang w:val="en-US" w:eastAsia="zh-CN"/>
        </w:rPr>
        <w:t>无</w:t>
      </w:r>
    </w:p>
    <w:p>
      <w:pPr>
        <w:spacing w:line="560" w:lineRule="exact"/>
        <w:rPr>
          <w:rFonts w:ascii="Times New Roman" w:hAnsi="Times New Roman" w:eastAsia="黑体"/>
          <w:sz w:val="32"/>
          <w:szCs w:val="32"/>
        </w:rPr>
      </w:pPr>
      <w:r>
        <w:rPr>
          <w:rFonts w:ascii="Times New Roman" w:hAnsi="Times New Roman" w:eastAsia="黑体"/>
          <w:sz w:val="32"/>
          <w:szCs w:val="32"/>
        </w:rPr>
        <w:t>十三、行政许可后年报</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1.有无年报要求：</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3.设定年报要求的依据：</w:t>
      </w:r>
      <w:r>
        <w:rPr>
          <w:rFonts w:hint="eastAsia" w:ascii="仿宋_GB2312" w:hAnsi="仿宋_GB2312" w:eastAsia="仿宋_GB2312" w:cs="仿宋_GB2312"/>
          <w:sz w:val="32"/>
          <w:szCs w:val="32"/>
          <w:lang w:val="en-US" w:eastAsia="zh-CN"/>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4.年报周期：</w:t>
      </w:r>
      <w:r>
        <w:rPr>
          <w:rFonts w:hint="eastAsia" w:ascii="仿宋_GB2312" w:hAnsi="仿宋_GB2312" w:eastAsia="仿宋_GB2312" w:cs="仿宋_GB2312"/>
          <w:sz w:val="32"/>
          <w:szCs w:val="32"/>
          <w:lang w:val="en-US" w:eastAsia="zh-CN"/>
        </w:rPr>
        <w:t>无</w:t>
      </w:r>
    </w:p>
    <w:p>
      <w:pPr>
        <w:spacing w:line="560" w:lineRule="exact"/>
        <w:rPr>
          <w:rFonts w:ascii="Times New Roman" w:hAnsi="Times New Roman" w:eastAsia="黑体"/>
          <w:sz w:val="32"/>
          <w:szCs w:val="32"/>
        </w:rPr>
      </w:pPr>
      <w:r>
        <w:rPr>
          <w:rFonts w:ascii="Times New Roman" w:hAnsi="Times New Roman" w:eastAsia="黑体"/>
          <w:sz w:val="32"/>
          <w:szCs w:val="32"/>
        </w:rPr>
        <w:t>十四、监管主体</w:t>
      </w:r>
    </w:p>
    <w:p>
      <w:pPr>
        <w:spacing w:line="560" w:lineRule="exac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县级公安机关</w:t>
      </w:r>
    </w:p>
    <w:p>
      <w:pPr>
        <w:spacing w:line="560" w:lineRule="exact"/>
        <w:rPr>
          <w:rFonts w:ascii="Times New Roman" w:hAnsi="Times New Roman" w:eastAsia="黑体"/>
          <w:sz w:val="32"/>
          <w:szCs w:val="32"/>
        </w:rPr>
      </w:pPr>
      <w:r>
        <w:rPr>
          <w:rFonts w:ascii="Times New Roman" w:hAnsi="Times New Roman" w:eastAsia="黑体"/>
          <w:sz w:val="32"/>
          <w:szCs w:val="32"/>
        </w:rPr>
        <w:t>十五、备注</w:t>
      </w:r>
    </w:p>
    <w:p>
      <w:pPr>
        <w:spacing w:line="560" w:lineRule="exact"/>
        <w:rPr>
          <w:rFonts w:hint="default" w:ascii="Times New Roman" w:hAnsi="Times New Roman" w:eastAsia="方正仿宋_GBK" w:cs="Times New Roman"/>
          <w:sz w:val="32"/>
          <w:szCs w:val="32"/>
        </w:rPr>
      </w:pPr>
    </w:p>
    <w:p>
      <w:pPr>
        <w:spacing w:line="560" w:lineRule="exact"/>
        <w:rPr>
          <w:rFonts w:ascii="Times New Roman" w:hAnsi="Times New Roman" w:eastAsia="黑体"/>
          <w:sz w:val="32"/>
          <w:szCs w:val="32"/>
        </w:rPr>
      </w:pPr>
      <w:r>
        <w:rPr>
          <w:rFonts w:ascii="Times New Roman" w:hAnsi="Times New Roman" w:eastAsia="方正小标宋_GBK"/>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0318F"/>
    <w:multiLevelType w:val="singleLevel"/>
    <w:tmpl w:val="45C031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976BB"/>
    <w:rsid w:val="25025D66"/>
    <w:rsid w:val="30436C89"/>
    <w:rsid w:val="45870E24"/>
    <w:rsid w:val="5C5E2CAA"/>
    <w:rsid w:val="5C6F6CB7"/>
    <w:rsid w:val="5F29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2024-01-02T01:10:00Z</dcterms:created>
  <dc:creator>User</dc:creator>
  <cp:lastModifiedBy>514</cp:lastModifiedBy>
  <dcterms:modified xsi:type="dcterms:W3CDTF">2024-01-02T06:44:54Z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