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000000" w:themeColor="text1"/>
          <w:sz w:val="32"/>
          <w:szCs w:val="32"/>
          <w14:textFill>
            <w14:solidFill>
              <w14:schemeClr w14:val="tx1"/>
            </w14:solidFill>
          </w14:textFill>
        </w:rPr>
      </w:pPr>
      <w:r>
        <w:rPr>
          <w:rFonts w:ascii="Times New Roman" w:hAnsi="Times New Roman" w:eastAsia="方正小标宋_GBK"/>
          <w:color w:val="000000" w:themeColor="text1"/>
          <w:sz w:val="32"/>
          <w:szCs w:val="32"/>
          <w14:textFill>
            <w14:solidFill>
              <w14:schemeClr w14:val="tx1"/>
            </w14:solidFill>
          </w14:textFill>
        </w:rPr>
        <w:t>县级公安机关</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000000" w:themeColor="text1"/>
          <w:sz w:val="32"/>
          <w:szCs w:val="32"/>
          <w14:textFill>
            <w14:solidFill>
              <w14:schemeClr w14:val="tx1"/>
            </w14:solidFill>
          </w14:textFill>
        </w:rPr>
      </w:pPr>
      <w:bookmarkStart w:id="0" w:name="_GoBack"/>
      <w:r>
        <w:rPr>
          <w:rFonts w:ascii="Times New Roman" w:hAnsi="Times New Roman" w:eastAsia="方正小标宋_GBK"/>
          <w:color w:val="000000" w:themeColor="text1"/>
          <w:sz w:val="32"/>
          <w:szCs w:val="32"/>
          <w14:textFill>
            <w14:solidFill>
              <w14:schemeClr w14:val="tx1"/>
            </w14:solidFill>
          </w14:textFill>
        </w:rPr>
        <w:t>牧民配置枪支及枪支主要零部件、弹药许可</w:t>
      </w:r>
    </w:p>
    <w:bookmarkEnd w:id="0"/>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000000" w:themeColor="text1"/>
          <w:sz w:val="32"/>
          <w:szCs w:val="32"/>
          <w14:textFill>
            <w14:solidFill>
              <w14:schemeClr w14:val="tx1"/>
            </w14:solidFill>
          </w14:textFill>
        </w:rPr>
      </w:pPr>
      <w:r>
        <w:rPr>
          <w:rFonts w:ascii="Times New Roman" w:hAnsi="Times New Roman" w:eastAsia="方正小标宋_GBK"/>
          <w:color w:val="000000" w:themeColor="text1"/>
          <w:sz w:val="32"/>
          <w:szCs w:val="32"/>
          <w14:textFill>
            <w14:solidFill>
              <w14:schemeClr w14:val="tx1"/>
            </w14:solidFill>
          </w14:textFill>
        </w:rPr>
        <w:t>【000109106006】</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一、基本要素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民用枪支及枪支主要零部件、弹药配置许可【00010910600Y】</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牧民配置枪支及枪支主要零部件、弹药许可【000109106006】</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牧民配置枪支及枪支主要零部件、弹药许可【00010910600601】</w:t>
      </w:r>
    </w:p>
    <w:p>
      <w:pPr>
        <w:pageBreakBefore w:val="0"/>
        <w:numPr>
          <w:ilvl w:val="0"/>
          <w:numId w:val="1"/>
        </w:numPr>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设定依据</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《中华人民共和国枪支管理法》第三条国家严格管制枪</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支。禁止任何单位或者个人违反法律规定持有、制造（包括变造、装配）、买卖、运输、出租、出借枪支。……</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《中华人民共和国枪支管理法》第六条……猎民在猎区、</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牧民在牧区，可以申请配置猎枪。猎区和牧区的区域由省级人民政府划定。……</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《中华人民共和国枪支管理法》第十条……牧民申请配</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置猎枪的，应当凭个人身份证件，向所在地的县级人民政府公安机关提出。</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《中华人民共和国枪支管理法》第四十八条制造、配售、</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运输枪支的主要零部件和用于枪支的弹药，适用本法的有关规定。</w:t>
      </w:r>
    </w:p>
    <w:p>
      <w:pPr>
        <w:pageBreakBefore w:val="0"/>
        <w:numPr>
          <w:ilvl w:val="0"/>
          <w:numId w:val="1"/>
        </w:numPr>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实施依据</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《中华人民共和国枪支管理法》第三条国家严格管制枪支。禁止任何单位或者个人违反法律规定持有、制造（包括变造、装配）、买卖、运输、出租、出借枪支。……</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《中华人民共和国枪支管理法》第六条……猎民在猎区、牧民在牧区，可以申请配置猎枪。猎区和牧区的区域由省级人民政府划定。……</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《中华人民共和国枪支管理法》第十条……牧民申请配置猎枪的，应当凭个人身份证件，向所在地的县级人民政府公安机关提出。</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三条配备、配置枪支的单位和个人必须妥善保管枪支，确保枪支安全。配备、配置枪支的单位，必须明确枪支管理责任，指定专人负责，应当有牢固的专用保管设施，枪支、弹药应当分开存放。对交由个人使用的枪支，必须建立严格的枪支登记、交接、检查、保养等管理制度，使用完毕，及时收回。配备、配置给个人使用的枪支，必须采取有效措施，严防被盗、被抢、丢失或者发生其他事故。</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《中华人民共和国枪支管理法》第四十八条制造、配售、运输枪支的主要零部件和用于枪支的弹药，适用本法的有关规定。</w:t>
      </w:r>
    </w:p>
    <w:p>
      <w:pPr>
        <w:pageBreakBefore w:val="0"/>
        <w:numPr>
          <w:ilvl w:val="0"/>
          <w:numId w:val="1"/>
        </w:numPr>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监管依据</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《中华人民共和国枪支管理法》第十二条……猎民、牧民配置的猎枪不得携带出猎区、牧区。</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三条配备、配置枪支的单位和个人必须妥善保管枪支，确保枪支安全。配备、配置枪支的单位，必须明确枪支管理责任，指定专人负责，应当有牢固的专用保管设施，枪支、弹药应当分开存放。对交由个人使用的枪支，必须建立严格的枪支登记、交接、检查、保养等管理制度，使用完毕，及时收回。配备、配置给个人使用的枪支，必须采取有效措施，严防被盗、被抢、丢失或者发生其他事故。</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五条配备、配置枪支的单位和个人必须遵守下列规定：（一）携带枪支必须同时携带持枪证件，未携带持枪证件的，由公安机关扣留枪支；（二）不得在禁止携带枪支的区域、场所携带枪支；（三）枪支被盗、被抢或者丢失的，立即报告公安机关。</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八条国家对枪支实行查验制度。持有枪支的单位和个人，应当在公安机关指定的时间、地点接受查验。公安机关在查验时，必须严格审查持枪单位和个人是否符合本法规定的条件，检查枪支状况及使用情况；对违法使用枪支、不符合持枪条件或者枪支应当报废的，必须收缴枪支和持枪证件。拒不接受查验的，枪支和持枪证件由公安机关收缴。</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四十三条……配置民用枪支的单位，违反枪支管理规定，出租、出借枪支，造成严重后果或者有其他严重情节的，对其直接负责的主管人员和其他直接责任人员依照刑法有关规定处罚。</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置民用枪支的个人，违反枪支管理规定，出租、出借枪支，造成严重后果的，依照刑法有关规定处罚。违反枪支管理规定，出租、出借枪支，情节轻微未构成犯罪的，由公安机关对个人或者单位负有直接责任的主管人员和其他直接责任人员处十五日以下拘留，可以并处五千元以下罚款；对出租、出借的枪支，应当予以没收。</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7.实施机关：</w:t>
      </w:r>
      <w:r>
        <w:rPr>
          <w:rFonts w:ascii="Times New Roman" w:hAnsi="Times New Roman" w:eastAsia="方正仿宋_GBK"/>
          <w:color w:val="000000" w:themeColor="text1"/>
          <w:sz w:val="32"/>
          <w:szCs w:val="32"/>
          <w14:textFill>
            <w14:solidFill>
              <w14:schemeClr w14:val="tx1"/>
            </w14:solidFill>
          </w14:textFill>
        </w:rPr>
        <w:t>县级公安机关</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8.审批层级：</w:t>
      </w:r>
      <w:r>
        <w:rPr>
          <w:rFonts w:hint="eastAsia" w:ascii="Times New Roman" w:hAnsi="Times New Roman" w:eastAsia="方正仿宋_GBK"/>
          <w:color w:val="000000" w:themeColor="text1"/>
          <w:sz w:val="32"/>
          <w:szCs w:val="32"/>
          <w14:textFill>
            <w14:solidFill>
              <w14:schemeClr w14:val="tx1"/>
            </w14:solidFill>
          </w14:textFill>
        </w:rPr>
        <w:t>市</w:t>
      </w:r>
      <w:r>
        <w:rPr>
          <w:rFonts w:ascii="Times New Roman" w:hAnsi="Times New Roman" w:eastAsia="方正仿宋_GBK"/>
          <w:color w:val="000000" w:themeColor="text1"/>
          <w:sz w:val="32"/>
          <w:szCs w:val="32"/>
          <w14:textFill>
            <w14:solidFill>
              <w14:schemeClr w14:val="tx1"/>
            </w14:solidFill>
          </w14:textFill>
        </w:rPr>
        <w:t>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9.行使层级：</w:t>
      </w:r>
      <w:r>
        <w:rPr>
          <w:rFonts w:ascii="Times New Roman" w:hAnsi="Times New Roman" w:eastAsia="方正仿宋_GBK"/>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10.是否由审批机关受理：</w:t>
      </w:r>
      <w:r>
        <w:rPr>
          <w:rFonts w:hint="eastAsia"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11.受理层级：</w:t>
      </w:r>
      <w:r>
        <w:rPr>
          <w:rFonts w:ascii="Times New Roman" w:hAnsi="Times New Roman" w:eastAsia="方正仿宋_GBK"/>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12.是否存在初审环节：</w:t>
      </w:r>
      <w:r>
        <w:rPr>
          <w:rFonts w:hint="eastAsia" w:ascii="Times New Roman" w:hAnsi="Times New Roman" w:eastAsia="方正仿宋_GBK"/>
          <w:color w:val="000000" w:themeColor="text1"/>
          <w:sz w:val="32"/>
          <w:szCs w:val="32"/>
          <w14:textFill>
            <w14:solidFill>
              <w14:schemeClr w14:val="tx1"/>
            </w14:solidFill>
          </w14:textFill>
        </w:rPr>
        <w:t>是</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highlight w:val="yellow"/>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13.初审层级：</w:t>
      </w:r>
      <w:r>
        <w:rPr>
          <w:rFonts w:ascii="Times New Roman" w:hAnsi="Times New Roman" w:eastAsia="方正仿宋_GBK"/>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3"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14.对应政务服务事项国家级基本目录名称：</w:t>
      </w:r>
      <w:r>
        <w:rPr>
          <w:rFonts w:ascii="Times New Roman" w:hAnsi="Times New Roman" w:eastAsia="方正仿宋_GBK"/>
          <w:color w:val="000000" w:themeColor="text1"/>
          <w:sz w:val="32"/>
          <w:szCs w:val="32"/>
          <w14:textFill>
            <w14:solidFill>
              <w14:schemeClr w14:val="tx1"/>
            </w14:solidFill>
          </w14:textFill>
        </w:rPr>
        <w:t>民用枪支（弹药）配置许可</w:t>
      </w:r>
    </w:p>
    <w:p>
      <w:pPr>
        <w:pageBreakBefore w:val="0"/>
        <w:kinsoku/>
        <w:wordWrap/>
        <w:overflowPunct/>
        <w:topLinePunct w:val="0"/>
        <w:autoSpaceDE/>
        <w:autoSpaceDN/>
        <w:bidi w:val="0"/>
        <w:spacing w:line="576" w:lineRule="exact"/>
        <w:ind w:left="0" w:leftChars="0" w:firstLine="643"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15.要素统一情况：</w:t>
      </w:r>
      <w:r>
        <w:rPr>
          <w:rFonts w:ascii="Times New Roman" w:hAnsi="Times New Roman" w:eastAsia="方正仿宋_GBK"/>
          <w:color w:val="000000" w:themeColor="text1"/>
          <w:sz w:val="32"/>
          <w:szCs w:val="32"/>
          <w14:textFill>
            <w14:solidFill>
              <w14:schemeClr w14:val="tx1"/>
            </w14:solidFill>
          </w14:textFill>
        </w:rPr>
        <w:t>全省要素统一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条件型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三、行政许可条件</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1.准予行政许可的条件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（1）具备牧民身份；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（2）掌握枪支性能；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（3）具备妥善保管枪支、确保枪支安全的条件。</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（1）《中华人民共和国枪支管理法》第六条下列单位可以配置民用枪支：……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猎民在猎区、牧民在牧区，可以申请配置猎枪。猎区和牧区的区域由省级人民政府划定。……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（2）《中华人民共和国枪支管理法》第十条……牧民申请配置猎枪的，应当凭个人身份证件，向所在地的县级人民政府公安机关提出。……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（3）《中华人民共和国枪支管理法》第二十三条配备、配置枪支的单位和个人必须妥善保管枪支，确保枪支安全。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枪支的单位，必须明确枪支管理责任，指定专人负责，应当有牢固的专用保管设施，枪支、弹药应当分开存放。对交由个人使用的枪支，必须建立严格的枪支登记、交接、检查、保养等管理制度，使用完毕，及时收回。</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配备、配置给个人使用的枪支，必须采取有效措施，严防被盗、被抢、丢失或者发生其他事故。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四、行政许可服务对象类型与改革举措</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1.服务对象类型：</w:t>
      </w:r>
      <w:r>
        <w:rPr>
          <w:rFonts w:ascii="Times New Roman" w:hAnsi="Times New Roman" w:eastAsia="方正仿宋_GBK"/>
          <w:color w:val="000000" w:themeColor="text1"/>
          <w:sz w:val="32"/>
          <w:szCs w:val="32"/>
          <w14:textFill>
            <w14:solidFill>
              <w14:schemeClr w14:val="tx1"/>
            </w14:solidFill>
          </w14:textFill>
        </w:rPr>
        <w:t>自然人</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2.是否为涉企许可事项：</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3.涉企经营许可事项名称：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4.许可证件名称：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5.改革方式：</w:t>
      </w:r>
      <w:r>
        <w:rPr>
          <w:rFonts w:ascii="Times New Roman" w:hAnsi="Times New Roman" w:eastAsia="方正仿宋_GBK"/>
          <w:color w:val="000000" w:themeColor="text1"/>
          <w:sz w:val="32"/>
          <w:szCs w:val="32"/>
          <w14:textFill>
            <w14:solidFill>
              <w14:schemeClr w14:val="tx1"/>
            </w14:solidFill>
          </w14:textFill>
        </w:rPr>
        <w:t>优化审批服务</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6.具体改革举措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将承诺审批时限由20个工作日压减至</w:t>
      </w:r>
      <w:r>
        <w:rPr>
          <w:rFonts w:hint="eastAsia" w:ascii="Times New Roman" w:hAnsi="Times New Roman" w:eastAsia="方正仿宋_GBK"/>
          <w:color w:val="000000" w:themeColor="text1"/>
          <w:sz w:val="32"/>
          <w:szCs w:val="32"/>
          <w14:textFill>
            <w14:solidFill>
              <w14:schemeClr w14:val="tx1"/>
            </w14:solidFill>
          </w14:textFill>
        </w:rPr>
        <w:t>即办</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是加大日常监督检查力度，坚持全面检查和重点抽查相结合，合理确定抽查比例和频次。二是不断强化信用监管，建立健全从准入到退出的全过程信用监管体制，探索将违规行为记入信用记录，实行失信联合惩戒；三是加大监管工作科技投入，推行“互联网+监管”，依托信息化等手段对有关数据进行核查，发现问题及时责令整改；四是及时处理投诉举报，依法查处违法违规行为；五是加强监管工作协作，推动不同监管部门之间数据共享，提升监管效能。</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五、申请材料</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1.申请材料名称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（1）配置枪支书面申请；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（2）牧民个人身份证件；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（3）枪支保管条件材料。</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（1）《中华人民共和国枪支管理法》第六条下列单位可以配置民用枪支：……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猎民在猎区、牧民在牧区，可以申请配置猎枪。猎区和牧区的区域由省级人民政府划定。……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（2）《中华人民共和国枪支管理法》第十条……牧民申请配置猎枪的，应当凭个人身份证件，向所在地的县级人民政府公安机关提出。……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（3）《中华人民共和国枪支管理法》第二十三条配备、配置枪支的单位和个人必须妥善保管枪支，确保枪支安全。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枪支的单位，必须明确枪支管理责任，指定专人负责，应当有牢固的专用保管设施，枪支、弹药应当分开存放。对交由个人使用的枪支，必须建立严格的枪支登记、交接、检查、保养等管理制度，使用完毕，及时收回。</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配备、配置给个人使用的枪支，必须采取有效措施，严防被盗、被抢、丢失或者发生其他事故。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六、中介服务</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1.有无法定中介服务事项：</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2.中介服务事项名称：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3.设定中介服务事项的依据：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4.提供中介服务的机构：</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5.中介服务事项的收费性质：</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七、审批程序</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（1）申请人书面申请；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（2）审批机构受理/不予受理；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（3）审批机构审查；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（4）决定批准许可/不予批准许可。</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（1）《中华人民共和国枪支管理法》第十条……猎民申请配置猎枪的，应当凭其所在地的县级人民政府野生动物行政主管部门核发的狩猎证和个人身份证件，向所在地的县级人民政府公安机关提出；……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受理申请的公安机关审查批准后，应当报请设区的市级人民政府公安机关核发民用枪支配购证件。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（2）《中华人民共和国行政许可法》第三十二条行政机关对申请人提出的行政许可申请，应当根据下列情况分别作出处理：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（一）申请事项依法不需要取得行政许可的，应当即时告知申请人不受理；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（二）申请事项依法不属于本行政机关职权范围的，应当即时作出不予受理的决定，并告知申请人向有关行政机关申请；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（三）申请材料存在可以当场更正的错误的，应当允许申请人当场更正；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行政机关受理或者不予受理行政许可申请，应当出具加盖本行政机关专用印章和注明日期的书面凭证。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（3）《中华人民共和国行政许可法》第三十四条行政机关应当对申请人提交的申请材料进行审查。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申请人提交的申请材料齐全、符合法定形式，行政机关能够当场作出决定的，应当当场作出书面的行政许可决定。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根据法定条件和程序，需要对申请材料的实质内容进行核实的，行政机关应当指派两名以上工作人员进行核查。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（4）《中华人民共和国行政许可法》第三十七条行政机关对行政许可申请进行审查后，除当场作出行政许可决定的外，应当在法定期限内按照规定程序作出行政许可决定。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（5）《中华人民共和国行政许可法》第三十八条申请人的申请符合法定条件、标准的，行政机关应当依法作出准予行政许可的书面决定。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行政机关依法作出不予行政许可的书面决定的，应当说明理由，并告知申请人享有依法申请行政复议或者提起行政诉讼的权利。</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3.是否需要现场勘验：</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4.是否需要组织听证：</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5.是否需要招标、拍卖、挂牌交易：</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6.是否需要检验、检测、检疫：</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7.是否需要鉴定：</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8.是否需要专家评审：</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9.是否需要向社会公示：</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10.是否实行告知承诺办理：</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11.审批机关是否委托服务机构开展技术性服务：</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八、受理和审批时限</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1.承诺受理时限：</w:t>
      </w:r>
      <w:r>
        <w:rPr>
          <w:rFonts w:hint="eastAsia" w:ascii="Times New Roman" w:hAnsi="Times New Roman" w:eastAsia="方正仿宋_GBK"/>
          <w:color w:val="000000" w:themeColor="text1"/>
          <w:sz w:val="32"/>
          <w:szCs w:val="32"/>
          <w14:textFill>
            <w14:solidFill>
              <w14:schemeClr w14:val="tx1"/>
            </w14:solidFill>
          </w14:textFill>
        </w:rPr>
        <w:t>当场办理</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2.法定审批时限：</w:t>
      </w:r>
      <w:r>
        <w:rPr>
          <w:rFonts w:ascii="Times New Roman" w:hAnsi="Times New Roman" w:eastAsia="方正仿宋_GBK"/>
          <w:color w:val="000000" w:themeColor="text1"/>
          <w:sz w:val="32"/>
          <w:szCs w:val="32"/>
          <w14:textFill>
            <w14:solidFill>
              <w14:schemeClr w14:val="tx1"/>
            </w14:solidFill>
          </w14:textFill>
        </w:rPr>
        <w:t>20个工作日</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4.承诺审批时限：</w:t>
      </w:r>
      <w:r>
        <w:rPr>
          <w:rFonts w:hint="eastAsia" w:ascii="Times New Roman" w:hAnsi="Times New Roman" w:eastAsia="方正仿宋_GBK"/>
          <w:color w:val="000000" w:themeColor="text1"/>
          <w:sz w:val="32"/>
          <w:szCs w:val="32"/>
          <w14:textFill>
            <w14:solidFill>
              <w14:schemeClr w14:val="tx1"/>
            </w14:solidFill>
          </w14:textFill>
        </w:rPr>
        <w:t>即办</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九、收费</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1.办理行政许可是否收费：</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2.收费项目的名称、收费项目的标准、设定收费项目的依据、规定收费标准的依据：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十、行政许可证件</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1.审批结果类型：</w:t>
      </w:r>
      <w:r>
        <w:rPr>
          <w:rFonts w:ascii="Times New Roman" w:hAnsi="Times New Roman" w:eastAsia="方正仿宋_GBK"/>
          <w:color w:val="000000" w:themeColor="text1"/>
          <w:sz w:val="32"/>
          <w:szCs w:val="32"/>
          <w14:textFill>
            <w14:solidFill>
              <w14:schemeClr w14:val="tx1"/>
            </w14:solidFill>
          </w14:textFill>
        </w:rPr>
        <w:t>批文</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2.审批结果名称：</w:t>
      </w:r>
      <w:r>
        <w:rPr>
          <w:rFonts w:ascii="Times New Roman" w:hAnsi="Times New Roman" w:eastAsia="方正仿宋_GBK"/>
          <w:color w:val="000000" w:themeColor="text1"/>
          <w:sz w:val="32"/>
          <w:szCs w:val="32"/>
          <w14:textFill>
            <w14:solidFill>
              <w14:schemeClr w14:val="tx1"/>
            </w14:solidFill>
          </w14:textFill>
        </w:rPr>
        <w:t>批准文件</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3.审批结果的有效期限：</w:t>
      </w:r>
      <w:r>
        <w:rPr>
          <w:rFonts w:ascii="Times New Roman" w:hAnsi="Times New Roman" w:eastAsia="方正仿宋_GBK"/>
          <w:color w:val="000000" w:themeColor="text1"/>
          <w:sz w:val="32"/>
          <w:szCs w:val="32"/>
          <w14:textFill>
            <w14:solidFill>
              <w14:schemeClr w14:val="tx1"/>
            </w14:solidFill>
          </w14:textFill>
        </w:rPr>
        <w:t>无期限</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4.规定审批结果有效期限的依据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八条……公安机关在查验时，必须严格审查持枪单位和个人是否符合本法规定的条件，检查枪支状况及使用情况；对违法使用枪支、不符合持枪条件或者枪支应当报废的，必须收缴枪支和持枪证件。……</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5.是否需要办理审批结果变更手续：</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6.办理审批结果变更手续的要求：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7.是否需要办理审批结果延续手续：</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8.办理审批结果延续手续的要求：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9.审批结果的有效地域范围：</w:t>
      </w:r>
      <w:r>
        <w:rPr>
          <w:rFonts w:ascii="Times New Roman" w:hAnsi="Times New Roman" w:eastAsia="方正仿宋_GBK"/>
          <w:color w:val="000000" w:themeColor="text1"/>
          <w:sz w:val="32"/>
          <w:szCs w:val="32"/>
          <w14:textFill>
            <w14:solidFill>
              <w14:schemeClr w14:val="tx1"/>
            </w14:solidFill>
          </w14:textFill>
        </w:rPr>
        <w:t>全国</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10.规定审批结果有效地域范围的依据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《中华人民共和国行政许可法》第四十一条法律、行政法规设定的行政许可，其适用范围没有地域限制的，申请人取得的行政许可在全国范围内有效。</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十一、行政许可数量限制</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1.有无行政许可数量限制：</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2.公布数量限制的方式：</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3.公布数量限制的周期：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4.在数量限制条件下实施行政许可的方式：</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5.规定在数量限制条件下实施行政许可方式的依据：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十二、行政许可后年检</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1.有无年检要求：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2.设定年检要求的依据：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3.年检周期：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4.年检是否要求报送材料：</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5.年检报送材料名称：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6.年检是否收费：</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7.年检收费项目的名称、年检收费项目的标准、设定年检收费项目的依据、规定年检项目收费标准的依据：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8.通过年检的证明或者标志：</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十三、行政许可后年报</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1.有无年报要求：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2.年报报送材料名称：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3.设定年报要求的依据：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4.年报周期：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十四、监管主体</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市公安局、</w:t>
      </w:r>
      <w:r>
        <w:rPr>
          <w:rFonts w:ascii="Times New Roman" w:hAnsi="Times New Roman" w:eastAsia="方正仿宋_GBK"/>
          <w:color w:val="000000" w:themeColor="text1"/>
          <w:sz w:val="32"/>
          <w:szCs w:val="32"/>
          <w14:textFill>
            <w14:solidFill>
              <w14:schemeClr w14:val="tx1"/>
            </w14:solidFill>
          </w14:textFill>
        </w:rPr>
        <w:t>县级公安机关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十五、备注</w:t>
      </w:r>
    </w:p>
    <w:p>
      <w:pPr>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90A37"/>
    <w:multiLevelType w:val="singleLevel"/>
    <w:tmpl w:val="87190A37"/>
    <w:lvl w:ilvl="0" w:tentative="0">
      <w:start w:val="1"/>
      <w:numFmt w:val="decimal"/>
      <w:suff w:val="nothing"/>
      <w:lvlText w:val="（%1）"/>
      <w:lvlJc w:val="left"/>
    </w:lvl>
  </w:abstractNum>
  <w:abstractNum w:abstractNumId="1">
    <w:nsid w:val="9DAD9A47"/>
    <w:multiLevelType w:val="singleLevel"/>
    <w:tmpl w:val="9DAD9A47"/>
    <w:lvl w:ilvl="0" w:tentative="0">
      <w:start w:val="4"/>
      <w:numFmt w:val="decimal"/>
      <w:lvlText w:val="%1."/>
      <w:lvlJc w:val="left"/>
      <w:pPr>
        <w:tabs>
          <w:tab w:val="left" w:pos="312"/>
        </w:tabs>
        <w:ind w:left="-140"/>
      </w:pPr>
    </w:lvl>
  </w:abstractNum>
  <w:abstractNum w:abstractNumId="2">
    <w:nsid w:val="3D940AEF"/>
    <w:multiLevelType w:val="singleLevel"/>
    <w:tmpl w:val="3D940AEF"/>
    <w:lvl w:ilvl="0" w:tentative="0">
      <w:start w:val="1"/>
      <w:numFmt w:val="decimal"/>
      <w:suff w:val="nothing"/>
      <w:lvlText w:val="（%1）"/>
      <w:lvlJc w:val="left"/>
      <w:pPr>
        <w:ind w:left="700" w:firstLine="0"/>
      </w:pPr>
    </w:lvl>
  </w:abstractNum>
  <w:abstractNum w:abstractNumId="3">
    <w:nsid w:val="6161FBF8"/>
    <w:multiLevelType w:val="singleLevel"/>
    <w:tmpl w:val="6161FBF8"/>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E299D"/>
    <w:rsid w:val="25025D66"/>
    <w:rsid w:val="45870E24"/>
    <w:rsid w:val="477E299D"/>
    <w:rsid w:val="5C5E2CAA"/>
    <w:rsid w:val="5C6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2024-01-02T01:08:00Z</dcterms:created>
  <dc:creator>User</dc:creator>
  <cp:lastModifiedBy>User</cp:lastModifiedBy>
  <dcterms:modified xsi:type="dcterms:W3CDTF">2024-01-02T01:08:33Z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