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640" w:firstLineChars="200"/>
        <w:jc w:val="center"/>
        <w:textAlignment w:val="auto"/>
        <w:outlineLvl w:val="1"/>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野生动物保护、饲养、科研单位配置枪支及枪支主要</w:t>
      </w:r>
    </w:p>
    <w:p>
      <w:pPr>
        <w:pageBreakBefore w:val="0"/>
        <w:kinsoku/>
        <w:wordWrap/>
        <w:overflowPunct/>
        <w:topLinePunct w:val="0"/>
        <w:autoSpaceDE/>
        <w:autoSpaceDN/>
        <w:bidi w:val="0"/>
        <w:spacing w:line="576" w:lineRule="exact"/>
        <w:ind w:left="0" w:leftChars="0" w:firstLine="640" w:firstLineChars="200"/>
        <w:jc w:val="center"/>
        <w:textAlignment w:val="auto"/>
        <w:outlineLvl w:val="1"/>
        <w:rPr>
          <w:rFonts w:ascii="Times New Roman" w:hAnsi="Times New Roman" w:eastAsia="方正小标宋_GBK"/>
          <w:color w:val="000000" w:themeColor="text1"/>
          <w:sz w:val="32"/>
          <w:szCs w:val="32"/>
          <w14:textFill>
            <w14:solidFill>
              <w14:schemeClr w14:val="tx1"/>
            </w14:solidFill>
          </w14:textFill>
        </w:rPr>
      </w:pPr>
      <w:bookmarkStart w:id="0" w:name="_GoBack"/>
      <w:bookmarkEnd w:id="0"/>
      <w:r>
        <w:rPr>
          <w:rFonts w:ascii="Times New Roman" w:hAnsi="Times New Roman" w:eastAsia="方正小标宋_GBK"/>
          <w:color w:val="000000" w:themeColor="text1"/>
          <w:sz w:val="32"/>
          <w:szCs w:val="32"/>
          <w14:textFill>
            <w14:solidFill>
              <w14:schemeClr w14:val="tx1"/>
            </w14:solidFill>
          </w14:textFill>
        </w:rPr>
        <w:t>零部件、弹药许可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r>
        <w:rPr>
          <w:rFonts w:ascii="Times New Roman" w:hAnsi="Times New Roman" w:eastAsia="方正小标宋_GBK"/>
          <w:color w:val="000000" w:themeColor="text1"/>
          <w:sz w:val="32"/>
          <w:szCs w:val="32"/>
          <w14:textFill>
            <w14:solidFill>
              <w14:schemeClr w14:val="tx1"/>
            </w14:solidFill>
          </w14:textFill>
        </w:rPr>
        <w:t>【000109106004】</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一、基本要素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民用枪支及枪支主要零部件、弹药配置许可【00010910600Y】</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野生动物保护、饲养、科研单位配置枪支及枪支主要零部件、弹药许可【000109106004】</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野生动物保护、饲养、科研单位配置枪支及枪支主要零部件、弹药许可【00010910600401】</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设定依据</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《中华人民共和国枪支管理法》第六条下列单位可以配置民用枪支：……（三）野生动物保护、饲养、科研单位因业务需要，可以配置猎枪、麻醉注射枪。……</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条野生动物保护、饲养、科研单位申请配置猎枪、麻醉注射枪的，应当凭其所在地的县级人民政府野生动物行政主管部门核发的狩猎证或者特许猎捕证和单位营业执照，向所在地的县级人民政府公安机关提出；……</w:t>
      </w:r>
    </w:p>
    <w:p>
      <w:pPr>
        <w:pageBreakBefore w:val="0"/>
        <w:numPr>
          <w:ilvl w:val="0"/>
          <w:numId w:val="2"/>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《中华人民共和国枪支管理法》第四十八条制造、配售、运输枪支的主要零部件和用于枪支的弹药，适用本法的有关规定。</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实施依据</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《中华人民共和国枪支管理法》第三条国家严格管制枪支。禁止任何单位或者个人违反法律规定持有、制造（包括变造、装配）、买卖、运输、出租、出借枪支。……</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《中华人民共和国枪支管理法》第六条下列单位可以配置民用枪支：……（三）野生动物保护、饲养、科研单位因业务需要，可以配置猎枪、麻醉注射枪。……</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十条野生动物保护、饲养、科研单位申请配置猎枪、麻醉注射枪的，应当凭其所在地的县级人民政府野生动物行政主管部门核发的狩猎证或者特许猎捕证和单位营业执照，向所在地的县级人民政府公安机关提出；……</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3"/>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《中华人民共和国枪支管理法》第四十八条制造、配售、运输枪支的主要零部件和用于枪支的弹药，适用本法的有关规定。</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监管依据</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三条配备、配置枪支的单位和个人必须妥善保管枪支，确保枪支安全。配备、配置枪支的单位，必须明确枪支管理责任，指定专人负责，应当有牢固的专用保管设施，枪支、弹药应当分开存放。对交由个人使用的枪支，必须建立严格的枪支登记、交接、检查、保养等管理制度，使用完毕，及时收回。配备、配置给个人使用的枪支，必须采取有效措施，严防被盗、被抢、丢失或者发生其他事故。</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五条配备、配置枪支的单位和个人必须遵守下列规定：（一）携带枪支必须同时携带持枪证件，未携带持枪证件的，由公安机关扣留枪支；（二）不得在禁止携带枪支的区域、场所携带枪支；（三）枪支被盗、被抢或者丢失的，立即报告公安机关。</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p>
      <w:pPr>
        <w:pageBreakBefore w:val="0"/>
        <w:numPr>
          <w:ilvl w:val="0"/>
          <w:numId w:val="4"/>
        </w:numPr>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四十三条……配置民用枪支的单位，违反枪支管理规定，出租、出借枪支，造成严重后果或者有其他严重情节的，对其直接负责的主管人员和其他直接责任人员依照刑法有关规定处罚。</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置民用枪支的个人，违反枪支管理规定，出租、出借枪支，造成严重后果的，依照刑法有关规定处罚。违反枪支管理规定，出租、出借枪支，情节轻微未构成犯罪的，由公安机关对个人或者单位负有直接责任的主管人员和其他直接责任人员处十五日以下拘留，可以并处五千元以下罚款；对出租、出借的枪支，应当予以没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7.实施机关：</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8.审批层级：</w:t>
      </w:r>
      <w:r>
        <w:rPr>
          <w:rFonts w:hint="eastAsia" w:ascii="Times New Roman" w:hAnsi="Times New Roman" w:eastAsia="方正仿宋_GBK"/>
          <w:color w:val="000000" w:themeColor="text1"/>
          <w:sz w:val="32"/>
          <w:szCs w:val="32"/>
          <w14:textFill>
            <w14:solidFill>
              <w14:schemeClr w14:val="tx1"/>
            </w14:solidFill>
          </w14:textFill>
        </w:rPr>
        <w:t>市</w:t>
      </w:r>
      <w:r>
        <w:rPr>
          <w:rFonts w:ascii="Times New Roman" w:hAnsi="Times New Roman" w:eastAsia="方正仿宋_GBK"/>
          <w:color w:val="000000" w:themeColor="text1"/>
          <w:sz w:val="32"/>
          <w:szCs w:val="32"/>
          <w14:textFill>
            <w14:solidFill>
              <w14:schemeClr w14:val="tx1"/>
            </w14:solidFill>
          </w14:textFill>
        </w:rPr>
        <w:t>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9.行使层级：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10.是否由审批机关受理：</w:t>
      </w:r>
      <w:r>
        <w:rPr>
          <w:rFonts w:hint="eastAsia"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11.受理层级：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12.是否存在初审环节：</w:t>
      </w:r>
      <w:r>
        <w:rPr>
          <w:rFonts w:hint="eastAsia" w:ascii="Times New Roman" w:hAnsi="Times New Roman" w:eastAsia="方正仿宋_GBK"/>
          <w:color w:val="000000" w:themeColor="text1"/>
          <w:sz w:val="32"/>
          <w:szCs w:val="32"/>
          <w14:textFill>
            <w14:solidFill>
              <w14:schemeClr w14:val="tx1"/>
            </w14:solidFill>
          </w14:textFill>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highlight w:val="yellow"/>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13.初审层级：</w:t>
      </w:r>
      <w:r>
        <w:rPr>
          <w:rFonts w:ascii="Times New Roman" w:hAnsi="Times New Roman" w:eastAsia="方正仿宋_GBK"/>
          <w:color w:val="000000" w:themeColor="text1"/>
          <w:sz w:val="32"/>
          <w:szCs w:val="32"/>
          <w14:textFill>
            <w14:solidFill>
              <w14:schemeClr w14:val="tx1"/>
            </w14:solidFill>
          </w14:textFill>
        </w:rPr>
        <w:t>县级</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14.对应政务服务事项国家级基本目录名称：</w:t>
      </w:r>
      <w:r>
        <w:rPr>
          <w:rFonts w:ascii="Times New Roman" w:hAnsi="Times New Roman" w:eastAsia="方正仿宋_GBK"/>
          <w:color w:val="000000" w:themeColor="text1"/>
          <w:sz w:val="32"/>
          <w:szCs w:val="32"/>
          <w14:textFill>
            <w14:solidFill>
              <w14:schemeClr w14:val="tx1"/>
            </w14:solidFill>
          </w14:textFill>
        </w:rPr>
        <w:t>民用枪支（弹药）配置许可</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15.要素统一情况：</w:t>
      </w:r>
      <w:r>
        <w:rPr>
          <w:rFonts w:ascii="Times New Roman" w:hAnsi="Times New Roman" w:eastAsia="方正仿宋_GBK"/>
          <w:color w:val="000000" w:themeColor="text1"/>
          <w:sz w:val="32"/>
          <w:szCs w:val="32"/>
          <w14:textFill>
            <w14:solidFill>
              <w14:schemeClr w14:val="tx1"/>
            </w14:solidFill>
          </w14:textFill>
        </w:rPr>
        <w:t>全省要素统一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三、行政许可条件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（1）野生动物保护、饲养、科研单位因业务需要；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（2）具有所在地县级人民政府野生动物行政主管部门核发的狩猎证或者特许猎捕证；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（3）有专门的枪支管理人员并建立枪弹管理制度；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（4）具备牢固的专用保管设施，枪支、弹药分开存放。</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（1）《中华人民共和国枪支管理法》第六条下列单位可以配置民用枪支：……（三）野生动物保护、饲养、科研单位因业务需要，可以配置猎枪、麻醉注射枪。……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十条野生动物保护、饲养、科研单位申请配置猎枪、麻醉注射枪的，应当凭其所在地的县级人民政府野生动物行政主管部门核发的狩猎证或者特许猎捕证和单位营业执照，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1.服务对象类型：</w:t>
      </w:r>
      <w:r>
        <w:rPr>
          <w:rFonts w:ascii="Times New Roman" w:hAnsi="Times New Roman" w:eastAsia="方正仿宋_GBK"/>
          <w:color w:val="000000" w:themeColor="text1"/>
          <w:sz w:val="32"/>
          <w:szCs w:val="32"/>
          <w14:textFill>
            <w14:solidFill>
              <w14:schemeClr w14:val="tx1"/>
            </w14:solidFill>
          </w14:textFill>
        </w:rPr>
        <w:t>企业法人,事业单位法人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2.是否为涉企许可事项：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3.涉企经营许可事项名称：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4.许可证件名称：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5.改革方式：</w:t>
      </w:r>
      <w:r>
        <w:rPr>
          <w:rFonts w:ascii="Times New Roman" w:hAnsi="Times New Roman" w:eastAsia="方正仿宋_GBK"/>
          <w:color w:val="000000" w:themeColor="text1"/>
          <w:sz w:val="32"/>
          <w:szCs w:val="32"/>
          <w14:textFill>
            <w14:solidFill>
              <w14:schemeClr w14:val="tx1"/>
            </w14:solidFill>
          </w14:textFill>
        </w:rPr>
        <w:t>优化审批服务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6.具体改革举措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将承诺审批时限由20个工作日压减至</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是加大日常监督检查力度，坚持全面检查和重点抽查相结合，合理确定抽查比例和频次。二是不断强化信用监管，建立健全从准入到退出的全过程信用监管体制，探索将违规行为记入信用记录，实行失信联合惩戒；三是加大监管工作科技投入，推行“互联网+监管”，依托信息化等手段对有关数据进行核查，发现问题及时责令整改；四是及时处理投诉举报，依法查处违法违规行为；五是加强监管工作协作，推动不同监管部门之间数据共享，提升监管效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五、申请材料</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（1）野生动物保护、饲养、科研单位配置枪支申请文件；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（2）所在地的县级人民政府野生动物行政主管部门核发的狩猎证或特许猎捕证和单位营业执照；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（3）枪支管理人员和枪弹管理制度情况材料；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（4）具备符合安全标准的枪支弹药库（室、柜）材料。</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（1）《中华人民共和国枪支管理法》第六条下列单位可以配置民用枪支：……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（三）野生动物保护、饲养、科研单位因业务需要，可以配置猎枪、麻醉注射枪。……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枪支管理法》第十条野生动物保护、饲养、科研单位申请配置猎枪、麻醉注射枪的，应当凭其所在地的县级人民政府野生动物行政主管部门核发的狩猎证或者特许猎捕证和单位营业执照，向所在地的县级人民政府公安机关提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（3）《中华人民共和国枪支管理法》第二十三条配备、配置枪支的单位和个人必须妥善保管枪支，确保枪支安全。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枪支的单位，必须明确枪支管理责任，指定专人负责，应当有牢固的专用保管设施，枪支、弹药应当分开存放。对交由个人使用的枪支，必须建立严格的枪支登记、交接、检查、保养等管理制度，使用完毕，及时收回。</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配备、配置给个人使用的枪支，必须采取有效措施，严防被盗、被抢、丢失或者发生其他事故。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1.有无法定中介服务事项：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2.中介服务事项名称：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3.设定中介服务事项的依据：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4.提供中介服务的机构：</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5.中介服务事项的收费性质：</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七、审批程序</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（1）申请人书面申请；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（4）决定批准许可/不予批准许可。</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中华人民共和国枪支管理法》第十条野生动物保护、饲养、科研单位申请配置猎枪、麻醉注射枪的，应当凭其所在地的县级人民政府野生动物行政主管部门核发的狩猎证或者特许猎捕证和单位营业执照，向所在地的县级人民政府公安机关提出；受理申请的公安机关审查批准后，应当报请设区的市级人民政府公安机关核发民用枪支配购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（2）《中华人民共和国行政许可法》第三十二条行政机关对申请人提出的行政许可申请，应当根据下列情况分别作出处理：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（一）申请事项依法不需要取得行政许可的，应当即时告知申请人不受理；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（二）申请事项依法不属于本行政机关职权范围的，应当即时作出不予受理的决定，并告知申请人向有关行政机关申请；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（三）申请材料存在可以当场更正的错误的，应当允许申请人当场更正；</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（四）申请材料不齐全或者不符合法定形式的，应当当场或者在五日内一次告知申请人需要补正的全部内容，逾期不告知的，自收到申请材料之日起即为受理；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（五）申请事项属于本行政机关职权范围，申请材料齐全、符合法定形式，或者申请人按照本行政机关的要求提交全部补正申请材料的，应当受理行政许可申请。</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行政机关受理或者不予受理行政许可申请，应当出具加盖本行政机关专用印章和注明日期的书面凭证。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（3）《中华人民共和国行政许可法》第三十四条行政机关应当对申请人提交的申请材料进行审查。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（4）《中华人民共和国行政许可法》第三十七条行政机关对行政许可申请进行审查后，除当场作出行政许可决定的外，应当在法定期限内按照规定程序作出行政许可决定。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（5）《中华人民共和国行政许可法》第三十八条申请人的申请符合法定条件、标准的，行政机关应当依法作出准予行政许可的书面决定。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行政机关依法作出不予行政许可的书面决定的，应当说明理由，并告知申请人享有依法申请行政复议或者提起行政诉讼的权利。</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3.是否需要现场勘验：</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4.是否需要组织听证：</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5.是否需要招标、拍卖、挂牌交易：</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6.是否需要检验、检测、检疫：</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7.是否需要鉴定：</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8.是否需要专家评审：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9.是否需要向社会公示：</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10.是否实行告知承诺办理：</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11.审批机关是否委托服务机构开展技术性服务：</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1.承诺受理时限：</w:t>
      </w:r>
      <w:r>
        <w:rPr>
          <w:rFonts w:hint="eastAsia" w:ascii="Times New Roman" w:hAnsi="Times New Roman" w:eastAsia="方正仿宋_GBK"/>
          <w:color w:val="000000" w:themeColor="text1"/>
          <w:sz w:val="32"/>
          <w:szCs w:val="32"/>
          <w14:textFill>
            <w14:solidFill>
              <w14:schemeClr w14:val="tx1"/>
            </w14:solidFill>
          </w14:textFill>
        </w:rPr>
        <w:t>当场办理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2.法定审批时限：</w:t>
      </w:r>
      <w:r>
        <w:rPr>
          <w:rFonts w:ascii="Times New Roman" w:hAnsi="Times New Roman" w:eastAsia="方正仿宋_GBK"/>
          <w:color w:val="000000" w:themeColor="text1"/>
          <w:sz w:val="32"/>
          <w:szCs w:val="32"/>
          <w14:textFill>
            <w14:solidFill>
              <w14:schemeClr w14:val="tx1"/>
            </w14:solidFill>
          </w14:textFill>
        </w:rPr>
        <w:t>20个工作日</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4.承诺审批时限：</w:t>
      </w:r>
      <w:r>
        <w:rPr>
          <w:rFonts w:hint="eastAsia" w:ascii="Times New Roman" w:hAnsi="Times New Roman" w:eastAsia="方正仿宋_GBK"/>
          <w:color w:val="000000" w:themeColor="text1"/>
          <w:sz w:val="32"/>
          <w:szCs w:val="32"/>
          <w14:textFill>
            <w14:solidFill>
              <w14:schemeClr w14:val="tx1"/>
            </w14:solidFill>
          </w14:textFill>
        </w:rPr>
        <w:t>即办</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1.办理行政许可是否收费：</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2.收费项目的名称、收费项目的标准、设定收费项目的依据、规定收费标准的依据：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十、行政许可证件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1.审批结果类型：</w:t>
      </w:r>
      <w:r>
        <w:rPr>
          <w:rFonts w:ascii="Times New Roman" w:hAnsi="Times New Roman" w:eastAsia="方正仿宋_GBK"/>
          <w:color w:val="000000" w:themeColor="text1"/>
          <w:sz w:val="32"/>
          <w:szCs w:val="32"/>
          <w14:textFill>
            <w14:solidFill>
              <w14:schemeClr w14:val="tx1"/>
            </w14:solidFill>
          </w14:textFill>
        </w:rPr>
        <w:t>批文</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2.审批结果名称：</w:t>
      </w:r>
      <w:r>
        <w:rPr>
          <w:rFonts w:ascii="Times New Roman" w:hAnsi="Times New Roman" w:eastAsia="方正仿宋_GBK"/>
          <w:color w:val="000000" w:themeColor="text1"/>
          <w:sz w:val="32"/>
          <w:szCs w:val="32"/>
          <w14:textFill>
            <w14:solidFill>
              <w14:schemeClr w14:val="tx1"/>
            </w14:solidFill>
          </w14:textFill>
        </w:rPr>
        <w:t>批准文件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3.审批结果的有效期限：</w:t>
      </w:r>
      <w:r>
        <w:rPr>
          <w:rFonts w:ascii="Times New Roman" w:hAnsi="Times New Roman" w:eastAsia="方正仿宋_GBK"/>
          <w:color w:val="000000" w:themeColor="text1"/>
          <w:sz w:val="32"/>
          <w:szCs w:val="32"/>
          <w14:textFill>
            <w14:solidFill>
              <w14:schemeClr w14:val="tx1"/>
            </w14:solidFill>
          </w14:textFill>
        </w:rPr>
        <w:t>无期限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4.规定审批结果有效期限的依据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枪支管理法》第二十八条……公安机关在查验时，必须严格审查持枪单位和个人是否符合本法规定的条件，检查枪支状况及使用情况；对违法使用枪支、不符合持枪条件或者枪支应当报废的，必须收缴枪支和持枪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5.是否需要办理审批结果变更手续：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6.办理审批结果变更手续的要求：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7.是否需要办理审批结果延续手续：</w:t>
      </w:r>
      <w:r>
        <w:rPr>
          <w:rFonts w:ascii="Times New Roman" w:hAnsi="Times New Roman" w:eastAsia="方正仿宋_GBK"/>
          <w:color w:val="000000" w:themeColor="text1"/>
          <w:sz w:val="32"/>
          <w:szCs w:val="32"/>
          <w14:textFill>
            <w14:solidFill>
              <w14:schemeClr w14:val="tx1"/>
            </w14:solidFill>
          </w14:textFill>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8.办理审批结果延续手续的要求：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9.审批结果的有效地域范围：</w:t>
      </w:r>
      <w:r>
        <w:rPr>
          <w:rFonts w:ascii="Times New Roman" w:hAnsi="Times New Roman" w:eastAsia="方正仿宋_GBK"/>
          <w:color w:val="000000" w:themeColor="text1"/>
          <w:sz w:val="32"/>
          <w:szCs w:val="32"/>
          <w14:textFill>
            <w14:solidFill>
              <w14:schemeClr w14:val="tx1"/>
            </w14:solidFill>
          </w14:textFill>
        </w:rPr>
        <w:t>全国</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《中华人民共和国行政许可法》第四十一条法律、行政法规设定的行政许可，其适用范围没有地域限制的，申请人取得的行政许可在全国范围内有效。</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1.有无行政许可数量限制：</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2.公布数量限制的方式：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3.公布数量限制的周期：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4.在数量限制条件下实施行政许可的方式：</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5.规定在数量限制条件下实施行政许可方式的依据：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1.有无年检要求：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2.设定年检要求的依据：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3.年检周期：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4.年检是否要求报送材料：</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5.年检报送材料名称：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6.年检是否收费：</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7.年检收费项目的名称、年检收费项目的标准、设定年检收费项目的依据、规定年检项目收费标准的依据：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8.通过年检的证明或者标志：</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1.有无年报要求：</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2.年报报送材料名称：</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3.设定年报要求的依据：</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4.年报周期：</w:t>
      </w:r>
      <w:r>
        <w:rPr>
          <w:rFonts w:ascii="Times New Roman" w:hAnsi="Times New Roman" w:eastAsia="方正仿宋_GBK"/>
          <w:color w:val="000000" w:themeColor="text1"/>
          <w:sz w:val="32"/>
          <w:szCs w:val="32"/>
          <w14:textFill>
            <w14:solidFill>
              <w14:schemeClr w14:val="tx1"/>
            </w14:solidFill>
          </w14:textFill>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市公安局、</w:t>
      </w:r>
      <w:r>
        <w:rPr>
          <w:rFonts w:ascii="Times New Roman" w:hAnsi="Times New Roman" w:eastAsia="方正仿宋_GBK"/>
          <w:color w:val="000000" w:themeColor="text1"/>
          <w:sz w:val="32"/>
          <w:szCs w:val="32"/>
          <w14:textFill>
            <w14:solidFill>
              <w14:schemeClr w14:val="tx1"/>
            </w14:solidFill>
          </w14:textFill>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十五、备注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8C7BC"/>
    <w:multiLevelType w:val="singleLevel"/>
    <w:tmpl w:val="9638C7BC"/>
    <w:lvl w:ilvl="0" w:tentative="0">
      <w:start w:val="4"/>
      <w:numFmt w:val="decimal"/>
      <w:lvlText w:val="%1."/>
      <w:lvlJc w:val="left"/>
      <w:pPr>
        <w:tabs>
          <w:tab w:val="left" w:pos="312"/>
        </w:tabs>
      </w:pPr>
    </w:lvl>
  </w:abstractNum>
  <w:abstractNum w:abstractNumId="1">
    <w:nsid w:val="17E567A0"/>
    <w:multiLevelType w:val="singleLevel"/>
    <w:tmpl w:val="17E567A0"/>
    <w:lvl w:ilvl="0" w:tentative="0">
      <w:start w:val="1"/>
      <w:numFmt w:val="decimal"/>
      <w:suff w:val="nothing"/>
      <w:lvlText w:val="（%1）"/>
      <w:lvlJc w:val="left"/>
    </w:lvl>
  </w:abstractNum>
  <w:abstractNum w:abstractNumId="2">
    <w:nsid w:val="315EC2B2"/>
    <w:multiLevelType w:val="singleLevel"/>
    <w:tmpl w:val="315EC2B2"/>
    <w:lvl w:ilvl="0" w:tentative="0">
      <w:start w:val="1"/>
      <w:numFmt w:val="decimal"/>
      <w:suff w:val="nothing"/>
      <w:lvlText w:val="（%1）"/>
      <w:lvlJc w:val="left"/>
    </w:lvl>
  </w:abstractNum>
  <w:abstractNum w:abstractNumId="3">
    <w:nsid w:val="57A28643"/>
    <w:multiLevelType w:val="singleLevel"/>
    <w:tmpl w:val="57A28643"/>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056CF"/>
    <w:rsid w:val="10954B2C"/>
    <w:rsid w:val="25025D66"/>
    <w:rsid w:val="45870E24"/>
    <w:rsid w:val="5C5E2CAA"/>
    <w:rsid w:val="5C6F6CB7"/>
    <w:rsid w:val="7E70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2024-01-02T01:07:00Z</dcterms:created>
  <dc:creator>User</dc:creator>
  <cp:lastModifiedBy>514</cp:lastModifiedBy>
  <dcterms:modified xsi:type="dcterms:W3CDTF">2024-01-02T06:58:44Z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