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76" w:lineRule="exact"/>
        <w:ind w:left="0" w:leftChars="0" w:firstLine="880" w:firstLineChars="200"/>
        <w:jc w:val="center"/>
        <w:textAlignment w:val="auto"/>
        <w:outlineLvl w:val="1"/>
        <w:rPr>
          <w:rFonts w:hint="eastAsia" w:ascii="方正小标宋简体" w:hAnsi="方正小标宋简体" w:eastAsia="方正小标宋简体" w:cs="方正小标宋简体"/>
          <w:sz w:val="44"/>
          <w:szCs w:val="44"/>
        </w:rPr>
      </w:pPr>
      <w:bookmarkStart w:id="0" w:name="_Toc10910_WPSOffice_Level1"/>
      <w:r>
        <w:rPr>
          <w:rFonts w:hint="eastAsia" w:ascii="方正小标宋简体" w:hAnsi="方正小标宋简体" w:eastAsia="方正小标宋简体" w:cs="方正小标宋简体"/>
          <w:sz w:val="44"/>
          <w:szCs w:val="44"/>
        </w:rPr>
        <w:t>犬类准养证核发许可</w:t>
      </w:r>
      <w:bookmarkEnd w:id="0"/>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sz w:val="32"/>
          <w:szCs w:val="32"/>
        </w:rPr>
      </w:pPr>
      <w:r>
        <w:rPr>
          <w:rFonts w:ascii="Times New Roman" w:hAnsi="Times New Roman" w:eastAsia="方正楷体_GBK"/>
          <w:sz w:val="32"/>
          <w:szCs w:val="32"/>
        </w:rPr>
        <w:t>（基本要素）</w:t>
      </w:r>
    </w:p>
    <w:p>
      <w:pPr>
        <w:pageBreakBefore w:val="0"/>
        <w:kinsoku/>
        <w:wordWrap/>
        <w:overflowPunct/>
        <w:topLinePunct w:val="0"/>
        <w:autoSpaceDE/>
        <w:autoSpaceDN/>
        <w:bidi w:val="0"/>
        <w:spacing w:line="576" w:lineRule="exact"/>
        <w:ind w:left="0" w:leftChars="0" w:firstLine="640" w:firstLineChars="200"/>
        <w:textAlignment w:val="auto"/>
        <w:outlineLvl w:val="0"/>
        <w:rPr>
          <w:rFonts w:ascii="Times New Roman" w:hAnsi="Times New Roman"/>
          <w:sz w:val="32"/>
          <w:szCs w:val="32"/>
        </w:rPr>
      </w:pP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一、行政许可事项名称：</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犬类准养证核发</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二、主管部门：</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方正仿宋_GBK"/>
          <w:sz w:val="32"/>
          <w:szCs w:val="32"/>
        </w:rPr>
      </w:pPr>
      <w:r>
        <w:rPr>
          <w:rFonts w:hint="eastAsia" w:ascii="Times New Roman" w:hAnsi="Times New Roman" w:eastAsia="方正仿宋_GBK"/>
          <w:sz w:val="32"/>
          <w:szCs w:val="32"/>
        </w:rPr>
        <w:t>昆明市公安局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三、实施机关：</w:t>
      </w:r>
    </w:p>
    <w:p>
      <w:pPr>
        <w:pageBreakBefore w:val="0"/>
        <w:kinsoku/>
        <w:wordWrap/>
        <w:overflowPunct/>
        <w:topLinePunct w:val="0"/>
        <w:autoSpaceDE/>
        <w:autoSpaceDN/>
        <w:bidi w:val="0"/>
        <w:spacing w:line="576" w:lineRule="exact"/>
        <w:ind w:left="0" w:leftChars="0" w:firstLine="640" w:firstLineChars="200"/>
        <w:textAlignment w:val="auto"/>
        <w:rPr>
          <w:rFonts w:hint="eastAsia" w:ascii="方正小标宋_GBK" w:hAnsi="Times New Roman" w:eastAsia="方正仿宋_GBK"/>
          <w:sz w:val="32"/>
          <w:szCs w:val="32"/>
          <w:lang w:val="en-US" w:eastAsia="zh-CN"/>
        </w:rPr>
      </w:pPr>
      <w:r>
        <w:rPr>
          <w:rFonts w:hint="eastAsia" w:ascii="Times New Roman" w:hAnsi="Times New Roman" w:eastAsia="方正仿宋_GBK"/>
          <w:sz w:val="32"/>
          <w:szCs w:val="32"/>
          <w:lang w:eastAsia="zh-CN"/>
        </w:rPr>
        <w:t>安宁市公安局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四、设定和实施依据：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《中华人民共和国动物防疫法》</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《中华人民共和国传染病防治法实施办法》</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五、子项：</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无</w:t>
      </w:r>
    </w:p>
    <w:p>
      <w:pPr>
        <w:pStyle w:val="2"/>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p>
    <w:p>
      <w:pPr>
        <w:pStyle w:val="3"/>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p>
    <w:p>
      <w:pPr>
        <w:pageBreakBefore w:val="0"/>
        <w:kinsoku/>
        <w:wordWrap/>
        <w:overflowPunct/>
        <w:topLinePunct w:val="0"/>
        <w:autoSpaceDE/>
        <w:autoSpaceDN/>
        <w:bidi w:val="0"/>
        <w:spacing w:line="576" w:lineRule="exact"/>
        <w:ind w:left="0" w:leftChars="0" w:firstLine="420" w:firstLineChars="200"/>
        <w:textAlignment w:val="auto"/>
      </w:pPr>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eastAsia="方正小标宋_GBK"/>
          <w:sz w:val="32"/>
          <w:szCs w:val="32"/>
        </w:rPr>
      </w:pPr>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eastAsia="方正小标宋_GBK"/>
          <w:sz w:val="32"/>
          <w:szCs w:val="32"/>
        </w:rPr>
      </w:pPr>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eastAsia="方正小标宋_GBK"/>
          <w:sz w:val="32"/>
          <w:szCs w:val="32"/>
        </w:rPr>
      </w:pPr>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eastAsia="方正小标宋_GBK"/>
          <w:sz w:val="32"/>
          <w:szCs w:val="32"/>
        </w:rPr>
      </w:pPr>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eastAsia="方正小标宋_GBK"/>
          <w:sz w:val="32"/>
          <w:szCs w:val="32"/>
        </w:rPr>
      </w:pPr>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eastAsia="方正小标宋_GBK"/>
          <w:sz w:val="32"/>
          <w:szCs w:val="32"/>
        </w:rPr>
      </w:pPr>
      <w:r>
        <w:rPr>
          <w:rFonts w:ascii="Times New Roman" w:hAnsi="Times New Roman" w:eastAsia="方正小标宋_GBK"/>
          <w:sz w:val="32"/>
          <w:szCs w:val="32"/>
        </w:rPr>
        <w:t>犬类准养证核发</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简体"/>
          <w:sz w:val="32"/>
          <w:szCs w:val="32"/>
        </w:rPr>
      </w:pPr>
      <w:r>
        <w:rPr>
          <w:rFonts w:ascii="Times New Roman" w:hAnsi="Times New Roman" w:eastAsia="方正小标宋简体"/>
          <w:sz w:val="32"/>
          <w:szCs w:val="32"/>
        </w:rPr>
        <w:t>【000109129000】</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一、基本要素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sz w:val="32"/>
          <w:szCs w:val="32"/>
        </w:rPr>
      </w:pPr>
      <w:r>
        <w:rPr>
          <w:rFonts w:ascii="Times New Roman" w:hAnsi="Times New Roman" w:eastAsia="方正仿宋_GBK"/>
          <w:b/>
          <w:bCs/>
          <w:sz w:val="32"/>
          <w:szCs w:val="32"/>
        </w:rPr>
        <w:t>1.行政许可事项名称及编码</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犬类准养证核发【000109129000】</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sz w:val="32"/>
          <w:szCs w:val="32"/>
        </w:rPr>
      </w:pPr>
      <w:r>
        <w:rPr>
          <w:rFonts w:ascii="Times New Roman" w:hAnsi="Times New Roman" w:eastAsia="方正仿宋_GBK"/>
          <w:b/>
          <w:bCs/>
          <w:sz w:val="32"/>
          <w:szCs w:val="32"/>
        </w:rPr>
        <w:t>2.行政许可事项子项名称及编码</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sz w:val="32"/>
          <w:szCs w:val="32"/>
        </w:rPr>
      </w:pP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sz w:val="32"/>
          <w:szCs w:val="32"/>
        </w:rPr>
      </w:pPr>
      <w:r>
        <w:rPr>
          <w:rFonts w:ascii="Times New Roman" w:hAnsi="Times New Roman" w:eastAsia="方正仿宋_GBK"/>
          <w:b/>
          <w:bCs/>
          <w:sz w:val="32"/>
          <w:szCs w:val="32"/>
        </w:rPr>
        <w:t>3.行政许可事项业务办理项名称及编码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sz w:val="32"/>
          <w:szCs w:val="32"/>
        </w:rPr>
      </w:pPr>
      <w:r>
        <w:rPr>
          <w:rFonts w:ascii="Times New Roman" w:hAnsi="Times New Roman" w:eastAsia="方正仿宋_GBK"/>
          <w:b/>
          <w:bCs/>
          <w:sz w:val="32"/>
          <w:szCs w:val="32"/>
        </w:rPr>
        <w:t>4.设定依据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（1）《中华人民共和国动物防疫法》第三十条 单位和个人饲养犬只，应当按照规定定期免疫接种狂犬病疫苗，凭动物诊疗机构出具的免疫证明向所在地养犬登记机关申请登记。</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（2）《中华人民共和国传染病防治法实施办法》第二十九条 狂犬病的防治管理工作按照下列规定分工负责：（一）公安部门负责县以上城市养犬的审批与违章养犬的处理，捕杀狂犬、野犬。……</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b/>
          <w:bCs/>
          <w:sz w:val="32"/>
          <w:szCs w:val="32"/>
        </w:rPr>
      </w:pPr>
      <w:r>
        <w:rPr>
          <w:rFonts w:ascii="Times New Roman" w:hAnsi="Times New Roman" w:eastAsia="方正仿宋_GBK"/>
          <w:b/>
          <w:bCs/>
          <w:sz w:val="32"/>
          <w:szCs w:val="32"/>
        </w:rPr>
        <w:t>5.实施依据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（1）《中华人民共和国动物防疫法》第三十条 单位和个人饲养犬只，应当按照规定定期免疫接种狂犬病疫苗，凭动物诊疗机构出具的免疫证明向所在地养犬登记机关申请登记。</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（2）《中华人民共和国传染病防治法实施办法》第二十九条 狂犬病的防治管理工作按照下列规定分工负责：（一）公安部门负责县以上城市养犬的审批与违章养犬的处理，捕杀狂犬、野犬。……</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sz w:val="32"/>
          <w:szCs w:val="32"/>
        </w:rPr>
      </w:pPr>
      <w:r>
        <w:rPr>
          <w:rFonts w:ascii="Times New Roman" w:hAnsi="Times New Roman" w:eastAsia="方正仿宋_GBK"/>
          <w:b/>
          <w:bCs/>
          <w:sz w:val="32"/>
          <w:szCs w:val="32"/>
        </w:rPr>
        <w:t>6.监管依据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（1）《中华人民共和国动物防疫法》第三十条 单位和个人饲养犬只，应当按照规定定期免疫接种狂犬病疫苗，凭动物诊疗机构出具的免疫证明向所在地养犬登记机关申请登记。</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（2）《中华人民共和国传染病防治法实施办法》第二十九条 狂犬病的防治管理工作按照下列规定分工负责：（一）公安部门负责县以上城市养犬的审批与违章养犬的处理，捕杀狂犬、野犬。……</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7.实施机关：</w:t>
      </w:r>
      <w:r>
        <w:rPr>
          <w:rFonts w:hint="eastAsia" w:ascii="Times New Roman" w:hAnsi="Times New Roman" w:eastAsia="方正仿宋_GBK"/>
          <w:sz w:val="32"/>
          <w:szCs w:val="32"/>
        </w:rPr>
        <w:t>市公安局、县级公安机关</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8.审批层级：</w:t>
      </w:r>
      <w:r>
        <w:rPr>
          <w:rFonts w:ascii="Times New Roman" w:hAnsi="Times New Roman" w:eastAsia="方正仿宋_GBK"/>
          <w:sz w:val="32"/>
          <w:szCs w:val="32"/>
        </w:rPr>
        <w:t>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9.行使层级：</w:t>
      </w:r>
      <w:r>
        <w:rPr>
          <w:rFonts w:ascii="Times New Roman" w:hAnsi="Times New Roman" w:eastAsia="方正仿宋_GBK"/>
          <w:sz w:val="32"/>
          <w:szCs w:val="32"/>
        </w:rPr>
        <w:t>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10.是否由审批机关受理：</w:t>
      </w:r>
      <w:r>
        <w:rPr>
          <w:rFonts w:ascii="Times New Roman" w:hAnsi="Times New Roman" w:eastAsia="方正仿宋_GBK"/>
          <w:sz w:val="32"/>
          <w:szCs w:val="32"/>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11.受理层级：</w:t>
      </w:r>
      <w:r>
        <w:rPr>
          <w:rFonts w:ascii="Times New Roman" w:hAnsi="Times New Roman" w:eastAsia="方正仿宋_GBK"/>
          <w:sz w:val="32"/>
          <w:szCs w:val="32"/>
        </w:rPr>
        <w:t>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12.是否存在初审环节：</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highlight w:val="yellow"/>
        </w:rPr>
      </w:pPr>
      <w:r>
        <w:rPr>
          <w:rFonts w:ascii="Times New Roman" w:hAnsi="Times New Roman" w:eastAsia="方正仿宋_GBK"/>
          <w:b/>
          <w:bCs/>
          <w:sz w:val="32"/>
          <w:szCs w:val="32"/>
        </w:rPr>
        <w:t>13.初审层级：</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14.对应政务服务事项国家级基本目录名称：</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15.要素统一情况：</w:t>
      </w:r>
      <w:r>
        <w:rPr>
          <w:rFonts w:ascii="Times New Roman" w:hAnsi="Times New Roman" w:eastAsia="方正仿宋_GBK"/>
          <w:sz w:val="32"/>
          <w:szCs w:val="32"/>
        </w:rPr>
        <w:t>全</w:t>
      </w:r>
      <w:r>
        <w:rPr>
          <w:rFonts w:hint="eastAsia" w:ascii="Times New Roman" w:hAnsi="Times New Roman" w:eastAsia="方正仿宋_GBK"/>
          <w:sz w:val="32"/>
          <w:szCs w:val="32"/>
        </w:rPr>
        <w:t>市</w:t>
      </w:r>
      <w:r>
        <w:rPr>
          <w:rFonts w:ascii="Times New Roman" w:hAnsi="Times New Roman" w:eastAsia="方正仿宋_GBK"/>
          <w:sz w:val="32"/>
          <w:szCs w:val="32"/>
        </w:rPr>
        <w:t>要素统一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二、行政许可事项类型</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条件型</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三、行政许可条件</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sz w:val="32"/>
          <w:szCs w:val="32"/>
        </w:rPr>
      </w:pPr>
      <w:r>
        <w:rPr>
          <w:rFonts w:ascii="Times New Roman" w:hAnsi="Times New Roman" w:eastAsia="方正仿宋_GBK"/>
          <w:b/>
          <w:bCs/>
          <w:sz w:val="32"/>
          <w:szCs w:val="32"/>
        </w:rPr>
        <w:t>1.准予行政许可的条件</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sz w:val="32"/>
          <w:szCs w:val="32"/>
        </w:rPr>
      </w:pPr>
      <w:r>
        <w:rPr>
          <w:rFonts w:ascii="Times New Roman" w:hAnsi="Times New Roman" w:eastAsia="方正仿宋_GBK"/>
          <w:sz w:val="32"/>
          <w:szCs w:val="32"/>
        </w:rPr>
        <w:t>（1）申请人具有完全民事行为能力；</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sz w:val="32"/>
          <w:szCs w:val="32"/>
        </w:rPr>
      </w:pPr>
      <w:r>
        <w:rPr>
          <w:rFonts w:ascii="Times New Roman" w:hAnsi="Times New Roman" w:eastAsia="方正仿宋_GBK"/>
          <w:sz w:val="32"/>
          <w:szCs w:val="32"/>
        </w:rPr>
        <w:t>（2）犬只按照规定定期免疫接种狂犬病疫苗。</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sz w:val="32"/>
          <w:szCs w:val="32"/>
        </w:rPr>
      </w:pPr>
      <w:r>
        <w:rPr>
          <w:rFonts w:ascii="Times New Roman" w:hAnsi="Times New Roman" w:eastAsia="方正仿宋_GBK"/>
          <w:b/>
          <w:bCs/>
          <w:sz w:val="32"/>
          <w:szCs w:val="32"/>
        </w:rPr>
        <w:t>2.规定行政许可条件的依据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（1）《中华人民共和国动物防疫法》第三十条 单位和个人饲养犬只，应当按照规定定期免疫接种狂犬病疫苗，凭动物诊疗机构出具的免疫证明向所在地养犬登记机关申请登记。</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（2）《中华人民共和国传染病防治法实施办法》第二十九条 狂犬病的防治管理工作按照下列规定分工负责：（一）公安部门负责县以上城市养犬的审批与违章养犬的处理，捕杀狂犬、野犬。……</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四、行政许可服务对象类型与改革举措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1.服务对象类型：</w:t>
      </w:r>
      <w:r>
        <w:rPr>
          <w:rFonts w:ascii="Times New Roman" w:hAnsi="Times New Roman" w:eastAsia="方正仿宋_GBK"/>
          <w:sz w:val="32"/>
          <w:szCs w:val="32"/>
        </w:rPr>
        <w:t>自然人，企业法人，事业单位法人，社会组织法人，非法人企业，行政机关，其他组织</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2.是否为涉企许可事项：</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3.涉企经营许可事项名称：</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4.许可证件名称：</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5.改革方式：</w:t>
      </w:r>
      <w:r>
        <w:rPr>
          <w:rFonts w:ascii="Times New Roman" w:hAnsi="Times New Roman" w:eastAsia="方正仿宋_GBK"/>
          <w:sz w:val="32"/>
          <w:szCs w:val="32"/>
        </w:rPr>
        <w:t>压缩审批时限</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sz w:val="32"/>
          <w:szCs w:val="32"/>
        </w:rPr>
      </w:pPr>
      <w:r>
        <w:rPr>
          <w:rFonts w:ascii="Times New Roman" w:hAnsi="Times New Roman" w:eastAsia="方正仿宋_GBK"/>
          <w:b/>
          <w:bCs/>
          <w:sz w:val="32"/>
          <w:szCs w:val="32"/>
        </w:rPr>
        <w:t>6.具体改革举措</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sz w:val="32"/>
          <w:szCs w:val="32"/>
        </w:rPr>
      </w:pPr>
      <w:r>
        <w:rPr>
          <w:rFonts w:ascii="Times New Roman" w:hAnsi="Times New Roman" w:eastAsia="方正仿宋_GBK"/>
          <w:sz w:val="32"/>
          <w:szCs w:val="32"/>
        </w:rPr>
        <w:t>将承诺审批时限由20个工作日压减至</w:t>
      </w:r>
      <w:r>
        <w:rPr>
          <w:rFonts w:hint="eastAsia" w:ascii="Times New Roman" w:hAnsi="Times New Roman" w:eastAsia="方正仿宋_GBK"/>
          <w:sz w:val="32"/>
          <w:szCs w:val="32"/>
        </w:rPr>
        <w:t>1</w:t>
      </w:r>
      <w:r>
        <w:rPr>
          <w:rFonts w:ascii="Times New Roman" w:hAnsi="Times New Roman" w:eastAsia="方正仿宋_GBK"/>
          <w:sz w:val="32"/>
          <w:szCs w:val="32"/>
        </w:rPr>
        <w:t>个工作日。</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sz w:val="32"/>
          <w:szCs w:val="32"/>
        </w:rPr>
      </w:pPr>
      <w:r>
        <w:rPr>
          <w:rFonts w:ascii="Times New Roman" w:hAnsi="Times New Roman" w:eastAsia="方正仿宋_GBK"/>
          <w:b/>
          <w:bCs/>
          <w:sz w:val="32"/>
          <w:szCs w:val="32"/>
        </w:rPr>
        <w:t>7.加强事中事后监管措施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是加强材料审核。按照法律法规、规章等规范性文件明确由公安机关管辖的，公安机关应对养犬人提交的材料进行核实，对材料齐全且符合要求形式的，应当予以受理，并发放犬类准养证；对材料不齐全或者不符合规定形式的，应当告知养犬人需要补正的全部内容；对不属于公安机关管辖的，应当告知养犬人有权办理的机关。</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 xml:space="preserve">二是加强文明养犬检查。加强对违法违规养犬行为进行执法检查，对犬扰民、遛犬不拴犬绳等行为进行纠正并依法依规作出相应处理。 </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三是加强宣传引导教育。着力营造依法文明养犬的良好氛围，加大对违法违规养犬、不文明养犬行为的曝光力度，教育引导养犬人对饲养犬只要依法依规登记、免疫，确保文明规范养犬。</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五、申请材料</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1.申请材料名称</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（1）申请表；</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（2）养犬人居民身份证明；单位申请需提交营业执照或其他同等效力证明文件；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（3）动物诊疗机构出具的免疫证明。</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2.规定申请材料的依据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《中华人民共和国动物防疫法》第三十条 单位和个人饲养犬只，应当按照规定定期免疫接种狂犬病疫苗，凭动物诊疗机构出具的免疫证明向所在地养犬登记机关申请登记。</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六、中介服务</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b/>
          <w:bCs/>
          <w:sz w:val="32"/>
          <w:szCs w:val="32"/>
        </w:rPr>
        <w:t>1.有无法定中介服务事项：</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2.中介服务事项名称：</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3.设定中介服务事项的依据：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4.提供中介服务的机构：</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5.中介服务事项的收费性质：</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七、审批程序</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1.办理行政许可的程序环节</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（1）申请人申请；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（2）审批机构受理/不予受理；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（3）审批机构审查；</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（4）决定核发准养证/不予核发准养证。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2.规定行政许可程序的依据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（1）《中华人民共和国动物防疫法》第三十条 单位和个人饲养犬只，应当按照规定定期免疫接种狂犬病疫苗，凭动物诊疗机构出具的免疫证明向所在地养犬登记机关申请登记。</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（2）《中华人民共和国传染病防治法实施办法》第二十九条 狂犬病的防治管理工作按照下列规定分工负责：（一）公安部门负责县以上城市养犬的审批与违章养犬的处理，捕杀狂犬、野犬。……</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3.是否需要现场勘验：</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b/>
          <w:bCs/>
          <w:sz w:val="32"/>
          <w:szCs w:val="32"/>
        </w:rPr>
        <w:t>4.是否需要组织听证：</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5.是否需要招标、拍卖、挂牌交易：</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6.是否需要检验、检测、检疫：</w:t>
      </w:r>
      <w:r>
        <w:rPr>
          <w:rFonts w:ascii="Times New Roman" w:hAnsi="Times New Roman" w:eastAsia="方正仿宋_GBK"/>
          <w:sz w:val="32"/>
          <w:szCs w:val="32"/>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7.是否需要鉴定：</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8.是否需要专家评审：</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9.是否需要向社会公示：</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10.是否实行告知承诺办理：</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11.审批机关是否委托服务机构开展技术性服务：</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八、受理和审批时限</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b/>
          <w:bCs/>
          <w:sz w:val="32"/>
          <w:szCs w:val="32"/>
        </w:rPr>
        <w:t>1.承诺受理时限：</w:t>
      </w:r>
      <w:r>
        <w:rPr>
          <w:rFonts w:ascii="Times New Roman" w:hAnsi="Times New Roman" w:eastAsia="方正仿宋_GBK"/>
          <w:sz w:val="32"/>
          <w:szCs w:val="32"/>
        </w:rPr>
        <w:t>当场办理</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b/>
          <w:bCs/>
          <w:sz w:val="32"/>
          <w:szCs w:val="32"/>
        </w:rPr>
        <w:t>2.法定审批时限：</w:t>
      </w:r>
      <w:r>
        <w:rPr>
          <w:rFonts w:ascii="Times New Roman" w:hAnsi="Times New Roman" w:eastAsia="方正仿宋_GBK"/>
          <w:sz w:val="32"/>
          <w:szCs w:val="32"/>
        </w:rPr>
        <w:t>20个工作日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3.规定法定审批时限依据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《中华人民共和国</w:t>
      </w:r>
      <w:r>
        <w:rPr>
          <w:rFonts w:ascii="Times New Roman" w:hAnsi="Times New Roman" w:eastAsia="方正仿宋_GBK"/>
          <w:sz w:val="32"/>
          <w:szCs w:val="32"/>
        </w:rPr>
        <w:t>行政许可法》第四十二条 除可以当场作出行政许可决定的外，行政机关应当自受理行政许可申请之日起二十日内作出行政许可决定。二十日内不能作出决定的，经本</w:t>
      </w:r>
      <w:bookmarkStart w:id="1" w:name="_GoBack"/>
      <w:bookmarkEnd w:id="1"/>
      <w:r>
        <w:rPr>
          <w:rFonts w:ascii="Times New Roman" w:hAnsi="Times New Roman" w:eastAsia="方正仿宋_GBK"/>
          <w:sz w:val="32"/>
          <w:szCs w:val="32"/>
        </w:rPr>
        <w:t>行政机关负责人批准，可以延长十日，并应当将延长期限的理由告知申请人。但是，法律、法规另有规定的，依照其规定。</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b/>
          <w:bCs/>
          <w:sz w:val="32"/>
          <w:szCs w:val="32"/>
        </w:rPr>
        <w:t>4.承诺审批时限：</w:t>
      </w:r>
      <w:r>
        <w:rPr>
          <w:rFonts w:hint="eastAsia" w:ascii="Times New Roman" w:hAnsi="Times New Roman" w:eastAsia="方正仿宋_GBK"/>
          <w:sz w:val="32"/>
          <w:szCs w:val="32"/>
        </w:rPr>
        <w:t>1</w:t>
      </w:r>
      <w:r>
        <w:rPr>
          <w:rFonts w:ascii="Times New Roman" w:hAnsi="Times New Roman" w:eastAsia="方正仿宋_GBK"/>
          <w:sz w:val="32"/>
          <w:szCs w:val="32"/>
        </w:rPr>
        <w:t>个工作日</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九、收费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1.办理行政许可是否收费：</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sz w:val="32"/>
          <w:szCs w:val="32"/>
        </w:rPr>
      </w:pPr>
      <w:r>
        <w:rPr>
          <w:rFonts w:ascii="Times New Roman" w:hAnsi="Times New Roman" w:eastAsia="方正仿宋_GBK"/>
          <w:b/>
          <w:bCs/>
          <w:sz w:val="32"/>
          <w:szCs w:val="32"/>
        </w:rPr>
        <w:t>2.收费项目的名称、收费项目的标准、设定收费项目的依据、规定收费标准的依据：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十、行政许可证件</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sz w:val="32"/>
          <w:szCs w:val="32"/>
        </w:rPr>
      </w:pPr>
      <w:r>
        <w:rPr>
          <w:rFonts w:ascii="Times New Roman" w:hAnsi="Times New Roman" w:eastAsia="方正仿宋_GBK"/>
          <w:b/>
          <w:bCs/>
          <w:sz w:val="32"/>
          <w:szCs w:val="32"/>
        </w:rPr>
        <w:t>1.审批结果类型：</w:t>
      </w:r>
      <w:r>
        <w:rPr>
          <w:rFonts w:ascii="Times New Roman" w:hAnsi="Times New Roman" w:eastAsia="方正仿宋_GBK"/>
          <w:sz w:val="32"/>
          <w:szCs w:val="32"/>
        </w:rPr>
        <w:t>证照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2.审批结果名称：</w:t>
      </w:r>
      <w:r>
        <w:rPr>
          <w:rFonts w:ascii="Times New Roman" w:hAnsi="Times New Roman" w:eastAsia="方正仿宋_GBK"/>
          <w:sz w:val="32"/>
          <w:szCs w:val="32"/>
        </w:rPr>
        <w:t>犬类准养证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3.审批结果的有效期限：</w:t>
      </w:r>
      <w:r>
        <w:rPr>
          <w:rFonts w:ascii="Times New Roman" w:hAnsi="Times New Roman" w:eastAsia="方正仿宋_GBK"/>
          <w:sz w:val="32"/>
          <w:szCs w:val="32"/>
        </w:rPr>
        <w:t>无期限</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sz w:val="32"/>
          <w:szCs w:val="32"/>
        </w:rPr>
      </w:pPr>
      <w:r>
        <w:rPr>
          <w:rFonts w:ascii="Times New Roman" w:hAnsi="Times New Roman" w:eastAsia="方正仿宋_GBK"/>
          <w:b/>
          <w:bCs/>
          <w:sz w:val="32"/>
          <w:szCs w:val="32"/>
        </w:rPr>
        <w:t>4.规定审批结果有效期限的依据：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5.是否需要办理审批结果变更手续：</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sz w:val="32"/>
          <w:szCs w:val="32"/>
        </w:rPr>
      </w:pPr>
      <w:r>
        <w:rPr>
          <w:rFonts w:ascii="Times New Roman" w:hAnsi="Times New Roman" w:eastAsia="方正仿宋_GBK"/>
          <w:b/>
          <w:bCs/>
          <w:sz w:val="32"/>
          <w:szCs w:val="32"/>
        </w:rPr>
        <w:t>6.办理审批结果变更手续的要求：</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7.是否需要办理审批结果延续手续：</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sz w:val="32"/>
          <w:szCs w:val="32"/>
        </w:rPr>
      </w:pPr>
      <w:r>
        <w:rPr>
          <w:rFonts w:ascii="Times New Roman" w:hAnsi="Times New Roman" w:eastAsia="方正仿宋_GBK"/>
          <w:b/>
          <w:bCs/>
          <w:sz w:val="32"/>
          <w:szCs w:val="32"/>
        </w:rPr>
        <w:t>8.办理审批结果延续手续的要求：</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9.审批结果的有效地域范围：</w:t>
      </w:r>
      <w:r>
        <w:rPr>
          <w:rFonts w:ascii="Times New Roman" w:hAnsi="Times New Roman" w:eastAsia="方正仿宋_GBK"/>
          <w:sz w:val="32"/>
          <w:szCs w:val="32"/>
        </w:rPr>
        <w:t>审批机关行政管辖区域</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sz w:val="32"/>
          <w:szCs w:val="32"/>
        </w:rPr>
      </w:pPr>
      <w:r>
        <w:rPr>
          <w:rFonts w:ascii="Times New Roman" w:hAnsi="Times New Roman" w:eastAsia="方正仿宋_GBK"/>
          <w:b/>
          <w:bCs/>
          <w:sz w:val="32"/>
          <w:szCs w:val="32"/>
        </w:rPr>
        <w:t>10.规定审批结果有效地域范围的依据：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《中华人民共和国动物防疫法》第三十条 单位和个人饲养犬只，应当按照规定定期免疫接种狂犬病疫苗，凭动物诊疗机构出具的免疫证明向所在地养犬登记机关申请登记。</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十一、行政许可数量限制</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b/>
          <w:bCs/>
          <w:sz w:val="32"/>
          <w:szCs w:val="32"/>
        </w:rPr>
        <w:t>1.有无行政许可数量限制：</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sz w:val="32"/>
          <w:szCs w:val="32"/>
        </w:rPr>
      </w:pPr>
      <w:r>
        <w:rPr>
          <w:rFonts w:ascii="Times New Roman" w:hAnsi="Times New Roman" w:eastAsia="方正仿宋_GBK"/>
          <w:b/>
          <w:bCs/>
          <w:sz w:val="32"/>
          <w:szCs w:val="32"/>
        </w:rPr>
        <w:t>2.公布数量限制的方式：</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sz w:val="32"/>
          <w:szCs w:val="32"/>
        </w:rPr>
      </w:pPr>
      <w:r>
        <w:rPr>
          <w:rFonts w:ascii="Times New Roman" w:hAnsi="Times New Roman" w:eastAsia="方正仿宋_GBK"/>
          <w:b/>
          <w:bCs/>
          <w:sz w:val="32"/>
          <w:szCs w:val="32"/>
        </w:rPr>
        <w:t>3.公布数量限制的周期：</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4.在数量限制条件下实施行政许可的方式：</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5.规定在数量限制条件下实施行政许可方式的依据：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十二、行政许可后年检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b/>
          <w:bCs/>
          <w:sz w:val="32"/>
          <w:szCs w:val="32"/>
        </w:rPr>
        <w:t>1.有无年检要求：</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sz w:val="32"/>
          <w:szCs w:val="32"/>
        </w:rPr>
      </w:pPr>
      <w:r>
        <w:rPr>
          <w:rFonts w:ascii="Times New Roman" w:hAnsi="Times New Roman" w:eastAsia="方正仿宋_GBK"/>
          <w:b/>
          <w:bCs/>
          <w:sz w:val="32"/>
          <w:szCs w:val="32"/>
        </w:rPr>
        <w:t>2.设定年检要求的依据：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sz w:val="32"/>
          <w:szCs w:val="32"/>
        </w:rPr>
      </w:pPr>
      <w:r>
        <w:rPr>
          <w:rFonts w:ascii="Times New Roman" w:hAnsi="Times New Roman" w:eastAsia="方正仿宋_GBK"/>
          <w:b/>
          <w:bCs/>
          <w:sz w:val="32"/>
          <w:szCs w:val="32"/>
        </w:rPr>
        <w:t>3.年检周期：</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4.年检是否要求报送材料：</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5.年检报送材料名称：</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6.年检是否收费：</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7.年检收费项目的名称、年检收费项目的标准、设定年检收费项目的依据、规定年检项目收费标准的依据：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sz w:val="32"/>
          <w:szCs w:val="32"/>
        </w:rPr>
      </w:pPr>
      <w:r>
        <w:rPr>
          <w:rFonts w:ascii="Times New Roman" w:hAnsi="Times New Roman" w:eastAsia="方正仿宋_GBK"/>
          <w:b/>
          <w:bCs/>
          <w:sz w:val="32"/>
          <w:szCs w:val="32"/>
        </w:rPr>
        <w:t>8.通过年检的证明或者标志：</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十三、行政许可后年报</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b/>
          <w:bCs/>
          <w:sz w:val="32"/>
          <w:szCs w:val="32"/>
        </w:rPr>
        <w:t>1.有无年报要求：</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2.年报报送材料名称：</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sz w:val="32"/>
          <w:szCs w:val="32"/>
        </w:rPr>
      </w:pPr>
      <w:r>
        <w:rPr>
          <w:rFonts w:ascii="Times New Roman" w:hAnsi="Times New Roman" w:eastAsia="方正仿宋_GBK"/>
          <w:b/>
          <w:bCs/>
          <w:sz w:val="32"/>
          <w:szCs w:val="32"/>
        </w:rPr>
        <w:t>3.设定年报要求的依据：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4.年报周期：</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十四、监管主体</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方正仿宋_GBK"/>
          <w:sz w:val="32"/>
          <w:szCs w:val="32"/>
        </w:rPr>
      </w:pPr>
      <w:r>
        <w:rPr>
          <w:rFonts w:hint="eastAsia" w:ascii="Times New Roman" w:hAnsi="Times New Roman" w:eastAsia="方正仿宋_GBK"/>
          <w:sz w:val="32"/>
          <w:szCs w:val="32"/>
        </w:rPr>
        <w:t>市公安局、县级公安机关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十五、备注</w:t>
      </w:r>
    </w:p>
    <w:p>
      <w:pPr>
        <w:pStyle w:val="2"/>
        <w:pageBreakBefore w:val="0"/>
        <w:kinsoku/>
        <w:wordWrap/>
        <w:overflowPunct/>
        <w:topLinePunct w:val="0"/>
        <w:autoSpaceDE/>
        <w:autoSpaceDN/>
        <w:bidi w:val="0"/>
        <w:spacing w:line="576" w:lineRule="exact"/>
        <w:ind w:left="0" w:leftChars="0" w:firstLine="560" w:firstLineChars="200"/>
        <w:textAlignment w:val="auto"/>
      </w:pPr>
    </w:p>
    <w:p>
      <w:pPr>
        <w:pageBreakBefore w:val="0"/>
        <w:kinsoku/>
        <w:wordWrap/>
        <w:overflowPunct/>
        <w:topLinePunct w:val="0"/>
        <w:autoSpaceDE/>
        <w:autoSpaceDN/>
        <w:bidi w:val="0"/>
        <w:spacing w:line="576" w:lineRule="exact"/>
        <w:ind w:left="0" w:leftChars="0" w:firstLine="420" w:firstLineChars="200"/>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A6C28"/>
    <w:rsid w:val="204F2F47"/>
    <w:rsid w:val="216A6C28"/>
    <w:rsid w:val="25025D66"/>
    <w:rsid w:val="45870E24"/>
    <w:rsid w:val="5C5E2CAA"/>
    <w:rsid w:val="5C6F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2024-01-02T01:04:00Z</dcterms:created>
  <dc:creator>User</dc:creator>
  <cp:lastModifiedBy>514</cp:lastModifiedBy>
  <dcterms:modified xsi:type="dcterms:W3CDTF">2024-01-02T07:07:58Z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