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76" w:lineRule="exact"/>
        <w:ind w:left="0" w:leftChars="0" w:firstLine="880" w:firstLineChars="200"/>
        <w:jc w:val="center"/>
        <w:textAlignment w:val="auto"/>
        <w:outlineLvl w:val="0"/>
        <w:rPr>
          <w:rFonts w:hint="eastAsia" w:ascii="方正小标宋简体" w:hAnsi="方正小标宋简体" w:eastAsia="方正小标宋简体" w:cs="方正小标宋简体"/>
          <w:color w:val="FF0000"/>
          <w:sz w:val="44"/>
          <w:szCs w:val="44"/>
        </w:rPr>
      </w:pPr>
      <w:bookmarkStart w:id="0" w:name="_Toc20552_WPSOffice_Level1"/>
      <w:r>
        <w:rPr>
          <w:rFonts w:hint="eastAsia" w:ascii="方正小标宋简体" w:hAnsi="方正小标宋简体" w:eastAsia="方正小标宋简体" w:cs="方正小标宋简体"/>
          <w:sz w:val="44"/>
          <w:szCs w:val="44"/>
        </w:rPr>
        <w:t>公章刻制业特种行业许可</w:t>
      </w:r>
      <w:bookmarkEnd w:id="0"/>
    </w:p>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sz w:val="32"/>
          <w:szCs w:val="32"/>
        </w:rPr>
      </w:pPr>
      <w:r>
        <w:rPr>
          <w:rFonts w:ascii="Times New Roman" w:hAnsi="Times New Roman" w:eastAsia="方正楷体_GBK"/>
          <w:sz w:val="32"/>
          <w:szCs w:val="32"/>
        </w:rPr>
        <w:t>（基本要素）</w:t>
      </w:r>
    </w:p>
    <w:p>
      <w:pPr>
        <w:pageBreakBefore w:val="0"/>
        <w:kinsoku/>
        <w:wordWrap/>
        <w:overflowPunct/>
        <w:topLinePunct w:val="0"/>
        <w:autoSpaceDE/>
        <w:autoSpaceDN/>
        <w:bidi w:val="0"/>
        <w:spacing w:line="576" w:lineRule="exact"/>
        <w:ind w:left="0" w:leftChars="0" w:firstLine="640" w:firstLineChars="200"/>
        <w:textAlignment w:val="auto"/>
        <w:outlineLvl w:val="0"/>
        <w:rPr>
          <w:rFonts w:ascii="Times New Roman" w:hAnsi="Times New Roman"/>
          <w:sz w:val="32"/>
          <w:szCs w:val="32"/>
        </w:rPr>
      </w:pP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一、行政许可事项名称：</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公章刻制业特种行业许可</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二、主管部门：</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color w:val="FF0000"/>
          <w:sz w:val="32"/>
          <w:szCs w:val="32"/>
        </w:rPr>
      </w:pPr>
      <w:r>
        <w:rPr>
          <w:rFonts w:hint="eastAsia" w:ascii="Times New Roman" w:hAnsi="Times New Roman" w:eastAsia="方正仿宋_GBK"/>
          <w:sz w:val="32"/>
          <w:szCs w:val="32"/>
        </w:rPr>
        <w:t>昆明市公安局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三、实施机关：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hint="eastAsia" w:ascii="Times New Roman" w:hAnsi="Times New Roman" w:eastAsia="方正仿宋_GBK"/>
          <w:sz w:val="32"/>
          <w:szCs w:val="32"/>
        </w:rPr>
        <w:t>安宁市公安局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四、设定和实施依据：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《印铸刻字业暂行管理规则》</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《国务院对确需保留的行政审批项目设定行政许可的决定》</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《国务院关于第三批取消和调整行政审批项目的决定》</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《国务院关于取消和调整一批行政审批项目等事项的决定》（国发〔2015〕11号）</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《国务院关于深化“证照分离”改革进一步激发市场主体发展活力的通知》（国发〔2021〕7号）</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五、子项：</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简体"/>
          <w:sz w:val="32"/>
          <w:szCs w:val="32"/>
        </w:rPr>
      </w:pP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sz w:val="32"/>
          <w:szCs w:val="32"/>
        </w:rPr>
      </w:pPr>
      <w:r>
        <w:rPr>
          <w:rFonts w:ascii="Times New Roman" w:hAnsi="Times New Roman" w:eastAsia="方正小标宋_GBK"/>
          <w:sz w:val="32"/>
          <w:szCs w:val="32"/>
        </w:rPr>
        <w:t>公章刻制业特种行业许可</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sz w:val="32"/>
          <w:szCs w:val="32"/>
        </w:rPr>
      </w:pPr>
      <w:r>
        <w:rPr>
          <w:rFonts w:ascii="Times New Roman" w:hAnsi="Times New Roman" w:eastAsia="方正小标宋_GBK"/>
          <w:sz w:val="32"/>
          <w:szCs w:val="32"/>
        </w:rPr>
        <w:t>【000109126000】</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一、基本要素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b/>
          <w:bCs/>
          <w:sz w:val="32"/>
          <w:szCs w:val="32"/>
        </w:rPr>
      </w:pPr>
      <w:r>
        <w:rPr>
          <w:rFonts w:ascii="Times New Roman" w:hAnsi="Times New Roman" w:eastAsia="方正仿宋_GBK"/>
          <w:b/>
          <w:bCs/>
          <w:sz w:val="32"/>
          <w:szCs w:val="32"/>
        </w:rPr>
        <w:t>1.行政许可事项名称及编码</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公章刻制业特种行业许可【000109126000】</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b/>
          <w:bCs/>
          <w:sz w:val="32"/>
          <w:szCs w:val="32"/>
        </w:rPr>
      </w:pPr>
      <w:r>
        <w:rPr>
          <w:rFonts w:ascii="Times New Roman" w:hAnsi="Times New Roman" w:eastAsia="方正仿宋_GBK"/>
          <w:b/>
          <w:bCs/>
          <w:sz w:val="32"/>
          <w:szCs w:val="32"/>
        </w:rPr>
        <w:t>2.行政许可事项子项名称及编码</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b/>
          <w:bCs/>
          <w:sz w:val="32"/>
          <w:szCs w:val="32"/>
        </w:rPr>
      </w:pPr>
      <w:r>
        <w:rPr>
          <w:rFonts w:ascii="Times New Roman" w:hAnsi="Times New Roman" w:eastAsia="方正仿宋_GBK"/>
          <w:b/>
          <w:bCs/>
          <w:sz w:val="32"/>
          <w:szCs w:val="32"/>
        </w:rPr>
        <w:t>3.行政许可事项业务办理项名称及编码</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b/>
          <w:bCs/>
          <w:sz w:val="32"/>
          <w:szCs w:val="32"/>
        </w:rPr>
      </w:pPr>
      <w:r>
        <w:rPr>
          <w:rFonts w:ascii="Times New Roman" w:hAnsi="Times New Roman" w:eastAsia="方正仿宋_GBK"/>
          <w:b/>
          <w:bCs/>
          <w:sz w:val="32"/>
          <w:szCs w:val="32"/>
        </w:rPr>
        <w:t>4.设定依据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（1）《印铸刻字业暂行管理规则》第三条凡经营印铸刻字业者，须先向该管市（县）人民政府公安局或分局申请登记，办理以下手续：</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一、详细填写特种营业登记表两份，附申请人最近二寸半身免冠</w:t>
      </w:r>
      <w:r>
        <w:rPr>
          <w:rFonts w:hint="eastAsia" w:ascii="Times New Roman" w:hAnsi="Times New Roman" w:eastAsia="方正仿宋_GBK"/>
          <w:sz w:val="32"/>
          <w:szCs w:val="32"/>
          <w:lang w:val="en-US" w:eastAsia="zh-CN"/>
        </w:rPr>
        <w:t>相</w:t>
      </w:r>
      <w:r>
        <w:rPr>
          <w:rFonts w:ascii="Times New Roman" w:hAnsi="Times New Roman" w:eastAsia="方正仿宋_GBK"/>
          <w:sz w:val="32"/>
          <w:szCs w:val="32"/>
        </w:rPr>
        <w:t>片三张，并觅具可靠非同业铺保两家。</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二、造具该业股东、职工名册，建筑设备及四邻平面略图（露天刻字摊免缴平面略图）。</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三、将填妥之申请登记表，连同像片、略图、名册等送公安局或分局，经核准发给许可证后，须另向该管工商机关申请，领得营业执照后始准营业。</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（2）《国务院对确需保留的行政审批项目设定行政许可的决定》附件第37项：公章刻制业特种行业许可证核发；实施机关：县级以上地方人民政府公安机关。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（3）《国务院关于第三批取消和调整行政审批项目的决定》附3件1第41项：取消非机构印章刻制单位审批；实施机关：县级以上地方人民政府公安机关。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b/>
          <w:bCs/>
          <w:sz w:val="32"/>
          <w:szCs w:val="32"/>
        </w:rPr>
      </w:pPr>
      <w:r>
        <w:rPr>
          <w:rFonts w:ascii="Times New Roman" w:hAnsi="Times New Roman" w:eastAsia="方正仿宋_GBK"/>
          <w:b/>
          <w:bCs/>
          <w:sz w:val="32"/>
          <w:szCs w:val="32"/>
        </w:rPr>
        <w:t>5.实施依据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（1）《印铸刻字业暂行管理规则》第三条凡经营印铸刻字业者，须先向该管市（县）人民政府公安局或分局申请登记，办理以下手续：</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一、详细填写特种营业登记表两份，附申请人最近二寸半身免冠</w:t>
      </w:r>
      <w:r>
        <w:rPr>
          <w:rFonts w:hint="eastAsia" w:ascii="Times New Roman" w:hAnsi="Times New Roman" w:eastAsia="方正仿宋_GBK"/>
          <w:sz w:val="32"/>
          <w:szCs w:val="32"/>
          <w:lang w:eastAsia="zh-CN"/>
        </w:rPr>
        <w:t>相</w:t>
      </w:r>
      <w:r>
        <w:rPr>
          <w:rFonts w:ascii="Times New Roman" w:hAnsi="Times New Roman" w:eastAsia="方正仿宋_GBK"/>
          <w:sz w:val="32"/>
          <w:szCs w:val="32"/>
        </w:rPr>
        <w:t>片三张，并觅具可靠非同业铺保两家。</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二、造具该业股东、职工名册，建筑设备及四邻平面略图（露天刻字摊免缴平面略图）。</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三、将填妥之申请登记表，连同像片、略图、名册等送公安局或分局，经核准发给许可证后，须另向该管工商机关申请，领得营业执照后始准营业。</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（2）《印铸刻字业暂行管理规则》第五条凡领有许可证之印铸刻字业者，如有更换字号、经理、股东，或迁移、扩充、转业、歇业等情</w:t>
      </w:r>
      <w:r>
        <w:rPr>
          <w:rFonts w:hint="eastAsia" w:ascii="Times New Roman" w:hAnsi="Times New Roman" w:eastAsia="方正仿宋_GBK"/>
          <w:sz w:val="32"/>
          <w:szCs w:val="32"/>
          <w:lang w:val="en-US" w:eastAsia="zh-CN"/>
        </w:rPr>
        <w:t>况</w:t>
      </w:r>
      <w:bookmarkStart w:id="1" w:name="_GoBack"/>
      <w:bookmarkEnd w:id="1"/>
      <w:r>
        <w:rPr>
          <w:rFonts w:ascii="Times New Roman" w:hAnsi="Times New Roman" w:eastAsia="方正仿宋_GBK"/>
          <w:sz w:val="32"/>
          <w:szCs w:val="32"/>
        </w:rPr>
        <w:t>时，均须先经公安局或分局许可后，始得办理其他手续。</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（3）《国务院对确需保留的行政审批项目设定行政许可的决定》附件第37项：公章刻制业特种行业许可证核发；实施机关：县级以上地方人民政府公安机关。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（4）《国务院关于第三批取消和调整行政审批项目的决定》附件1第41项：取消非机构印章刻制单位审批；实施机关：县级以上地方人民政府公安机关。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（5）《国务院关于取消和调整一批行政审批项目等事项的决定》（国发〔2015〕11号）附件4第6项：公章刻制业特种行业许可证核发改为后置审批；实施机关：县级以上地方人民政府公安机关。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（6）《国务院关于深化“证照分离”改革进一步激发市场主体发展活力的通知》（国发〔2021〕7号）附件1第85项：公章刻制业特种行业许可证核发实行告知承诺；审批层级和部门：设区的市、县级公安机关。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b/>
          <w:bCs/>
          <w:sz w:val="32"/>
          <w:szCs w:val="32"/>
        </w:rPr>
      </w:pPr>
      <w:r>
        <w:rPr>
          <w:rFonts w:ascii="Times New Roman" w:hAnsi="Times New Roman" w:eastAsia="方正仿宋_GBK"/>
          <w:b/>
          <w:bCs/>
          <w:sz w:val="32"/>
          <w:szCs w:val="32"/>
        </w:rPr>
        <w:t>6.监管依据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（1）《印铸刻字业暂行管理规则》第六条凡经营印铸刻字业者，均须遵守下列事项：</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一、遇有下列各项印刷铸刻情形之一者，须将底样及委托印刷刻字之机关证明文件，随时呈送当地人民公安机关核准备案后方得印制。</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1、刻制机关、团体、学校、公营企业之关防、钤记、官印、公章、胶皮印、负责首长之官印、名章等。</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2、印制布告、护照、委任状、袖章、符号、胸章、证券及文书信件等。</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3、铸造机关、团体、学校、公营企业使用之各种钢印、火印、号牌、徽章等或仿制该项式样者。</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二、凡经营印铸刻字业者，均需备制营业登记簿，以备查验。属本条第一款规定之各印制品，承制者一律不准留样，不准仿制，或私自翻印。</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三、遇有下列情形之一者，须迅速报告当地人民公安机关：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1、伪造或仿造布告、护照、委任状、袖章、符号、胸章、证券及各机关之文件等。</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2、私自定制各机关、团体、学校、公营企业之钢印、火印、徽章、证明、号牌或仿制者。</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3、遇有定制非法之团体、机关戳记、印件、徽章或仿制者。</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4、印制反对人民民主、生产建设及宣传封建等各种反动印刷品者。</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四、凡印刷铸刻本条第三款所规定之各项物品者，除没收其原料及成品外，得按照情节之轻重，予以惩处。</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五、对人民公安机关之执行检查职务人员，应予协助进行。</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（2）《印铸刻字业暂行管理规则》第七条营业者有下列情形之一时，得缴销其特种营业许可证，停止其营业。</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一、假借他人名义者。</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二、领取许可证后，无正当理由两月以上未开业者。</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三、无故休业超过一个月以上者。</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四、营业者行踪不明逾两月者。</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（3）《中华人民共和国治安管理处罚法》第五十四条有下列行为之一的，处十日以上十五日以下拘留，并处五百元以上一千元以下罚款；情节较轻的，处五日以下拘留或者五百元以下罚款：……</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（三）未经许可，擅自经营按照国家规定需要由公安机关许可的行业的。</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有前款第三项行为的，予以取缔。</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取得公安机关许可的经营者，违反国家有关管理规定，情节严重的，公安机关可以吊销许可证。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7.实施机关：</w:t>
      </w:r>
      <w:r>
        <w:rPr>
          <w:rFonts w:ascii="Times New Roman" w:hAnsi="Times New Roman" w:eastAsia="方正仿宋_GBK"/>
          <w:sz w:val="32"/>
          <w:szCs w:val="32"/>
        </w:rPr>
        <w:t>县级公安机关</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8.审批层级：</w:t>
      </w:r>
      <w:r>
        <w:rPr>
          <w:rFonts w:ascii="Times New Roman" w:hAnsi="Times New Roman" w:eastAsia="方正仿宋_GBK"/>
          <w:sz w:val="32"/>
          <w:szCs w:val="32"/>
        </w:rPr>
        <w:t>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9.行使层级：</w:t>
      </w:r>
      <w:r>
        <w:rPr>
          <w:rFonts w:ascii="Times New Roman" w:hAnsi="Times New Roman" w:eastAsia="方正仿宋_GBK"/>
          <w:sz w:val="32"/>
          <w:szCs w:val="32"/>
        </w:rPr>
        <w:t>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10.是否由审批机关受理</w:t>
      </w:r>
      <w:r>
        <w:rPr>
          <w:rFonts w:ascii="Times New Roman" w:hAnsi="Times New Roman" w:eastAsia="楷体"/>
          <w:b/>
          <w:bCs/>
          <w:sz w:val="32"/>
          <w:szCs w:val="32"/>
        </w:rPr>
        <w:t>：</w:t>
      </w:r>
      <w:r>
        <w:rPr>
          <w:rFonts w:ascii="Times New Roman" w:hAnsi="Times New Roman" w:eastAsia="方正仿宋_GBK"/>
          <w:sz w:val="32"/>
          <w:szCs w:val="32"/>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11.受理层级：</w:t>
      </w:r>
      <w:r>
        <w:rPr>
          <w:rFonts w:ascii="Times New Roman" w:hAnsi="Times New Roman" w:eastAsia="方正仿宋_GBK"/>
          <w:sz w:val="32"/>
          <w:szCs w:val="32"/>
        </w:rPr>
        <w:t>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12.是否存在初审环节：</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highlight w:val="yellow"/>
        </w:rPr>
      </w:pPr>
      <w:r>
        <w:rPr>
          <w:rFonts w:ascii="Times New Roman" w:hAnsi="Times New Roman" w:eastAsia="方正仿宋_GBK"/>
          <w:b/>
          <w:bCs/>
          <w:sz w:val="32"/>
          <w:szCs w:val="32"/>
        </w:rPr>
        <w:t>13.初审层级：</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方正仿宋_GBK"/>
          <w:b/>
          <w:bCs/>
          <w:sz w:val="32"/>
          <w:szCs w:val="32"/>
        </w:rPr>
        <w:t>14.对应政务服务事项国家级基本目录名称：</w:t>
      </w:r>
      <w:r>
        <w:rPr>
          <w:rFonts w:ascii="Times New Roman" w:hAnsi="Times New Roman" w:eastAsia="方正仿宋_GBK"/>
          <w:sz w:val="32"/>
          <w:szCs w:val="32"/>
        </w:rPr>
        <w:t>公章刻制业特种行业许可证核发</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15.要素统一情况：</w:t>
      </w:r>
      <w:r>
        <w:rPr>
          <w:rFonts w:ascii="Times New Roman" w:hAnsi="Times New Roman" w:eastAsia="方正仿宋_GBK"/>
          <w:sz w:val="32"/>
          <w:szCs w:val="32"/>
        </w:rPr>
        <w:t>全</w:t>
      </w:r>
      <w:r>
        <w:rPr>
          <w:rFonts w:hint="eastAsia" w:ascii="Times New Roman" w:hAnsi="Times New Roman" w:eastAsia="方正仿宋_GBK"/>
          <w:sz w:val="32"/>
          <w:szCs w:val="32"/>
        </w:rPr>
        <w:t>市</w:t>
      </w:r>
      <w:r>
        <w:rPr>
          <w:rFonts w:ascii="Times New Roman" w:hAnsi="Times New Roman" w:eastAsia="方正仿宋_GBK"/>
          <w:sz w:val="32"/>
          <w:szCs w:val="32"/>
        </w:rPr>
        <w:t>要素统一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二、行政许可事项类型</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条件型</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三、行政许可条件</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b/>
          <w:bCs/>
          <w:sz w:val="32"/>
          <w:szCs w:val="32"/>
        </w:rPr>
      </w:pPr>
      <w:r>
        <w:rPr>
          <w:rFonts w:ascii="Times New Roman" w:hAnsi="Times New Roman" w:eastAsia="方正仿宋_GBK"/>
          <w:b/>
          <w:bCs/>
          <w:sz w:val="32"/>
          <w:szCs w:val="32"/>
        </w:rPr>
        <w:t>1.准予行政许可的条件</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（1）有合法经营场所；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（2）取得市场监管部门核发的营业执照；</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（3）具备必要的防盗等安全设施和如实备案公章刻制信息的条件；</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（4）建立各项安全管理制度。</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b/>
          <w:bCs/>
          <w:sz w:val="32"/>
          <w:szCs w:val="32"/>
        </w:rPr>
      </w:pPr>
      <w:r>
        <w:rPr>
          <w:rFonts w:ascii="Times New Roman" w:hAnsi="Times New Roman" w:eastAsia="方正仿宋_GBK"/>
          <w:b/>
          <w:bCs/>
          <w:sz w:val="32"/>
          <w:szCs w:val="32"/>
        </w:rPr>
        <w:t>2.规定行政许可条件的依据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（1）《印铸刻字业暂行管理规则》第一条为加强社会治安，保障印铸刻字业的合法经营，防范不法分子伪造假冒，特制定本规则。</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（2）《印铸刻字业暂行管理规则》第三条凡经营印铸刻字业者，须先向该管市（县）人民政府公安局或分局申请登记，办理以下手续：</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一、详细填写特种营业登记表两份，附申请人最近二寸半身免冠</w:t>
      </w:r>
      <w:r>
        <w:rPr>
          <w:rFonts w:hint="eastAsia" w:ascii="Times New Roman" w:hAnsi="Times New Roman" w:eastAsia="方正仿宋_GBK"/>
          <w:sz w:val="32"/>
          <w:szCs w:val="32"/>
          <w:lang w:eastAsia="zh-CN"/>
        </w:rPr>
        <w:t>相</w:t>
      </w:r>
      <w:r>
        <w:rPr>
          <w:rFonts w:ascii="Times New Roman" w:hAnsi="Times New Roman" w:eastAsia="方正仿宋_GBK"/>
          <w:sz w:val="32"/>
          <w:szCs w:val="32"/>
        </w:rPr>
        <w:t>片三张，并觅具可靠非同业铺保两家。</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二、造具该业股东、职工名册，建筑设备及四邻平面略图（露天刻字摊免缴平面略图）。</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三、将填妥之申请登记表，连同像片、略图、名册等送公安局或分局，经核准发给许可证后，须另向该管工商机关申请，领得营业执照后始准营业。</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（3）《印铸刻字业暂行管理规则》第六条凡经营印铸刻字业者，均须遵守下列事项：</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遇有下列各项印刷铸刻情形之一者，须将底样及委托印刷刻字之机关证明文件，随时呈送当地人民公安机关核准备案后方得印制。</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四、行政许可服务对象类型与改革举措</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1.服务对象类型：</w:t>
      </w:r>
      <w:r>
        <w:rPr>
          <w:rFonts w:ascii="Times New Roman" w:hAnsi="Times New Roman" w:eastAsia="方正仿宋_GBK"/>
          <w:sz w:val="32"/>
          <w:szCs w:val="32"/>
        </w:rPr>
        <w:t>自然人，企业法人</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方正仿宋_GBK"/>
          <w:b/>
          <w:bCs/>
          <w:sz w:val="32"/>
          <w:szCs w:val="32"/>
        </w:rPr>
        <w:t>2.是否为涉企许可事项：</w:t>
      </w:r>
      <w:r>
        <w:rPr>
          <w:rFonts w:ascii="Times New Roman" w:hAnsi="Times New Roman" w:eastAsia="方正仿宋_GBK"/>
          <w:sz w:val="32"/>
          <w:szCs w:val="32"/>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3.涉企经营许可事项名称：</w:t>
      </w:r>
      <w:r>
        <w:rPr>
          <w:rFonts w:ascii="Times New Roman" w:hAnsi="Times New Roman" w:eastAsia="方正仿宋_GBK"/>
          <w:sz w:val="32"/>
          <w:szCs w:val="32"/>
        </w:rPr>
        <w:t>公章刻制业特种行业许可证核发</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方正仿宋_GBK"/>
          <w:b/>
          <w:bCs/>
          <w:sz w:val="32"/>
          <w:szCs w:val="32"/>
        </w:rPr>
        <w:t>4.许可证件名称：</w:t>
      </w:r>
      <w:r>
        <w:rPr>
          <w:rFonts w:ascii="Times New Roman" w:hAnsi="Times New Roman" w:eastAsia="方正仿宋_GBK"/>
          <w:sz w:val="32"/>
          <w:szCs w:val="32"/>
        </w:rPr>
        <w:t>云南特种行业许可证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5.改革方式：</w:t>
      </w:r>
      <w:r>
        <w:rPr>
          <w:rFonts w:ascii="Times New Roman" w:hAnsi="Times New Roman" w:eastAsia="方正仿宋_GBK"/>
          <w:sz w:val="32"/>
          <w:szCs w:val="32"/>
        </w:rPr>
        <w:t>压缩审批时限</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b/>
          <w:bCs/>
          <w:sz w:val="32"/>
          <w:szCs w:val="32"/>
        </w:rPr>
      </w:pPr>
      <w:r>
        <w:rPr>
          <w:rFonts w:ascii="Times New Roman" w:hAnsi="Times New Roman" w:eastAsia="方正仿宋_GBK"/>
          <w:b/>
          <w:bCs/>
          <w:sz w:val="32"/>
          <w:szCs w:val="32"/>
        </w:rPr>
        <w:t>6.具体改革举措</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将承诺审批时限由20个工作日压减至5个工作日。制作并公布告知承诺书格式文本，一次性告知申请人许可条件和所需材料。对申请人自愿承诺符合许可条件并按要求提交材料的，当场作出许可决定。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7.加强事中事后监管措施</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一是加强对承诺内容真实性的核查，发现虚假承诺、承诺严重不实的要依法处理。二是开展“双随机、一公开”监管，依法查处违法违规行为。三是加强信用监管，建立企业信用档案并依法向社会公开信用记录，依法依规对失信主体开展失信惩戒。四是加强公章刻制备案管理，督促公章刻制企业严格落实公章刻制备案管理要求，及时规范上传、报送公章刻制备案信息。</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五、申请材料</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1.申请材料名称</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（1）营业执照；</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（2）法定代表人、经营负责人有效身份证件；</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（3）经营场所方位图及内部结构示意图（标明面积、范围、内部设施、出入通道、生产车间、档案保管、成品保管、视频监控点位）；</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（4）经营场所房屋产权证明或者使用权证明，租赁经营的还应提供租赁合同或协议；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（5）安全管理、验证登记、车间生产、成品印章登记保管、档案管理、消防安全等各项制度；</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6</w:t>
      </w:r>
      <w:r>
        <w:rPr>
          <w:rFonts w:ascii="Times New Roman" w:hAnsi="Times New Roman" w:eastAsia="方正仿宋_GBK"/>
          <w:sz w:val="32"/>
          <w:szCs w:val="32"/>
        </w:rPr>
        <w:t>）选择告知承诺方式申请的，申请人还应提交承诺书。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2.规定申请材料的依据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（1）《印铸刻字业暂行管理规则》（政务院政治法律委员会批准1951年8月15日公安部发布）第三条凡经营印铸刻字业者，须先向该管市(县)人民政府公安局或分局申请登记，办理以下手续:</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一、详细填写特种营业登记表两份，附申请人最近二寸半身免冠</w:t>
      </w:r>
      <w:r>
        <w:rPr>
          <w:rFonts w:hint="eastAsia" w:ascii="Times New Roman" w:hAnsi="Times New Roman" w:eastAsia="方正仿宋_GBK"/>
          <w:sz w:val="32"/>
          <w:szCs w:val="32"/>
          <w:lang w:eastAsia="zh-CN"/>
        </w:rPr>
        <w:t>相</w:t>
      </w:r>
      <w:r>
        <w:rPr>
          <w:rFonts w:ascii="Times New Roman" w:hAnsi="Times New Roman" w:eastAsia="方正仿宋_GBK"/>
          <w:sz w:val="32"/>
          <w:szCs w:val="32"/>
        </w:rPr>
        <w:t>片三张，并觅具可靠非同业铺保两家。</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二、造具该业股东、职工名册，建筑设备及四邻平面略图(露天刻字摊免缴平面略图)。</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三、将填妥之申请登记表，连同像片、略图、名册等送公安局或分局，经核准发给许可证后，须另向该管工商机关申请，领得营业执照后始准营业。</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（2）《国务院关于深化“证照分离”改革进一步激发市场主体发展活力的通知》（国发〔2021〕7号）附件1第85项：公章刻制业特种行业许可证核发实行告知承诺。</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六、中介服务</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1.有无法定中介服务事项：</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2.中介服务事项名称：</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方正仿宋_GBK"/>
          <w:b/>
          <w:bCs/>
          <w:sz w:val="32"/>
          <w:szCs w:val="32"/>
        </w:rPr>
        <w:t>3.设定中介服务事项的依据：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4.提供中介服务的机构：</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5.中介服务事项的收费性质：</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七、审批程序</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1.办理行政许可的程序环节</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（1）申请人申请；</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（2）审批机构受理/不予受理；</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（3）审批机构审查；</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（4）决定核发许可证/不予核发许可证。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2.规定行政许可程序的依据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（1）《印铸刻字业暂行管理规则》第三条凡经营印铸刻字业者，须先向该管市（县）人民政府公安局或分局申请登记，办理以下手续:</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一、详细填写特种营业登记表两份，附申请人最近二寸半身免冠</w:t>
      </w:r>
      <w:r>
        <w:rPr>
          <w:rFonts w:hint="eastAsia" w:ascii="Times New Roman" w:hAnsi="Times New Roman" w:eastAsia="方正仿宋_GBK"/>
          <w:sz w:val="32"/>
          <w:szCs w:val="32"/>
          <w:lang w:eastAsia="zh-CN"/>
        </w:rPr>
        <w:t>相</w:t>
      </w:r>
      <w:r>
        <w:rPr>
          <w:rFonts w:ascii="Times New Roman" w:hAnsi="Times New Roman" w:eastAsia="方正仿宋_GBK"/>
          <w:sz w:val="32"/>
          <w:szCs w:val="32"/>
        </w:rPr>
        <w:t>片三张，并觅具可靠非同业铺保两家。</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二、造具该业股东、职工名册，建筑设备及四邻平面略图（露天刻字摊免缴平面略图）。</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三、将填妥之申请登记表，连同像片、略图、名册等送公安局或分局，经核准发给许可证后，须另向该管工商机关申请，领得营业执照后始准营业。</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（2）《印铸刻字业暂行管理规则》第四条凡在本规则颁布前，已开业之印铸刻字业，均须补办第三条规定之手续。</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（3）《国务院关于取消和调整一批行政审批项目等事项的决定》（国发〔2015〕11号）附件4第6项：公章刻制业特种行业许可证核发改为后置审批；实施机关：县级以上地方人民政府公安机关。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（4）《国务院关于深化“证照分离”改革进一步激发市场主体发展活力的通知》（国发〔2021〕7号）附件1第85项：公章刻制业特种行业许可证核发实行告知承诺；审批层级和部门：设区的市、县级公安机关。</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3.是否需要现场勘验：</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4.是否需要组织听证：</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5.是否需要招标、拍卖、挂牌交易：</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6.是否需要检验、检测、检疫：</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7.是否需要鉴定：</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8.是否需要专家评审：</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9.是否需要向社会公示：</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10.是否实行告知承诺办理：</w:t>
      </w:r>
      <w:r>
        <w:rPr>
          <w:rFonts w:ascii="Times New Roman" w:hAnsi="Times New Roman" w:eastAsia="方正仿宋_GBK"/>
          <w:sz w:val="32"/>
          <w:szCs w:val="32"/>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b/>
          <w:bCs/>
          <w:sz w:val="32"/>
          <w:szCs w:val="32"/>
        </w:rPr>
      </w:pPr>
      <w:r>
        <w:rPr>
          <w:rFonts w:ascii="Times New Roman" w:hAnsi="Times New Roman" w:eastAsia="方正仿宋_GBK"/>
          <w:b/>
          <w:bCs/>
          <w:sz w:val="32"/>
          <w:szCs w:val="32"/>
        </w:rPr>
        <w:t>11.审批机关是否委托服务机构开展技术性服务：</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八、受理和审批时限</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1.承诺受理时限：</w:t>
      </w:r>
      <w:r>
        <w:rPr>
          <w:rFonts w:ascii="Times New Roman" w:hAnsi="Times New Roman" w:eastAsia="方正仿宋_GBK"/>
          <w:sz w:val="32"/>
          <w:szCs w:val="32"/>
        </w:rPr>
        <w:t>当场办理</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楷体"/>
          <w:sz w:val="32"/>
          <w:szCs w:val="32"/>
        </w:rPr>
      </w:pPr>
      <w:r>
        <w:rPr>
          <w:rFonts w:ascii="Times New Roman" w:hAnsi="Times New Roman" w:eastAsia="方正仿宋_GBK"/>
          <w:b/>
          <w:bCs/>
          <w:sz w:val="32"/>
          <w:szCs w:val="32"/>
        </w:rPr>
        <w:t>2.法定审批时限：</w:t>
      </w:r>
      <w:r>
        <w:rPr>
          <w:rFonts w:ascii="Times New Roman" w:hAnsi="Times New Roman" w:eastAsia="方正仿宋_GBK"/>
          <w:sz w:val="32"/>
          <w:szCs w:val="32"/>
        </w:rPr>
        <w:t>20个工作日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3.规定法定审批时限依据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方正仿宋_GBK"/>
          <w:b/>
          <w:bCs/>
          <w:sz w:val="32"/>
          <w:szCs w:val="32"/>
        </w:rPr>
        <w:t>4.承诺审批时限：</w:t>
      </w:r>
      <w:r>
        <w:rPr>
          <w:rFonts w:ascii="Times New Roman" w:hAnsi="Times New Roman" w:eastAsia="方正仿宋_GBK"/>
          <w:sz w:val="32"/>
          <w:szCs w:val="32"/>
        </w:rPr>
        <w:t>5个工作日</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九、收费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b/>
          <w:bCs/>
          <w:sz w:val="32"/>
          <w:szCs w:val="32"/>
        </w:rPr>
      </w:pPr>
      <w:r>
        <w:rPr>
          <w:rFonts w:ascii="Times New Roman" w:hAnsi="Times New Roman" w:eastAsia="方正仿宋_GBK"/>
          <w:b/>
          <w:bCs/>
          <w:sz w:val="32"/>
          <w:szCs w:val="32"/>
        </w:rPr>
        <w:t>1.办理行政许可是否收费：</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b/>
          <w:bCs/>
          <w:sz w:val="32"/>
          <w:szCs w:val="32"/>
        </w:rPr>
      </w:pPr>
      <w:r>
        <w:rPr>
          <w:rFonts w:ascii="Times New Roman" w:hAnsi="Times New Roman" w:eastAsia="方正仿宋_GBK"/>
          <w:b/>
          <w:bCs/>
          <w:sz w:val="32"/>
          <w:szCs w:val="32"/>
        </w:rPr>
        <w:t>2.收费项目的名称、收费项目的标准、设定收费项目的依据、规定收费标准的依据：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十、行政许可证件</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楷体"/>
          <w:sz w:val="32"/>
          <w:szCs w:val="32"/>
        </w:rPr>
      </w:pPr>
      <w:r>
        <w:rPr>
          <w:rFonts w:ascii="Times New Roman" w:hAnsi="Times New Roman" w:eastAsia="方正仿宋_GBK"/>
          <w:b/>
          <w:bCs/>
          <w:sz w:val="32"/>
          <w:szCs w:val="32"/>
        </w:rPr>
        <w:t>1.审批结果类型</w:t>
      </w:r>
      <w:r>
        <w:rPr>
          <w:rFonts w:ascii="Times New Roman" w:hAnsi="Times New Roman" w:eastAsia="楷体"/>
          <w:b/>
          <w:bCs/>
          <w:sz w:val="32"/>
          <w:szCs w:val="32"/>
        </w:rPr>
        <w:t>：</w:t>
      </w:r>
      <w:r>
        <w:rPr>
          <w:rFonts w:ascii="Times New Roman" w:hAnsi="Times New Roman" w:eastAsia="方正仿宋_GBK"/>
          <w:sz w:val="32"/>
          <w:szCs w:val="32"/>
        </w:rPr>
        <w:t>证照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2.审批结果名称：</w:t>
      </w:r>
      <w:r>
        <w:rPr>
          <w:rFonts w:ascii="Times New Roman" w:hAnsi="Times New Roman" w:eastAsia="方正仿宋_GBK"/>
          <w:sz w:val="32"/>
          <w:szCs w:val="32"/>
        </w:rPr>
        <w:t>云南特种行业许可证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3.审批结果的有效期限：</w:t>
      </w:r>
      <w:r>
        <w:rPr>
          <w:rFonts w:ascii="Times New Roman" w:hAnsi="Times New Roman" w:eastAsia="方正仿宋_GBK"/>
          <w:sz w:val="32"/>
          <w:szCs w:val="32"/>
        </w:rPr>
        <w:t>无期限</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仿宋_GB2312"/>
          <w:sz w:val="32"/>
          <w:szCs w:val="32"/>
        </w:rPr>
      </w:pPr>
      <w:r>
        <w:rPr>
          <w:rFonts w:ascii="Times New Roman" w:hAnsi="Times New Roman" w:eastAsia="方正仿宋_GBK"/>
          <w:b/>
          <w:bCs/>
          <w:sz w:val="32"/>
          <w:szCs w:val="32"/>
        </w:rPr>
        <w:t>4.规定审批结果有效期限的依据：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5.是否需要办理审批结果变更手续：</w:t>
      </w:r>
      <w:r>
        <w:rPr>
          <w:rFonts w:ascii="Times New Roman" w:hAnsi="Times New Roman" w:eastAsia="方正仿宋_GBK"/>
          <w:sz w:val="32"/>
          <w:szCs w:val="32"/>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6.办理审批结果变更手续的要求</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变更单位名称、法定代表人、主要负责人、经营地址等的，应当办理变更特种行业许可。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7.是否需要办理审批结果延续手续：</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楷体"/>
          <w:sz w:val="32"/>
          <w:szCs w:val="32"/>
        </w:rPr>
      </w:pPr>
      <w:r>
        <w:rPr>
          <w:rFonts w:ascii="Times New Roman" w:hAnsi="Times New Roman" w:eastAsia="方正仿宋_GBK"/>
          <w:b/>
          <w:bCs/>
          <w:sz w:val="32"/>
          <w:szCs w:val="32"/>
        </w:rPr>
        <w:t>8.办理审批结果延续手续的要求：</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9.审批结果的有效地域范围</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审批机关行政管辖区域</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10.规定审批结果有效地域范围的依据</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《印铸刻字业暂行管理规则》第三条凡经营印铸刻字业者，须先向该管市（县）人民政府公安局或分局申请登记，办理以下手续：</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一、详细填写特种营业登记表两份，附申请人最近二寸半身免冠</w:t>
      </w:r>
      <w:r>
        <w:rPr>
          <w:rFonts w:hint="eastAsia" w:ascii="Times New Roman" w:hAnsi="Times New Roman" w:eastAsia="方正仿宋_GBK"/>
          <w:sz w:val="32"/>
          <w:szCs w:val="32"/>
          <w:lang w:eastAsia="zh-CN"/>
        </w:rPr>
        <w:t>相</w:t>
      </w:r>
      <w:r>
        <w:rPr>
          <w:rFonts w:ascii="Times New Roman" w:hAnsi="Times New Roman" w:eastAsia="方正仿宋_GBK"/>
          <w:sz w:val="32"/>
          <w:szCs w:val="32"/>
        </w:rPr>
        <w:t>片三张，并觅具可靠非同业铺保两家。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二、造具该业股东、职工名册，建筑设备及四邻平面略图（露天刻字摊免缴平面略图）。</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三、将填妥之申请登记表，连同像片、略图、名册等送公安局或分局，经核准发给许可证后，须另向该管工商机关申请，领得营业执照后始准营业。</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十一、行政许可数量限制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1.有无行政许可数量限制：</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楷体"/>
          <w:sz w:val="32"/>
          <w:szCs w:val="32"/>
        </w:rPr>
      </w:pPr>
      <w:r>
        <w:rPr>
          <w:rFonts w:ascii="Times New Roman" w:hAnsi="Times New Roman" w:eastAsia="方正仿宋_GBK"/>
          <w:b/>
          <w:bCs/>
          <w:sz w:val="32"/>
          <w:szCs w:val="32"/>
        </w:rPr>
        <w:t>2.公布数量限制的方式：</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楷体"/>
          <w:sz w:val="32"/>
          <w:szCs w:val="32"/>
        </w:rPr>
      </w:pPr>
      <w:r>
        <w:rPr>
          <w:rFonts w:ascii="Times New Roman" w:hAnsi="Times New Roman" w:eastAsia="方正仿宋_GBK"/>
          <w:b/>
          <w:bCs/>
          <w:sz w:val="32"/>
          <w:szCs w:val="32"/>
        </w:rPr>
        <w:t>3.公布数量限制的周期：</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4.在数量限制条件下实施行政许可的方式：</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5.规定在数量限制条件下实施行政许可方式的依据：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十二、行政许可后年检</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1.有无年检要求：</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楷体"/>
          <w:sz w:val="32"/>
          <w:szCs w:val="32"/>
        </w:rPr>
      </w:pPr>
      <w:r>
        <w:rPr>
          <w:rFonts w:ascii="Times New Roman" w:hAnsi="Times New Roman" w:eastAsia="方正仿宋_GBK"/>
          <w:b/>
          <w:bCs/>
          <w:sz w:val="32"/>
          <w:szCs w:val="32"/>
        </w:rPr>
        <w:t>2.设定年检要求的依据：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楷体"/>
          <w:sz w:val="32"/>
          <w:szCs w:val="32"/>
        </w:rPr>
      </w:pPr>
      <w:r>
        <w:rPr>
          <w:rFonts w:ascii="Times New Roman" w:hAnsi="Times New Roman" w:eastAsia="方正仿宋_GBK"/>
          <w:b/>
          <w:bCs/>
          <w:sz w:val="32"/>
          <w:szCs w:val="32"/>
        </w:rPr>
        <w:t>3.年检周期：</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方正仿宋_GBK"/>
          <w:b/>
          <w:bCs/>
          <w:sz w:val="32"/>
          <w:szCs w:val="32"/>
        </w:rPr>
        <w:t>4.年检是否要求报送材料：</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5.年检报送材料名称：</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6.年检是否收费：</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方正仿宋_GBK"/>
          <w:b/>
          <w:bCs/>
          <w:sz w:val="32"/>
          <w:szCs w:val="32"/>
        </w:rPr>
        <w:t>7.年检收费项目的名称、年检收费项目的标准、设定年检收费项目的依据、规定年检项目收费标准的依据：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sz w:val="32"/>
          <w:szCs w:val="32"/>
        </w:rPr>
      </w:pPr>
      <w:r>
        <w:rPr>
          <w:rFonts w:ascii="Times New Roman" w:hAnsi="Times New Roman" w:eastAsia="方正仿宋_GBK"/>
          <w:b/>
          <w:bCs/>
          <w:sz w:val="32"/>
          <w:szCs w:val="32"/>
        </w:rPr>
        <w:t>8.通过年检的证明或者标志：</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十三、行政许可后年报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1.有无年报要求：</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2.年报报送材料名称：</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sz w:val="32"/>
          <w:szCs w:val="32"/>
        </w:rPr>
      </w:pPr>
      <w:r>
        <w:rPr>
          <w:rFonts w:ascii="Times New Roman" w:hAnsi="Times New Roman" w:eastAsia="方正仿宋_GBK"/>
          <w:b/>
          <w:bCs/>
          <w:sz w:val="32"/>
          <w:szCs w:val="32"/>
        </w:rPr>
        <w:t>3.设定年报要求的依据：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4.年报周期：</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十四、监管主体</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县级公安机关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十五、备注</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根据《国务院关于深化“证照分离”改革进一步激发市场主体发展活力的通知》（国发〔2021〕7号）该事项在中国（云南）自由贸易试验区取消审批，改为备案管理。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B1547"/>
    <w:rsid w:val="25025D66"/>
    <w:rsid w:val="2E9B1547"/>
    <w:rsid w:val="31413824"/>
    <w:rsid w:val="45870E24"/>
    <w:rsid w:val="5C5E2CAA"/>
    <w:rsid w:val="5C6F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2024-01-02T01:02:00Z</dcterms:created>
  <dc:creator>User</dc:creator>
  <cp:lastModifiedBy>514</cp:lastModifiedBy>
  <dcterms:modified xsi:type="dcterms:W3CDTF">2024-01-02T07:23:39Z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