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rPr>
          <w:rFonts w:hint="eastAsia" w:ascii="Times New Roman" w:hAnsi="Times New Roman" w:eastAsia="方正小标宋_GBK"/>
          <w:sz w:val="44"/>
          <w:szCs w:val="44"/>
        </w:rPr>
      </w:pPr>
      <w:bookmarkStart w:id="0" w:name="_Toc6010_WPSOffice_Level1"/>
      <w:r>
        <w:rPr>
          <w:rFonts w:hint="eastAsia" w:ascii="Times New Roman" w:hAnsi="Times New Roman" w:eastAsia="方正小标宋_GBK"/>
          <w:sz w:val="44"/>
          <w:szCs w:val="44"/>
        </w:rPr>
        <w:t>非机动车登记行政许可</w:t>
      </w:r>
      <w:bookmarkEnd w:id="0"/>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楷体_GBK" w:cs="Times New Roman"/>
          <w:sz w:val="32"/>
          <w:szCs w:val="32"/>
        </w:rPr>
      </w:pPr>
      <w:bookmarkStart w:id="1" w:name="_Toc2000_WPSOffice_Level1"/>
      <w:r>
        <w:rPr>
          <w:rFonts w:ascii="Times New Roman" w:hAnsi="Times New Roman" w:eastAsia="方正楷体_GBK" w:cs="Times New Roman"/>
          <w:sz w:val="32"/>
          <w:szCs w:val="32"/>
        </w:rPr>
        <w:t>（基本要素）</w:t>
      </w:r>
      <w:bookmarkEnd w:id="1"/>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bookmarkStart w:id="2" w:name="_Toc16765_WPSOffice_Level1"/>
      <w:r>
        <w:rPr>
          <w:rFonts w:ascii="Times New Roman" w:hAnsi="Times New Roman" w:eastAsia="黑体" w:cs="Times New Roman"/>
          <w:sz w:val="32"/>
          <w:szCs w:val="32"/>
        </w:rPr>
        <w:t>一、行政许可事项名称：</w:t>
      </w:r>
      <w:bookmarkEnd w:id="2"/>
    </w:p>
    <w:p>
      <w:pPr>
        <w:pageBreakBefore w:val="0"/>
        <w:kinsoku/>
        <w:wordWrap/>
        <w:overflowPunct/>
        <w:topLinePunct w:val="0"/>
        <w:autoSpaceDE/>
        <w:autoSpaceDN/>
        <w:bidi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非机动车登记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bookmarkStart w:id="3" w:name="_Toc23932_WPSOffice_Level1"/>
      <w:r>
        <w:rPr>
          <w:rFonts w:ascii="Times New Roman" w:hAnsi="Times New Roman" w:eastAsia="黑体" w:cs="Times New Roman"/>
          <w:sz w:val="32"/>
          <w:szCs w:val="32"/>
        </w:rPr>
        <w:t>二、主管部门：</w:t>
      </w:r>
      <w:bookmarkEnd w:id="3"/>
    </w:p>
    <w:p>
      <w:pPr>
        <w:pageBreakBefore w:val="0"/>
        <w:kinsoku/>
        <w:wordWrap/>
        <w:overflowPunct/>
        <w:topLinePunct w:val="0"/>
        <w:autoSpaceDE/>
        <w:autoSpaceDN/>
        <w:bidi w:val="0"/>
        <w:spacing w:line="576" w:lineRule="exact"/>
        <w:ind w:left="0" w:leftChars="0" w:firstLine="640" w:firstLineChars="200"/>
        <w:textAlignment w:val="auto"/>
        <w:rPr>
          <w:rFonts w:hint="eastAsia" w:ascii="宋体" w:hAnsi="宋体" w:cs="宋体"/>
          <w:sz w:val="32"/>
          <w:szCs w:val="32"/>
        </w:rPr>
      </w:pPr>
      <w:r>
        <w:rPr>
          <w:rFonts w:hint="eastAsia" w:ascii="宋体" w:hAnsi="宋体" w:cs="宋体"/>
          <w:sz w:val="32"/>
          <w:szCs w:val="32"/>
        </w:rPr>
        <w:t>安</w:t>
      </w:r>
      <w:r>
        <w:rPr>
          <w:rFonts w:ascii="宋体" w:hAnsi="宋体" w:cs="宋体"/>
          <w:sz w:val="32"/>
          <w:szCs w:val="32"/>
        </w:rPr>
        <w:t>宁市公安局交警大队车辆管理所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bookmarkStart w:id="4" w:name="_Toc8668_WPSOffice_Level1"/>
      <w:r>
        <w:rPr>
          <w:rFonts w:ascii="Times New Roman" w:hAnsi="Times New Roman" w:eastAsia="黑体" w:cs="Times New Roman"/>
          <w:sz w:val="32"/>
          <w:szCs w:val="32"/>
        </w:rPr>
        <w:t>三、实施机关：</w:t>
      </w:r>
      <w:bookmarkEnd w:id="4"/>
    </w:p>
    <w:p>
      <w:pPr>
        <w:pageBreakBefore w:val="0"/>
        <w:kinsoku/>
        <w:wordWrap/>
        <w:overflowPunct/>
        <w:topLinePunct w:val="0"/>
        <w:autoSpaceDE/>
        <w:autoSpaceDN/>
        <w:bidi w:val="0"/>
        <w:spacing w:line="576" w:lineRule="exact"/>
        <w:ind w:left="0" w:leftChars="0" w:firstLine="640" w:firstLineChars="200"/>
        <w:textAlignment w:val="auto"/>
        <w:rPr>
          <w:rFonts w:hint="eastAsia" w:ascii="宋体" w:hAnsi="宋体" w:cs="宋体"/>
          <w:sz w:val="32"/>
          <w:szCs w:val="32"/>
        </w:rPr>
      </w:pPr>
      <w:r>
        <w:rPr>
          <w:rFonts w:hint="eastAsia" w:ascii="宋体" w:hAnsi="宋体" w:cs="宋体"/>
          <w:sz w:val="32"/>
          <w:szCs w:val="32"/>
        </w:rPr>
        <w:t>安</w:t>
      </w:r>
      <w:r>
        <w:rPr>
          <w:rFonts w:ascii="宋体" w:hAnsi="宋体" w:cs="宋体"/>
          <w:sz w:val="32"/>
          <w:szCs w:val="32"/>
        </w:rPr>
        <w:t>宁市公安局交警大队车辆管理所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bookmarkStart w:id="5" w:name="_Toc29011_WPSOffice_Level1"/>
      <w:r>
        <w:rPr>
          <w:rFonts w:ascii="Times New Roman" w:hAnsi="Times New Roman" w:eastAsia="黑体" w:cs="Times New Roman"/>
          <w:sz w:val="32"/>
          <w:szCs w:val="32"/>
        </w:rPr>
        <w:t>四、设定和实施依据：</w:t>
      </w:r>
      <w:bookmarkEnd w:id="5"/>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《云南省电动自行车管理规定》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《昆明市残疾人机动轮椅车管理规定》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bookmarkStart w:id="6" w:name="_Toc15384_WPSOffice_Level1"/>
      <w:r>
        <w:rPr>
          <w:rFonts w:ascii="Times New Roman" w:hAnsi="Times New Roman" w:eastAsia="黑体" w:cs="Times New Roman"/>
          <w:sz w:val="32"/>
          <w:szCs w:val="32"/>
        </w:rPr>
        <w:t>五、子项：</w:t>
      </w:r>
      <w:bookmarkEnd w:id="6"/>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非机动车登记（县级权限）</w:t>
      </w:r>
      <w:r>
        <w:rPr>
          <w:rFonts w:ascii="Times New Roman" w:hAnsi="Times New Roman" w:eastAsia="方正仿宋_GBK" w:cs="Times New Roman"/>
          <w:sz w:val="32"/>
          <w:szCs w:val="32"/>
        </w:rPr>
        <w:t xml:space="preserve"> </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 w:cs="Times New Roman"/>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简体" w:cs="Times New Roman"/>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hint="eastAsia" w:ascii="Times New Roman" w:hAnsi="Times New Roman" w:eastAsia="方正小标宋简体" w:cs="Times New Roman"/>
          <w:sz w:val="32"/>
          <w:szCs w:val="32"/>
        </w:rPr>
      </w:pPr>
    </w:p>
    <w:p>
      <w:pPr>
        <w:pStyle w:val="2"/>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lang w:eastAsia="zh-CN"/>
        </w:rPr>
      </w:pPr>
    </w:p>
    <w:p>
      <w:pPr>
        <w:pStyle w:val="3"/>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hint="eastAsia"/>
          <w:sz w:val="32"/>
          <w:szCs w:val="32"/>
        </w:rPr>
      </w:pPr>
    </w:p>
    <w:p>
      <w:pPr>
        <w:pStyle w:val="2"/>
        <w:pageBreakBefore w:val="0"/>
        <w:kinsoku/>
        <w:wordWrap/>
        <w:overflowPunct/>
        <w:topLinePunct w:val="0"/>
        <w:autoSpaceDE/>
        <w:autoSpaceDN/>
        <w:bidi w:val="0"/>
        <w:spacing w:line="576" w:lineRule="exact"/>
        <w:ind w:left="0" w:leftChars="0" w:firstLine="640" w:firstLineChars="200"/>
        <w:textAlignment w:val="auto"/>
        <w:rPr>
          <w:sz w:val="32"/>
          <w:szCs w:val="32"/>
          <w:lang w:eastAsia="zh-CN"/>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小标宋简体" w:cs="Times New Roman"/>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s="Times New Roman"/>
          <w:sz w:val="32"/>
          <w:szCs w:val="32"/>
        </w:rPr>
      </w:pPr>
      <w:bookmarkStart w:id="7" w:name="_Toc17272_WPSOffice_Level1"/>
      <w:r>
        <w:rPr>
          <w:rFonts w:hint="eastAsia" w:ascii="Times New Roman" w:hAnsi="Times New Roman" w:eastAsia="方正小标宋_GBK" w:cs="Times New Roman"/>
          <w:sz w:val="32"/>
          <w:szCs w:val="32"/>
        </w:rPr>
        <w:t>非机动车登记（县级权限）</w:t>
      </w:r>
      <w:bookmarkEnd w:id="7"/>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cs="Times New Roman"/>
          <w:sz w:val="32"/>
          <w:szCs w:val="32"/>
        </w:rPr>
      </w:pPr>
      <w:bookmarkStart w:id="8" w:name="_Toc31932_WPSOffice_Level1"/>
      <w:r>
        <w:rPr>
          <w:rFonts w:ascii="Times New Roman" w:hAnsi="Times New Roman" w:eastAsia="方正小标宋_GBK" w:cs="Times New Roman"/>
          <w:sz w:val="32"/>
          <w:szCs w:val="32"/>
        </w:rPr>
        <w:t>【000109120003】</w:t>
      </w:r>
      <w:bookmarkEnd w:id="8"/>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bookmarkStart w:id="9" w:name="_Toc3958_WPSOffice_Level1"/>
      <w:r>
        <w:rPr>
          <w:rFonts w:ascii="Times New Roman" w:hAnsi="Times New Roman" w:eastAsia="黑体" w:cs="Times New Roman"/>
          <w:sz w:val="32"/>
          <w:szCs w:val="32"/>
        </w:rPr>
        <w:t>一、基本要素</w:t>
      </w:r>
      <w:bookmarkEnd w:id="9"/>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非机动车登记</w:t>
      </w:r>
      <w:r>
        <w:rPr>
          <w:rFonts w:ascii="Times New Roman" w:hAnsi="Times New Roman" w:eastAsia="方正仿宋_GBK" w:cs="Times New Roman"/>
          <w:sz w:val="32"/>
          <w:szCs w:val="32"/>
        </w:rPr>
        <w:t>【0001091</w:t>
      </w:r>
      <w:r>
        <w:rPr>
          <w:rFonts w:hint="eastAsia" w:ascii="Times New Roman" w:hAnsi="Times New Roman" w:eastAsia="方正仿宋_GBK" w:cs="Times New Roman"/>
          <w:sz w:val="32"/>
          <w:szCs w:val="32"/>
        </w:rPr>
        <w:t>4400</w:t>
      </w:r>
      <w:r>
        <w:rPr>
          <w:rFonts w:ascii="Times New Roman" w:hAnsi="Times New Roman" w:eastAsia="方正仿宋_GBK" w:cs="Times New Roman"/>
          <w:sz w:val="32"/>
          <w:szCs w:val="32"/>
        </w:rPr>
        <w:t>Y】</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小标宋_GBK" w:cs="Times New Roman"/>
          <w:sz w:val="32"/>
          <w:szCs w:val="32"/>
        </w:rPr>
        <w:t>非机动车登记（县级权限）</w:t>
      </w:r>
      <w:r>
        <w:rPr>
          <w:rFonts w:ascii="Times New Roman" w:hAnsi="Times New Roman" w:eastAsia="方正仿宋_GBK" w:cs="Times New Roman"/>
          <w:sz w:val="32"/>
          <w:szCs w:val="32"/>
        </w:rPr>
        <w:t>【0001091</w:t>
      </w:r>
      <w:r>
        <w:rPr>
          <w:rFonts w:hint="eastAsia" w:ascii="Times New Roman" w:hAnsi="Times New Roman" w:eastAsia="方正仿宋_GBK" w:cs="Times New Roman"/>
          <w:sz w:val="32"/>
          <w:szCs w:val="32"/>
        </w:rPr>
        <w:t>44003</w:t>
      </w:r>
      <w:r>
        <w:rPr>
          <w:rFonts w:ascii="Times New Roman" w:hAnsi="Times New Roman" w:eastAsia="方正仿宋_GBK" w:cs="Times New Roman"/>
          <w:sz w:val="32"/>
          <w:szCs w:val="32"/>
        </w:rPr>
        <w:t>】</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小标宋_GBK" w:cs="Times New Roman"/>
          <w:sz w:val="32"/>
          <w:szCs w:val="32"/>
        </w:rPr>
        <w:t>非机动车登记（县级权限）</w:t>
      </w:r>
      <w:r>
        <w:rPr>
          <w:rFonts w:ascii="Times New Roman" w:hAnsi="Times New Roman" w:eastAsia="方正仿宋_GBK" w:cs="Times New Roman"/>
          <w:sz w:val="32"/>
          <w:szCs w:val="32"/>
        </w:rPr>
        <w:t>【0001091</w:t>
      </w:r>
      <w:r>
        <w:rPr>
          <w:rFonts w:hint="eastAsia" w:ascii="Times New Roman" w:hAnsi="Times New Roman" w:eastAsia="方正仿宋_GBK" w:cs="Times New Roman"/>
          <w:sz w:val="32"/>
          <w:szCs w:val="32"/>
        </w:rPr>
        <w:t>4400301</w:t>
      </w:r>
      <w:r>
        <w:rPr>
          <w:rFonts w:ascii="Times New Roman" w:hAnsi="Times New Roman" w:eastAsia="方正仿宋_GBK" w:cs="Times New Roman"/>
          <w:sz w:val="32"/>
          <w:szCs w:val="32"/>
        </w:rPr>
        <w:t>】</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4.设定依据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国标（GB17761-1999）标准</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《云南省电动自行车管理规定》（省政府令第182号）</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b/>
          <w:bCs/>
          <w:sz w:val="32"/>
          <w:szCs w:val="32"/>
        </w:rPr>
      </w:pPr>
      <w:r>
        <w:rPr>
          <w:rFonts w:hint="eastAsia" w:ascii="Times New Roman" w:hAnsi="Times New Roman" w:eastAsia="仿宋GB2312"/>
          <w:b/>
          <w:bCs/>
          <w:sz w:val="32"/>
          <w:szCs w:val="32"/>
        </w:rPr>
        <w:t>5.实施依据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国标（GB17761-1999）标准</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《云南省电动自行车管理规定》（省政府令第182号）</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6.监管依据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国标（GB17761-1999）标准</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《云南省电动自行车管理规定》（省政府令第182号）</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宋体"/>
          <w:sz w:val="32"/>
          <w:szCs w:val="32"/>
          <w:lang w:eastAsia="zh-CN"/>
        </w:rPr>
      </w:pPr>
      <w:r>
        <w:rPr>
          <w:rFonts w:hint="eastAsia" w:ascii="Times New Roman" w:hAnsi="Times New Roman" w:eastAsia="仿宋GB2312"/>
          <w:b/>
          <w:bCs/>
          <w:sz w:val="32"/>
          <w:szCs w:val="32"/>
        </w:rPr>
        <w:t>7.</w:t>
      </w:r>
      <w:r>
        <w:rPr>
          <w:rFonts w:ascii="Times New Roman" w:hAnsi="Times New Roman" w:eastAsia="仿宋GB2312"/>
          <w:b/>
          <w:bCs/>
          <w:sz w:val="32"/>
          <w:szCs w:val="32"/>
        </w:rPr>
        <w:t>实施机关</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rPr>
        <w:t>公</w:t>
      </w:r>
      <w:r>
        <w:rPr>
          <w:rFonts w:hint="eastAsia" w:ascii="宋体" w:hAnsi="宋体" w:cs="宋体"/>
          <w:sz w:val="32"/>
          <w:szCs w:val="32"/>
        </w:rPr>
        <w:t>安</w:t>
      </w:r>
      <w:r>
        <w:rPr>
          <w:rFonts w:hint="eastAsia" w:ascii="方正仿宋_GBK" w:hAnsi="方正仿宋_GBK" w:eastAsia="方正仿宋_GBK" w:cs="方正仿宋_GBK"/>
          <w:sz w:val="32"/>
          <w:szCs w:val="32"/>
          <w:lang w:val="en-US" w:eastAsia="zh-CN"/>
        </w:rPr>
        <w:t>机关</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8.</w:t>
      </w:r>
      <w:r>
        <w:rPr>
          <w:rFonts w:ascii="Times New Roman" w:hAnsi="Times New Roman" w:eastAsia="仿宋GB2312"/>
          <w:b/>
          <w:bCs/>
          <w:sz w:val="32"/>
          <w:szCs w:val="32"/>
        </w:rPr>
        <w:t>审批层级</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9.行使</w:t>
      </w:r>
      <w:r>
        <w:rPr>
          <w:rFonts w:ascii="Times New Roman" w:hAnsi="Times New Roman" w:eastAsia="仿宋GB2312"/>
          <w:b/>
          <w:bCs/>
          <w:sz w:val="32"/>
          <w:szCs w:val="32"/>
        </w:rPr>
        <w:t>层级</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10.</w:t>
      </w:r>
      <w:r>
        <w:rPr>
          <w:rFonts w:ascii="Times New Roman" w:hAnsi="Times New Roman" w:eastAsia="仿宋GB2312"/>
          <w:b/>
          <w:bCs/>
          <w:sz w:val="32"/>
          <w:szCs w:val="32"/>
        </w:rPr>
        <w:t>是否由审批机关受理</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11.</w:t>
      </w:r>
      <w:r>
        <w:rPr>
          <w:rFonts w:ascii="Times New Roman" w:hAnsi="Times New Roman" w:eastAsia="仿宋GB2312"/>
          <w:b/>
          <w:bCs/>
          <w:sz w:val="32"/>
          <w:szCs w:val="32"/>
        </w:rPr>
        <w:t>受理层级</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县级</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12.</w:t>
      </w:r>
      <w:r>
        <w:rPr>
          <w:rFonts w:ascii="Times New Roman" w:hAnsi="Times New Roman" w:eastAsia="仿宋GB2312"/>
          <w:b/>
          <w:bCs/>
          <w:sz w:val="32"/>
          <w:szCs w:val="32"/>
        </w:rPr>
        <w:t>是否存在初审环节</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highlight w:val="yellow"/>
        </w:rPr>
      </w:pPr>
      <w:r>
        <w:rPr>
          <w:rFonts w:hint="eastAsia" w:ascii="Times New Roman" w:hAnsi="Times New Roman" w:eastAsia="仿宋GB2312"/>
          <w:b/>
          <w:bCs/>
          <w:sz w:val="32"/>
          <w:szCs w:val="32"/>
        </w:rPr>
        <w:t>13.</w:t>
      </w:r>
      <w:r>
        <w:rPr>
          <w:rFonts w:ascii="Times New Roman" w:hAnsi="Times New Roman" w:eastAsia="仿宋GB2312"/>
          <w:b/>
          <w:bCs/>
          <w:sz w:val="32"/>
          <w:szCs w:val="32"/>
        </w:rPr>
        <w:t>初审层级</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ascii="方正仿宋_GBK" w:hAnsi="方正仿宋_GBK" w:eastAsia="方正仿宋_GBK" w:cs="方正仿宋_GBK"/>
          <w:sz w:val="32"/>
          <w:szCs w:val="32"/>
        </w:rPr>
      </w:pPr>
      <w:r>
        <w:rPr>
          <w:rFonts w:hint="eastAsia" w:ascii="Times New Roman" w:hAnsi="Times New Roman" w:eastAsia="仿宋GB2312"/>
          <w:b/>
          <w:bCs/>
          <w:sz w:val="32"/>
          <w:szCs w:val="32"/>
        </w:rPr>
        <w:t>14.</w:t>
      </w:r>
      <w:r>
        <w:rPr>
          <w:rFonts w:ascii="Times New Roman" w:hAnsi="Times New Roman" w:eastAsia="仿宋GB2312"/>
          <w:b/>
          <w:bCs/>
          <w:sz w:val="32"/>
          <w:szCs w:val="32"/>
        </w:rPr>
        <w:t>对应政务服务事项国家级基本目录名称</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无对应政务服务事项</w:t>
      </w:r>
    </w:p>
    <w:p>
      <w:pPr>
        <w:pageBreakBefore w:val="0"/>
        <w:kinsoku/>
        <w:wordWrap/>
        <w:overflowPunct/>
        <w:topLinePunct w:val="0"/>
        <w:autoSpaceDE/>
        <w:autoSpaceDN/>
        <w:bidi w:val="0"/>
        <w:spacing w:line="576" w:lineRule="exact"/>
        <w:ind w:left="0" w:leftChars="0" w:firstLine="643" w:firstLineChars="200"/>
        <w:jc w:val="left"/>
        <w:textAlignment w:val="auto"/>
        <w:rPr>
          <w:rFonts w:ascii="方正仿宋_GBK" w:hAnsi="方正仿宋_GBK" w:eastAsia="方正仿宋_GBK" w:cs="方正仿宋_GBK"/>
          <w:sz w:val="32"/>
          <w:szCs w:val="32"/>
        </w:rPr>
      </w:pPr>
      <w:r>
        <w:rPr>
          <w:rFonts w:hint="eastAsia" w:ascii="Times New Roman" w:hAnsi="Times New Roman" w:eastAsia="仿宋GB2312"/>
          <w:b/>
          <w:bCs/>
          <w:sz w:val="32"/>
          <w:szCs w:val="32"/>
        </w:rPr>
        <w:t>15.要素统一情况：</w:t>
      </w:r>
      <w:r>
        <w:rPr>
          <w:rFonts w:hint="eastAsia" w:ascii="方正仿宋_GBK" w:hAnsi="方正仿宋_GBK" w:eastAsia="方正仿宋_GBK" w:cs="方正仿宋_GBK"/>
          <w:sz w:val="32"/>
          <w:szCs w:val="32"/>
        </w:rPr>
        <w:t>全部要素全国统一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10" w:name="_Toc21928_WPSOffice_Level1"/>
      <w:r>
        <w:rPr>
          <w:rFonts w:hint="eastAsia" w:ascii="Times New Roman" w:hAnsi="Times New Roman" w:eastAsia="黑体"/>
          <w:sz w:val="32"/>
          <w:szCs w:val="32"/>
        </w:rPr>
        <w:t>二、行政许可事项类型</w:t>
      </w:r>
      <w:bookmarkEnd w:id="10"/>
    </w:p>
    <w:p>
      <w:pPr>
        <w:pageBreakBefore w:val="0"/>
        <w:kinsoku/>
        <w:wordWrap/>
        <w:overflowPunct/>
        <w:topLinePunct w:val="0"/>
        <w:autoSpaceDE/>
        <w:autoSpaceDN/>
        <w:bidi w:val="0"/>
        <w:spacing w:line="576" w:lineRule="exact"/>
        <w:ind w:left="0" w:leftChars="0" w:firstLine="640" w:firstLineChars="2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1" w:name="_Toc6693_WPSOffice_Level1"/>
      <w:r>
        <w:rPr>
          <w:rFonts w:hint="eastAsia" w:ascii="Times New Roman" w:hAnsi="Times New Roman" w:eastAsia="黑体"/>
          <w:sz w:val="32"/>
          <w:szCs w:val="32"/>
        </w:rPr>
        <w:t>三、行政许可条件</w:t>
      </w:r>
      <w:bookmarkEnd w:id="11"/>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1.准予行政许可的条件</w:t>
      </w:r>
    </w:p>
    <w:p>
      <w:pPr>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交验本人名下持有的电动自行车辆、本人身份证、购车发票或车辆来历证明、车辆合格证。</w:t>
      </w:r>
    </w:p>
    <w:p>
      <w:pPr>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ascii="Times New Roman" w:hAnsi="Times New Roman" w:eastAsia="仿宋GB2312"/>
          <w:b/>
          <w:bCs/>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国标（GB17761-1999）标准</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《云南省电动自行车管理规定》（省政府令第182号）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12" w:name="_Toc4322_WPSOffice_Level1"/>
      <w:r>
        <w:rPr>
          <w:rFonts w:hint="eastAsia" w:ascii="Times New Roman" w:hAnsi="Times New Roman" w:eastAsia="黑体"/>
          <w:sz w:val="32"/>
          <w:szCs w:val="32"/>
        </w:rPr>
        <w:t>四、</w:t>
      </w:r>
      <w:r>
        <w:rPr>
          <w:rFonts w:ascii="Times New Roman" w:hAnsi="Times New Roman" w:eastAsia="黑体"/>
          <w:sz w:val="32"/>
          <w:szCs w:val="32"/>
        </w:rPr>
        <w:t>行政许可服务对象类型</w:t>
      </w:r>
      <w:r>
        <w:rPr>
          <w:rFonts w:hint="eastAsia" w:ascii="Times New Roman" w:hAnsi="Times New Roman" w:eastAsia="黑体"/>
          <w:sz w:val="32"/>
          <w:szCs w:val="32"/>
        </w:rPr>
        <w:t>与改革举措</w:t>
      </w:r>
      <w:bookmarkEnd w:id="12"/>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1.服务对象类型：自然</w:t>
      </w:r>
      <w:r>
        <w:rPr>
          <w:rFonts w:ascii="Times New Roman" w:hAnsi="Times New Roman" w:eastAsia="仿宋GB2312"/>
          <w:b/>
          <w:bCs/>
          <w:sz w:val="32"/>
          <w:szCs w:val="32"/>
        </w:rPr>
        <w:t>人，</w:t>
      </w:r>
      <w:r>
        <w:rPr>
          <w:rFonts w:ascii="方正仿宋_GBK" w:hAnsi="方正仿宋_GBK" w:eastAsia="方正仿宋_GBK" w:cs="方正仿宋_GBK"/>
          <w:sz w:val="32"/>
          <w:szCs w:val="32"/>
        </w:rPr>
        <w:t>企业法人,事业单位法人,社会组织法人,行政机关,其他组织</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2.是否为涉企许可事项：</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3.涉企经营许可事项名称：</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4.许可证件名称：</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5.改革方式：</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b/>
          <w:bCs/>
          <w:sz w:val="32"/>
          <w:szCs w:val="32"/>
        </w:rPr>
      </w:pPr>
      <w:r>
        <w:rPr>
          <w:rFonts w:hint="eastAsia" w:ascii="Times New Roman" w:hAnsi="Times New Roman" w:eastAsia="仿宋GB2312"/>
          <w:b/>
          <w:bCs/>
          <w:sz w:val="32"/>
          <w:szCs w:val="32"/>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简化提交材料</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b/>
          <w:bCs/>
          <w:sz w:val="32"/>
          <w:szCs w:val="32"/>
        </w:rPr>
      </w:pPr>
      <w:r>
        <w:rPr>
          <w:rFonts w:hint="eastAsia" w:ascii="Times New Roman" w:hAnsi="Times New Roman" w:eastAsia="仿宋GB2312"/>
          <w:b/>
          <w:bCs/>
          <w:sz w:val="32"/>
          <w:szCs w:val="32"/>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hint="eastAsia" w:ascii="宋体" w:hAnsi="宋体"/>
          <w:sz w:val="32"/>
          <w:szCs w:val="32"/>
        </w:rPr>
      </w:pPr>
      <w:r>
        <w:rPr>
          <w:rFonts w:hint="eastAsia" w:ascii="宋体" w:hAnsi="宋体"/>
          <w:sz w:val="32"/>
          <w:szCs w:val="32"/>
        </w:rPr>
        <w:t>（一）车辆管理所办理机动车登记业务时，业务受理、资料审查、机动车查验工作，应当由民警承担或者由文职、聘用人员按规定在民警监督下执行。业务导办、数据录入、制发牌证、档案整理等工作可以由文职、聘用人员承担。</w:t>
      </w:r>
    </w:p>
    <w:p>
      <w:pPr>
        <w:pageBreakBefore w:val="0"/>
        <w:kinsoku/>
        <w:wordWrap/>
        <w:overflowPunct/>
        <w:topLinePunct w:val="0"/>
        <w:autoSpaceDE/>
        <w:autoSpaceDN/>
        <w:bidi w:val="0"/>
        <w:spacing w:line="576" w:lineRule="exact"/>
        <w:ind w:left="0" w:leftChars="0" w:firstLine="640" w:firstLineChars="200"/>
        <w:textAlignment w:val="auto"/>
        <w:rPr>
          <w:rFonts w:hint="eastAsia" w:ascii="宋体" w:hAnsi="宋体"/>
          <w:sz w:val="32"/>
          <w:szCs w:val="32"/>
        </w:rPr>
      </w:pPr>
      <w:r>
        <w:rPr>
          <w:rFonts w:hint="eastAsia" w:ascii="宋体" w:hAnsi="宋体"/>
          <w:sz w:val="32"/>
          <w:szCs w:val="32"/>
        </w:rPr>
        <w:t>（二）对机动车进行查验的人员应具有相应的知识和技能，经公安机关交通管理部门培训考试合格并获得查验员资格证书，根据公安机关交通管理部门授权从事机动车查验工作的人员。</w:t>
      </w:r>
    </w:p>
    <w:p>
      <w:pPr>
        <w:pageBreakBefore w:val="0"/>
        <w:kinsoku/>
        <w:wordWrap/>
        <w:overflowPunct/>
        <w:topLinePunct w:val="0"/>
        <w:autoSpaceDE/>
        <w:autoSpaceDN/>
        <w:bidi w:val="0"/>
        <w:spacing w:line="576" w:lineRule="exact"/>
        <w:ind w:left="0" w:leftChars="0" w:firstLine="640" w:firstLineChars="200"/>
        <w:textAlignment w:val="auto"/>
        <w:rPr>
          <w:rFonts w:ascii="方正仿宋_GBK" w:hAnsi="方正仿宋_GBK" w:eastAsia="方正仿宋_GBK" w:cs="方正仿宋_GBK"/>
          <w:sz w:val="32"/>
          <w:szCs w:val="32"/>
        </w:rPr>
      </w:pPr>
      <w:r>
        <w:rPr>
          <w:rFonts w:hint="eastAsia" w:ascii="宋体" w:hAnsi="宋体"/>
          <w:color w:val="000000"/>
          <w:sz w:val="32"/>
          <w:szCs w:val="32"/>
        </w:rPr>
        <w:t>（三）公安机关交通管理部门车辆管理所及其外派机构的获得上岗资格的工作人员。</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3" w:name="_Toc955_WPSOffice_Level1"/>
      <w:r>
        <w:rPr>
          <w:rFonts w:hint="eastAsia" w:ascii="Times New Roman" w:hAnsi="Times New Roman" w:eastAsia="黑体"/>
          <w:sz w:val="32"/>
          <w:szCs w:val="32"/>
        </w:rPr>
        <w:t>五、申请材料</w:t>
      </w:r>
      <w:bookmarkEnd w:id="13"/>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1.申请材料名称</w:t>
      </w:r>
    </w:p>
    <w:p>
      <w:pPr>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1、电动自行车落户申请书；</w:t>
      </w:r>
    </w:p>
    <w:p>
      <w:pPr>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2、本人身份证；</w:t>
      </w:r>
    </w:p>
    <w:p>
      <w:pPr>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3、购车发票或有效来历证明；</w:t>
      </w:r>
    </w:p>
    <w:p>
      <w:pPr>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4、电动自行车车辆合格证。</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b/>
          <w:bCs/>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规定申请材料的依据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国标（GB17761-1999）标准</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《云南省电动自行车管理规定》（省政府令第182号）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4" w:name="_Toc31471_WPSOffice_Level1"/>
      <w:r>
        <w:rPr>
          <w:rFonts w:hint="eastAsia" w:ascii="Times New Roman" w:hAnsi="Times New Roman" w:eastAsia="黑体"/>
          <w:sz w:val="32"/>
          <w:szCs w:val="32"/>
        </w:rPr>
        <w:t>六、中介服务</w:t>
      </w:r>
      <w:bookmarkEnd w:id="14"/>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1.有无法定中介服务事项：</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方正仿宋_GBK" w:hAnsi="方正仿宋_GBK" w:eastAsia="方正仿宋_GBK" w:cs="方正仿宋_GBK"/>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中介服务事项名称</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3.</w:t>
      </w:r>
      <w:r>
        <w:rPr>
          <w:rFonts w:ascii="Times New Roman" w:hAnsi="Times New Roman" w:eastAsia="仿宋GB2312"/>
          <w:b/>
          <w:bCs/>
          <w:sz w:val="32"/>
          <w:szCs w:val="32"/>
        </w:rPr>
        <w:t>设定中介服务事项的依据</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4.</w:t>
      </w:r>
      <w:r>
        <w:rPr>
          <w:rFonts w:ascii="Times New Roman" w:hAnsi="Times New Roman" w:eastAsia="仿宋GB2312"/>
          <w:b/>
          <w:bCs/>
          <w:sz w:val="32"/>
          <w:szCs w:val="32"/>
        </w:rPr>
        <w:t>提供中介服务的机构</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5.</w:t>
      </w:r>
      <w:r>
        <w:rPr>
          <w:rFonts w:ascii="Times New Roman" w:hAnsi="Times New Roman" w:eastAsia="仿宋GB2312"/>
          <w:b/>
          <w:bCs/>
          <w:sz w:val="32"/>
          <w:szCs w:val="32"/>
        </w:rPr>
        <w:t>中介服务事项的收费性质</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5" w:name="_Toc26440_WPSOffice_Level1"/>
      <w:r>
        <w:rPr>
          <w:rFonts w:hint="eastAsia" w:ascii="Times New Roman" w:hAnsi="Times New Roman" w:eastAsia="黑体"/>
          <w:sz w:val="32"/>
          <w:szCs w:val="32"/>
        </w:rPr>
        <w:t>七、审批程序</w:t>
      </w:r>
      <w:bookmarkEnd w:id="15"/>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1.办理行政许可的程序环节</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（一）申请</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岗位职责和权限：</w:t>
      </w:r>
      <w:r>
        <w:rPr>
          <w:rFonts w:hint="eastAsia" w:ascii="仿宋_GB2312" w:hAnsi="仿宋_GB2312" w:eastAsia="仿宋_GB2312" w:cs="仿宋_GB2312"/>
          <w:color w:val="333333"/>
          <w:kern w:val="0"/>
          <w:sz w:val="32"/>
          <w:szCs w:val="32"/>
          <w:shd w:val="clear" w:color="auto" w:fill="FFFFFF"/>
        </w:rPr>
        <w:t>接收申请人提交的证明、凭证。</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（二）受理</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审查标准：</w:t>
      </w:r>
      <w:r>
        <w:rPr>
          <w:rFonts w:hint="eastAsia" w:ascii="仿宋_GB2312" w:hAnsi="仿宋_GB2312" w:eastAsia="仿宋_GB2312" w:cs="仿宋_GB2312"/>
          <w:color w:val="333333"/>
          <w:kern w:val="0"/>
          <w:sz w:val="32"/>
          <w:szCs w:val="32"/>
          <w:shd w:val="clear" w:color="auto" w:fill="FFFFFF"/>
        </w:rPr>
        <w:t>采集核对证明、凭证。</w:t>
      </w:r>
      <w:r>
        <w:rPr>
          <w:rFonts w:ascii="仿宋_GB2312" w:hAnsi="仿宋_GB2312" w:eastAsia="仿宋_GB2312" w:cs="仿宋_GB2312"/>
          <w:color w:val="333333"/>
          <w:kern w:val="0"/>
          <w:sz w:val="32"/>
          <w:szCs w:val="32"/>
          <w:shd w:val="clear" w:color="auto" w:fill="FFFFFF"/>
        </w:rPr>
        <w:t xml:space="preserve"> </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（三）审查</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审查标准：</w:t>
      </w:r>
      <w:r>
        <w:rPr>
          <w:rFonts w:hint="eastAsia" w:ascii="仿宋_GB2312" w:hAnsi="仿宋_GB2312" w:eastAsia="仿宋_GB2312" w:cs="仿宋_GB2312"/>
          <w:color w:val="333333"/>
          <w:kern w:val="0"/>
          <w:sz w:val="32"/>
          <w:szCs w:val="32"/>
          <w:shd w:val="clear" w:color="auto" w:fill="FFFFFF"/>
        </w:rPr>
        <w:t>审查证明、凭证。</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（四）决定</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审查标准：</w:t>
      </w:r>
      <w:r>
        <w:rPr>
          <w:rFonts w:hint="eastAsia" w:ascii="仿宋_GB2312" w:hAnsi="仿宋_GB2312" w:eastAsia="仿宋_GB2312" w:cs="仿宋_GB2312"/>
          <w:color w:val="333333"/>
          <w:kern w:val="0"/>
          <w:sz w:val="32"/>
          <w:szCs w:val="32"/>
          <w:shd w:val="clear" w:color="auto" w:fill="FFFFFF"/>
        </w:rPr>
        <w:t>核对计算机管理信息。</w:t>
      </w:r>
    </w:p>
    <w:p>
      <w:pPr>
        <w:pageBreakBefore w:val="0"/>
        <w:widowControl/>
        <w:shd w:val="clear" w:color="auto" w:fill="FFFFFF"/>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（五）送达</w:t>
      </w:r>
    </w:p>
    <w:p>
      <w:pPr>
        <w:pageBreakBefore w:val="0"/>
        <w:widowControl/>
        <w:kinsoku/>
        <w:wordWrap/>
        <w:overflowPunct/>
        <w:topLinePunct w:val="0"/>
        <w:autoSpaceDE/>
        <w:autoSpaceDN/>
        <w:bidi w:val="0"/>
        <w:spacing w:line="576" w:lineRule="exact"/>
        <w:ind w:left="0" w:leftChars="0" w:firstLine="640"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自取或邮政寄递</w:t>
      </w:r>
    </w:p>
    <w:p>
      <w:pPr>
        <w:pageBreakBefore w:val="0"/>
        <w:widowControl/>
        <w:kinsoku/>
        <w:wordWrap/>
        <w:overflowPunct/>
        <w:topLinePunct w:val="0"/>
        <w:autoSpaceDE/>
        <w:autoSpaceDN/>
        <w:bidi w:val="0"/>
        <w:spacing w:line="576" w:lineRule="exact"/>
        <w:ind w:left="0" w:leftChars="0" w:firstLine="643" w:firstLineChars="200"/>
        <w:jc w:val="left"/>
        <w:textAlignment w:val="auto"/>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color w:val="333333"/>
          <w:kern w:val="0"/>
          <w:sz w:val="32"/>
          <w:szCs w:val="32"/>
          <w:shd w:val="clear" w:color="auto" w:fill="FFFFFF"/>
        </w:rPr>
        <w:t>（六）公开</w:t>
      </w:r>
    </w:p>
    <w:p>
      <w:pPr>
        <w:pageBreakBefore w:val="0"/>
        <w:widowControl/>
        <w:kinsoku/>
        <w:wordWrap/>
        <w:overflowPunct/>
        <w:topLinePunct w:val="0"/>
        <w:autoSpaceDE/>
        <w:autoSpaceDN/>
        <w:bidi w:val="0"/>
        <w:spacing w:line="576" w:lineRule="exact"/>
        <w:ind w:left="0" w:leftChars="0" w:firstLine="640" w:firstLineChars="200"/>
        <w:jc w:val="left"/>
        <w:textAlignment w:val="auto"/>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公开</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国标（GB17761-1999）标准</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《云南省电动自行车管理规定》（省政府令第182号）</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3.</w:t>
      </w:r>
      <w:r>
        <w:rPr>
          <w:rFonts w:ascii="Times New Roman" w:hAnsi="Times New Roman" w:eastAsia="仿宋GB2312"/>
          <w:b/>
          <w:bCs/>
          <w:sz w:val="32"/>
          <w:szCs w:val="32"/>
        </w:rPr>
        <w:t>是否需要现场勘验</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4.</w:t>
      </w:r>
      <w:r>
        <w:rPr>
          <w:rFonts w:ascii="Times New Roman" w:hAnsi="Times New Roman" w:eastAsia="仿宋GB2312"/>
          <w:b/>
          <w:bCs/>
          <w:sz w:val="32"/>
          <w:szCs w:val="32"/>
        </w:rPr>
        <w:t>是否需要组织听证</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5.</w:t>
      </w:r>
      <w:r>
        <w:rPr>
          <w:rFonts w:ascii="Times New Roman" w:hAnsi="Times New Roman" w:eastAsia="仿宋GB2312"/>
          <w:b/>
          <w:bCs/>
          <w:sz w:val="32"/>
          <w:szCs w:val="32"/>
        </w:rPr>
        <w:t>是否需要招标、拍卖、挂牌交易</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6.</w:t>
      </w:r>
      <w:r>
        <w:rPr>
          <w:rFonts w:ascii="Times New Roman" w:hAnsi="Times New Roman" w:eastAsia="仿宋GB2312"/>
          <w:b/>
          <w:bCs/>
          <w:sz w:val="32"/>
          <w:szCs w:val="32"/>
        </w:rPr>
        <w:t>是否需要检验、检测、检疫</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7.</w:t>
      </w:r>
      <w:r>
        <w:rPr>
          <w:rFonts w:ascii="Times New Roman" w:hAnsi="Times New Roman" w:eastAsia="仿宋GB2312"/>
          <w:b/>
          <w:bCs/>
          <w:sz w:val="32"/>
          <w:szCs w:val="32"/>
        </w:rPr>
        <w:t>是否需要鉴定</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8.</w:t>
      </w:r>
      <w:r>
        <w:rPr>
          <w:rFonts w:ascii="Times New Roman" w:hAnsi="Times New Roman" w:eastAsia="仿宋GB2312"/>
          <w:b/>
          <w:bCs/>
          <w:sz w:val="32"/>
          <w:szCs w:val="32"/>
        </w:rPr>
        <w:t>是否需要专家评审</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9.</w:t>
      </w:r>
      <w:r>
        <w:rPr>
          <w:rFonts w:ascii="Times New Roman" w:hAnsi="Times New Roman" w:eastAsia="仿宋GB2312"/>
          <w:b/>
          <w:bCs/>
          <w:sz w:val="32"/>
          <w:szCs w:val="32"/>
        </w:rPr>
        <w:t>是否需要向社会公示</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部分情况下开展</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10.</w:t>
      </w:r>
      <w:r>
        <w:rPr>
          <w:rFonts w:ascii="Times New Roman" w:hAnsi="Times New Roman" w:eastAsia="仿宋GB2312"/>
          <w:b/>
          <w:bCs/>
          <w:sz w:val="32"/>
          <w:szCs w:val="32"/>
        </w:rPr>
        <w:t>是否实行告知承诺办理</w:t>
      </w:r>
      <w:r>
        <w:rPr>
          <w:rFonts w:hint="eastAsia" w:ascii="Times New Roman" w:hAnsi="Times New Roman" w:eastAsia="仿宋GB2312"/>
          <w:b/>
          <w:bCs/>
          <w:sz w:val="32"/>
          <w:szCs w:val="32"/>
        </w:rPr>
        <w:t>：</w:t>
      </w:r>
      <w:r>
        <w:rPr>
          <w:rFonts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b/>
          <w:bCs/>
          <w:sz w:val="32"/>
          <w:szCs w:val="32"/>
        </w:rPr>
      </w:pPr>
      <w:r>
        <w:rPr>
          <w:rFonts w:hint="eastAsia" w:ascii="Times New Roman" w:hAnsi="Times New Roman" w:eastAsia="仿宋GB2312"/>
          <w:b/>
          <w:bCs/>
          <w:sz w:val="32"/>
          <w:szCs w:val="32"/>
        </w:rPr>
        <w:t>11.审批机关是否委托服务机构开展技术性服务：</w:t>
      </w:r>
      <w:r>
        <w:rPr>
          <w:rFonts w:hint="eastAsia"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6" w:name="_Toc10448_WPSOffice_Level1"/>
      <w:r>
        <w:rPr>
          <w:rFonts w:hint="eastAsia" w:ascii="Times New Roman" w:hAnsi="Times New Roman" w:eastAsia="黑体"/>
          <w:sz w:val="32"/>
          <w:szCs w:val="32"/>
        </w:rPr>
        <w:t>八、受理和审批时限</w:t>
      </w:r>
      <w:bookmarkEnd w:id="16"/>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1.承诺受理时限：</w:t>
      </w:r>
      <w:r>
        <w:rPr>
          <w:rFonts w:ascii="方正仿宋_GBK" w:hAnsi="方正仿宋_GBK" w:eastAsia="方正仿宋_GBK" w:cs="方正仿宋_GBK"/>
          <w:sz w:val="32"/>
          <w:szCs w:val="32"/>
        </w:rPr>
        <w:t>1个工作日</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2.法定审批时限：</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个工作日</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3.规定法定审批时限依据</w:t>
      </w:r>
    </w:p>
    <w:p>
      <w:pPr>
        <w:pageBreakBefore w:val="0"/>
        <w:kinsoku/>
        <w:wordWrap/>
        <w:overflowPunct/>
        <w:topLinePunct w:val="0"/>
        <w:autoSpaceDE/>
        <w:autoSpaceDN/>
        <w:bidi w:val="0"/>
        <w:spacing w:line="576" w:lineRule="exact"/>
        <w:ind w:left="0" w:leftChars="0" w:firstLine="643" w:firstLineChars="200"/>
        <w:textAlignment w:val="auto"/>
        <w:outlineLvl w:val="1"/>
        <w:rPr>
          <w:rFonts w:hint="eastAsia" w:ascii="宋体" w:hAnsi="宋体" w:cs="宋体"/>
          <w:sz w:val="32"/>
          <w:szCs w:val="32"/>
        </w:rPr>
      </w:pPr>
      <w:r>
        <w:rPr>
          <w:rFonts w:hint="eastAsia" w:ascii="Times New Roman" w:hAnsi="Times New Roman" w:eastAsia="仿宋GB2312"/>
          <w:b/>
          <w:bCs/>
          <w:sz w:val="32"/>
          <w:szCs w:val="32"/>
        </w:rPr>
        <w:t>（1）</w:t>
      </w:r>
      <w:r>
        <w:rPr>
          <w:rFonts w:hint="eastAsia" w:ascii="宋体" w:hAnsi="宋体" w:cs="宋体"/>
          <w:sz w:val="32"/>
          <w:szCs w:val="32"/>
        </w:rPr>
        <w:t>国标（GB17761-1999）标准</w:t>
      </w:r>
    </w:p>
    <w:p>
      <w:pPr>
        <w:pageBreakBefore w:val="0"/>
        <w:kinsoku/>
        <w:wordWrap/>
        <w:overflowPunct/>
        <w:topLinePunct w:val="0"/>
        <w:autoSpaceDE/>
        <w:autoSpaceDN/>
        <w:bidi w:val="0"/>
        <w:spacing w:line="576" w:lineRule="exact"/>
        <w:ind w:left="0" w:leftChars="0" w:firstLine="643" w:firstLineChars="200"/>
        <w:jc w:val="left"/>
        <w:textAlignment w:val="auto"/>
        <w:outlineLvl w:val="1"/>
        <w:rPr>
          <w:rFonts w:hint="eastAsia" w:ascii="宋体" w:hAnsi="宋体" w:cs="宋体"/>
          <w:sz w:val="32"/>
          <w:szCs w:val="32"/>
        </w:rPr>
      </w:pPr>
      <w:r>
        <w:rPr>
          <w:rFonts w:hint="eastAsia" w:ascii="Times New Roman" w:hAnsi="Times New Roman" w:eastAsia="仿宋GB2312"/>
          <w:b/>
          <w:bCs/>
          <w:sz w:val="32"/>
          <w:szCs w:val="32"/>
        </w:rPr>
        <w:t>（2）</w:t>
      </w:r>
      <w:r>
        <w:rPr>
          <w:rFonts w:hint="eastAsia" w:ascii="宋体" w:hAnsi="宋体" w:cs="宋体"/>
          <w:sz w:val="32"/>
          <w:szCs w:val="32"/>
        </w:rPr>
        <w:t>《云南省电动自行车管理规定》（省政府令第182号）</w:t>
      </w:r>
    </w:p>
    <w:p>
      <w:pPr>
        <w:pageBreakBefore w:val="0"/>
        <w:kinsoku/>
        <w:wordWrap/>
        <w:overflowPunct/>
        <w:topLinePunct w:val="0"/>
        <w:autoSpaceDE/>
        <w:autoSpaceDN/>
        <w:bidi w:val="0"/>
        <w:spacing w:line="576" w:lineRule="exact"/>
        <w:ind w:left="0" w:leftChars="0" w:firstLine="643" w:firstLineChars="200"/>
        <w:textAlignment w:val="auto"/>
        <w:rPr>
          <w:rFonts w:ascii="方正仿宋_GBK" w:hAnsi="方正仿宋_GBK" w:eastAsia="方正仿宋_GBK" w:cs="方正仿宋_GBK"/>
          <w:sz w:val="32"/>
          <w:szCs w:val="32"/>
        </w:rPr>
      </w:pPr>
      <w:r>
        <w:rPr>
          <w:rFonts w:hint="eastAsia" w:ascii="Times New Roman" w:hAnsi="Times New Roman" w:eastAsia="仿宋GB2312"/>
          <w:b/>
          <w:bCs/>
          <w:sz w:val="32"/>
          <w:szCs w:val="32"/>
        </w:rPr>
        <w:t>4.承诺审批时限：</w:t>
      </w:r>
      <w:r>
        <w:rPr>
          <w:rFonts w:ascii="方正仿宋_GBK" w:hAnsi="方正仿宋_GBK" w:eastAsia="方正仿宋_GBK" w:cs="方正仿宋_GBK"/>
          <w:sz w:val="32"/>
          <w:szCs w:val="32"/>
        </w:rPr>
        <w:t>1个工作日</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7" w:name="_Toc6958_WPSOffice_Level1"/>
      <w:r>
        <w:rPr>
          <w:rFonts w:hint="eastAsia" w:ascii="Times New Roman" w:hAnsi="Times New Roman" w:eastAsia="黑体"/>
          <w:sz w:val="32"/>
          <w:szCs w:val="32"/>
        </w:rPr>
        <w:t>九、收费</w:t>
      </w:r>
      <w:bookmarkEnd w:id="17"/>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1.办理行政许可是否收费：</w:t>
      </w:r>
      <w:r>
        <w:rPr>
          <w:rFonts w:hint="eastAsia" w:ascii="宋体" w:hAnsi="宋体" w:cs="宋体"/>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方正仿宋_GBK" w:hAnsi="方正仿宋_GBK" w:eastAsia="方正仿宋_GBK" w:cs="方正仿宋_GBK"/>
          <w:b/>
          <w:bCs/>
          <w:sz w:val="32"/>
          <w:szCs w:val="32"/>
        </w:rPr>
      </w:pPr>
      <w:r>
        <w:rPr>
          <w:rFonts w:hint="eastAsia" w:ascii="Times New Roman" w:hAnsi="Times New Roman" w:eastAsia="仿宋GB2312"/>
          <w:b/>
          <w:bCs/>
          <w:sz w:val="32"/>
          <w:szCs w:val="32"/>
        </w:rPr>
        <w:t>2.收费项目的名称、收费项目的标准、设定收费项目的依据、规定收费标准的依据：</w:t>
      </w:r>
      <w:r>
        <w:rPr>
          <w:rFonts w:hint="eastAsia" w:ascii="仿宋_GB2312" w:hAnsi="仿宋_GB2312" w:eastAsia="仿宋_GB2312" w:cs="仿宋_GB2312"/>
          <w:color w:val="333333"/>
          <w:kern w:val="0"/>
          <w:sz w:val="32"/>
          <w:szCs w:val="32"/>
          <w:shd w:val="clear" w:color="auto" w:fill="FFFFFF"/>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8" w:name="_Toc32543_WPSOffice_Level1"/>
      <w:r>
        <w:rPr>
          <w:rFonts w:hint="eastAsia" w:ascii="Times New Roman" w:hAnsi="Times New Roman" w:eastAsia="黑体"/>
          <w:sz w:val="32"/>
          <w:szCs w:val="32"/>
        </w:rPr>
        <w:t>十、行政许可证件</w:t>
      </w:r>
      <w:bookmarkEnd w:id="18"/>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仿宋GB2312"/>
          <w:sz w:val="32"/>
          <w:szCs w:val="32"/>
        </w:rPr>
      </w:pPr>
      <w:r>
        <w:rPr>
          <w:rFonts w:hint="eastAsia" w:ascii="Times New Roman" w:hAnsi="Times New Roman" w:eastAsia="仿宋GB2312"/>
          <w:b/>
          <w:bCs/>
          <w:sz w:val="32"/>
          <w:szCs w:val="32"/>
        </w:rPr>
        <w:t>1.审批结果类型：</w:t>
      </w:r>
      <w:r>
        <w:rPr>
          <w:rFonts w:hint="eastAsia" w:ascii="方正仿宋_GBK" w:hAnsi="方正仿宋_GBK" w:eastAsia="方正仿宋_GBK" w:cs="方正仿宋_GBK"/>
          <w:sz w:val="32"/>
          <w:szCs w:val="32"/>
        </w:rPr>
        <w:t>证照</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2.审批结果名称：</w:t>
      </w:r>
      <w:r>
        <w:rPr>
          <w:rFonts w:hint="eastAsia" w:ascii="仿宋_GB2312" w:hAnsi="仿宋_GB2312" w:eastAsia="仿宋_GB2312" w:cs="仿宋_GB2312"/>
          <w:color w:val="333333"/>
          <w:kern w:val="0"/>
          <w:sz w:val="32"/>
          <w:szCs w:val="32"/>
          <w:shd w:val="clear" w:color="auto" w:fill="FFFFFF"/>
        </w:rPr>
        <w:t>审批出件</w:t>
      </w:r>
    </w:p>
    <w:p>
      <w:pPr>
        <w:pageBreakBefore w:val="0"/>
        <w:kinsoku/>
        <w:wordWrap/>
        <w:overflowPunct/>
        <w:topLinePunct w:val="0"/>
        <w:autoSpaceDE/>
        <w:autoSpaceDN/>
        <w:bidi w:val="0"/>
        <w:spacing w:line="576" w:lineRule="exact"/>
        <w:ind w:left="0" w:leftChars="0" w:firstLine="643" w:firstLineChars="200"/>
        <w:textAlignment w:val="auto"/>
        <w:rPr>
          <w:rFonts w:hint="eastAsia" w:ascii="宋体" w:hAnsi="宋体" w:cs="宋体"/>
          <w:sz w:val="32"/>
          <w:szCs w:val="32"/>
        </w:rPr>
      </w:pPr>
      <w:r>
        <w:rPr>
          <w:rFonts w:hint="eastAsia" w:ascii="Times New Roman" w:hAnsi="Times New Roman" w:eastAsia="仿宋GB2312"/>
          <w:b/>
          <w:bCs/>
          <w:sz w:val="32"/>
          <w:szCs w:val="32"/>
        </w:rPr>
        <w:t>3.审批结果的有效期限：</w:t>
      </w:r>
      <w:r>
        <w:rPr>
          <w:rFonts w:hint="eastAsia" w:ascii="宋体" w:hAnsi="宋体" w:cs="宋体"/>
          <w:sz w:val="32"/>
          <w:szCs w:val="32"/>
        </w:rPr>
        <w:t>视</w:t>
      </w:r>
      <w:r>
        <w:rPr>
          <w:rFonts w:ascii="宋体" w:hAnsi="宋体" w:cs="宋体"/>
          <w:sz w:val="32"/>
          <w:szCs w:val="32"/>
        </w:rPr>
        <w:t>具体情况</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4.规定审批结果有效期限的依据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国标（GB17761-1999）标准</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《云南省电动自行车管理规定》（省政府令第182号）</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hint="eastAsia" w:ascii="Times New Roman" w:hAnsi="Times New Roman" w:eastAsia="仿宋GB2312"/>
          <w:b/>
          <w:bCs/>
          <w:sz w:val="32"/>
          <w:szCs w:val="32"/>
        </w:rPr>
        <w:t>5.是否需要办理审批结果变更手续：</w:t>
      </w:r>
      <w:r>
        <w:rPr>
          <w:rFonts w:hint="eastAsia"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6.办理审批结果变更手续的要求</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仿宋_GB2312" w:hAnsi="仿宋_GB2312" w:eastAsia="仿宋_GB2312" w:cs="仿宋_GB2312"/>
          <w:color w:val="333333"/>
          <w:sz w:val="32"/>
          <w:szCs w:val="32"/>
          <w:shd w:val="clear" w:color="auto" w:fill="FFFFFF"/>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7.是否需要办理审批结果延续手续：</w:t>
      </w:r>
      <w:r>
        <w:rPr>
          <w:rFonts w:hint="eastAsia" w:ascii="方正仿宋_GBK" w:hAnsi="方正仿宋_GBK" w:eastAsia="方正仿宋_GBK" w:cs="方正仿宋_GBK"/>
          <w:sz w:val="32"/>
          <w:szCs w:val="32"/>
        </w:rPr>
        <w:t>否</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8.办理审批结果延续手续的要求</w:t>
      </w:r>
    </w:p>
    <w:p>
      <w:pPr>
        <w:pageBreakBefore w:val="0"/>
        <w:kinsoku/>
        <w:wordWrap/>
        <w:overflowPunct/>
        <w:topLinePunct w:val="0"/>
        <w:autoSpaceDE/>
        <w:autoSpaceDN/>
        <w:bidi w:val="0"/>
        <w:spacing w:line="576" w:lineRule="exact"/>
        <w:ind w:left="0" w:leftChars="0" w:firstLine="640" w:firstLineChars="200"/>
        <w:textAlignment w:val="auto"/>
        <w:rPr>
          <w:rFonts w:hint="eastAsia" w:ascii="Times New Roman" w:hAnsi="Times New Roman" w:eastAsia="仿宋GB2312"/>
          <w:sz w:val="32"/>
          <w:szCs w:val="32"/>
        </w:rPr>
      </w:pPr>
      <w:r>
        <w:rPr>
          <w:rFonts w:hint="eastAsia" w:ascii="Times New Roman" w:hAnsi="Times New Roman" w:eastAsia="仿宋GB2312"/>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9.审批结果的有效地域范围</w:t>
      </w:r>
    </w:p>
    <w:p>
      <w:pPr>
        <w:pageBreakBefore w:val="0"/>
        <w:kinsoku/>
        <w:wordWrap/>
        <w:overflowPunct/>
        <w:topLinePunct w:val="0"/>
        <w:autoSpaceDE/>
        <w:autoSpaceDN/>
        <w:bidi w:val="0"/>
        <w:spacing w:line="576" w:lineRule="exact"/>
        <w:ind w:left="0" w:leftChars="0" w:firstLine="640" w:firstLineChars="200"/>
        <w:textAlignment w:val="auto"/>
        <w:outlineLvl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本县</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b/>
          <w:bCs/>
          <w:sz w:val="32"/>
          <w:szCs w:val="32"/>
        </w:rPr>
      </w:pPr>
      <w:r>
        <w:rPr>
          <w:rFonts w:hint="eastAsia" w:ascii="Times New Roman" w:hAnsi="Times New Roman" w:eastAsia="仿宋GB2312"/>
          <w:b/>
          <w:bCs/>
          <w:sz w:val="32"/>
          <w:szCs w:val="32"/>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国标（GB17761-1999）标准</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宋体" w:hAnsi="宋体" w:cs="宋体"/>
          <w:sz w:val="32"/>
          <w:szCs w:val="32"/>
        </w:rPr>
      </w:pPr>
      <w:r>
        <w:rPr>
          <w:rFonts w:hint="eastAsia" w:ascii="宋体" w:hAnsi="宋体" w:cs="宋体"/>
          <w:sz w:val="32"/>
          <w:szCs w:val="32"/>
        </w:rPr>
        <w:t>《云南省电动自行车管理规定》（省政府令第182号）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19" w:name="_Toc16989_WPSOffice_Level1"/>
      <w:r>
        <w:rPr>
          <w:rFonts w:hint="eastAsia" w:ascii="Times New Roman" w:hAnsi="Times New Roman" w:eastAsia="黑体"/>
          <w:sz w:val="32"/>
          <w:szCs w:val="32"/>
        </w:rPr>
        <w:t>十一、行政许可数量限制</w:t>
      </w:r>
      <w:bookmarkEnd w:id="19"/>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1.有无行政许可数量限制：</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2.公布数量限制的方式：</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3.公布数量限制的周期：</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4.在数量限制条件下实施行政许可的方式：</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5.规定在数量限制条件下实施行政许可方式的依据：</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hint="eastAsia" w:ascii="Times New Roman" w:hAnsi="Times New Roman" w:eastAsia="黑体"/>
          <w:sz w:val="32"/>
          <w:szCs w:val="32"/>
        </w:rPr>
      </w:pPr>
      <w:bookmarkStart w:id="20" w:name="_Toc2783_WPSOffice_Level1"/>
      <w:r>
        <w:rPr>
          <w:rFonts w:hint="eastAsia" w:ascii="Times New Roman" w:hAnsi="Times New Roman" w:eastAsia="黑体"/>
          <w:sz w:val="32"/>
          <w:szCs w:val="32"/>
        </w:rPr>
        <w:t>十二、行政许可后年检</w:t>
      </w:r>
      <w:bookmarkEnd w:id="20"/>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1.有无年检要求：</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2.设定年检要求的依据：</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3.年检周期：</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4.年检是否要求报送材料：</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5.年检报送材料名称：</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6.年检是否收费：</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7.年检收费项目的名称、年检收费项目的标准、设定年检收费项目的依据、规定年检项目收费标准的依据：</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Times New Roman" w:hAnsi="Times New Roman" w:eastAsia="仿宋GB2312"/>
          <w:sz w:val="32"/>
          <w:szCs w:val="32"/>
        </w:rPr>
      </w:pPr>
      <w:r>
        <w:rPr>
          <w:rFonts w:hint="eastAsia" w:ascii="Times New Roman" w:hAnsi="Times New Roman" w:eastAsia="仿宋GB2312"/>
          <w:b/>
          <w:bCs/>
          <w:sz w:val="32"/>
          <w:szCs w:val="32"/>
        </w:rPr>
        <w:t>8.通过年检的证明或者标志：</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21" w:name="_Toc7251_WPSOffice_Level1"/>
      <w:r>
        <w:rPr>
          <w:rFonts w:hint="eastAsia" w:ascii="Times New Roman" w:hAnsi="Times New Roman" w:eastAsia="黑体"/>
          <w:sz w:val="32"/>
          <w:szCs w:val="32"/>
        </w:rPr>
        <w:t>十三、行政许可后年报</w:t>
      </w:r>
      <w:bookmarkEnd w:id="21"/>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1.</w:t>
      </w:r>
      <w:r>
        <w:rPr>
          <w:rFonts w:ascii="Times New Roman" w:hAnsi="Times New Roman" w:eastAsia="仿宋GB2312"/>
          <w:b/>
          <w:bCs/>
          <w:sz w:val="32"/>
          <w:szCs w:val="32"/>
        </w:rPr>
        <w:t>有无年报要求</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年报报送材料名称</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hint="eastAsia" w:ascii="方正仿宋_GBK" w:hAnsi="方正仿宋_GBK" w:eastAsia="方正仿宋_GBK" w:cs="方正仿宋_GBK"/>
          <w:sz w:val="32"/>
          <w:szCs w:val="32"/>
        </w:rPr>
      </w:pPr>
      <w:r>
        <w:rPr>
          <w:rFonts w:hint="eastAsia" w:ascii="Times New Roman" w:hAnsi="Times New Roman" w:eastAsia="仿宋GB2312"/>
          <w:b/>
          <w:bCs/>
          <w:sz w:val="32"/>
          <w:szCs w:val="32"/>
        </w:rPr>
        <w:t>3.</w:t>
      </w:r>
      <w:r>
        <w:rPr>
          <w:rFonts w:ascii="Times New Roman" w:hAnsi="Times New Roman" w:eastAsia="仿宋GB2312"/>
          <w:b/>
          <w:bCs/>
          <w:sz w:val="32"/>
          <w:szCs w:val="32"/>
        </w:rPr>
        <w:t>设定年报要求的依据</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hint="eastAsia" w:ascii="Times New Roman" w:hAnsi="Times New Roman" w:eastAsia="仿宋GB2312"/>
          <w:sz w:val="32"/>
          <w:szCs w:val="32"/>
        </w:rPr>
      </w:pPr>
      <w:r>
        <w:rPr>
          <w:rFonts w:hint="eastAsia" w:ascii="Times New Roman" w:hAnsi="Times New Roman" w:eastAsia="仿宋GB2312"/>
          <w:b/>
          <w:bCs/>
          <w:sz w:val="32"/>
          <w:szCs w:val="32"/>
        </w:rPr>
        <w:t>4.</w:t>
      </w:r>
      <w:r>
        <w:rPr>
          <w:rFonts w:ascii="Times New Roman" w:hAnsi="Times New Roman" w:eastAsia="仿宋GB2312"/>
          <w:b/>
          <w:bCs/>
          <w:sz w:val="32"/>
          <w:szCs w:val="32"/>
        </w:rPr>
        <w:t>年报周期</w:t>
      </w:r>
      <w:r>
        <w:rPr>
          <w:rFonts w:hint="eastAsia" w:ascii="Times New Roman" w:hAnsi="Times New Roman" w:eastAsia="仿宋GB2312"/>
          <w:b/>
          <w:bCs/>
          <w:sz w:val="32"/>
          <w:szCs w:val="32"/>
        </w:rPr>
        <w:t>：</w:t>
      </w:r>
      <w:r>
        <w:rPr>
          <w:rFonts w:hint="eastAsia" w:ascii="方正仿宋_GBK" w:hAnsi="方正仿宋_GBK" w:eastAsia="方正仿宋_GBK" w:cs="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22" w:name="_Toc506_WPSOffice_Level1"/>
      <w:r>
        <w:rPr>
          <w:rFonts w:hint="eastAsia" w:ascii="Times New Roman" w:hAnsi="Times New Roman" w:eastAsia="黑体"/>
          <w:sz w:val="32"/>
          <w:szCs w:val="32"/>
        </w:rPr>
        <w:t>十四、监管主体</w:t>
      </w:r>
      <w:bookmarkEnd w:id="22"/>
    </w:p>
    <w:p>
      <w:pPr>
        <w:pageBreakBefore w:val="0"/>
        <w:kinsoku/>
        <w:wordWrap/>
        <w:overflowPunct/>
        <w:topLinePunct w:val="0"/>
        <w:autoSpaceDE/>
        <w:autoSpaceDN/>
        <w:bidi w:val="0"/>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县级公安</w:t>
      </w:r>
      <w:r>
        <w:rPr>
          <w:rFonts w:hint="eastAsia" w:ascii="方正仿宋_GBK" w:hAnsi="方正仿宋_GBK" w:eastAsia="方正仿宋_GBK" w:cs="方正仿宋_GBK"/>
          <w:sz w:val="32"/>
          <w:szCs w:val="32"/>
          <w:lang w:val="en-US" w:eastAsia="zh-CN"/>
        </w:rPr>
        <w:t>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bookmarkStart w:id="23" w:name="_Toc12847_WPSOffice_Level1"/>
      <w:r>
        <w:rPr>
          <w:rFonts w:hint="eastAsia" w:ascii="Times New Roman" w:hAnsi="Times New Roman" w:eastAsia="黑体"/>
          <w:sz w:val="32"/>
          <w:szCs w:val="32"/>
        </w:rPr>
        <w:t>十五、备注</w:t>
      </w:r>
      <w:bookmarkEnd w:id="23"/>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bookmarkStart w:id="24" w:name="_GoBack"/>
      <w:bookmarkEnd w:id="24"/>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黑体"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F7950"/>
    <w:rsid w:val="25025D66"/>
    <w:rsid w:val="28E7106E"/>
    <w:rsid w:val="362F7950"/>
    <w:rsid w:val="45870E24"/>
    <w:rsid w:val="5C5E2CAA"/>
    <w:rsid w:val="5C6F6CB7"/>
    <w:rsid w:val="6C6B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2024-01-02T01:01:00Z</dcterms:created>
  <dc:creator>User</dc:creator>
  <cp:lastModifiedBy>514</cp:lastModifiedBy>
  <dcterms:modified xsi:type="dcterms:W3CDTF">2024-01-02T07:32:03Z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