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600" w:lineRule="exact"/>
        <w:jc w:val="center"/>
        <w:outlineLvl w:val="0"/>
        <w:rPr>
          <w:rFonts w:hint="eastAsia" w:ascii="方正小标宋简体" w:hAnsi="方正小标宋简体" w:eastAsia="方正小标宋简体" w:cs="方正小标宋简体"/>
          <w:b w:val="0"/>
          <w:bCs w:val="0"/>
          <w:sz w:val="44"/>
          <w:szCs w:val="44"/>
        </w:rPr>
      </w:pPr>
      <w:bookmarkStart w:id="0" w:name="_Toc530670652"/>
      <w:bookmarkStart w:id="1" w:name="_Toc530735955"/>
      <w:bookmarkStart w:id="22" w:name="_GoBack"/>
      <w:bookmarkEnd w:id="22"/>
      <w:r>
        <w:rPr>
          <w:rFonts w:hint="eastAsia" w:ascii="方正小标宋简体" w:hAnsi="方正小标宋简体" w:eastAsia="方正小标宋简体" w:cs="方正小标宋简体"/>
          <w:b w:val="0"/>
          <w:bCs w:val="0"/>
          <w:sz w:val="44"/>
          <w:szCs w:val="44"/>
        </w:rPr>
        <w:t>《安宁市工业绿色发展规划》的编制说明</w:t>
      </w:r>
      <w:bookmarkEnd w:id="0"/>
      <w:bookmarkEnd w:id="1"/>
    </w:p>
    <w:p>
      <w:pPr>
        <w:spacing w:line="560" w:lineRule="exact"/>
        <w:ind w:firstLine="600" w:firstLineChars="200"/>
        <w:rPr>
          <w:rFonts w:hint="default" w:ascii="Times New Roman" w:hAnsi="Times New Roman" w:eastAsia="仿宋_GB2312" w:cs="Times New Roman"/>
          <w:sz w:val="30"/>
          <w:szCs w:val="30"/>
        </w:rPr>
      </w:pPr>
    </w:p>
    <w:p>
      <w:pPr>
        <w:spacing w:line="600" w:lineRule="exact"/>
        <w:ind w:firstLine="640" w:firstLineChars="200"/>
        <w:outlineLvl w:val="1"/>
        <w:rPr>
          <w:rFonts w:hint="eastAsia" w:ascii="黑体" w:hAnsi="黑体" w:eastAsia="黑体" w:cs="黑体"/>
          <w:b w:val="0"/>
          <w:bCs/>
          <w:sz w:val="32"/>
          <w:szCs w:val="32"/>
        </w:rPr>
      </w:pPr>
      <w:bookmarkStart w:id="2" w:name="_Toc530735956"/>
      <w:bookmarkStart w:id="3" w:name="_Toc530670653"/>
      <w:r>
        <w:rPr>
          <w:rFonts w:hint="eastAsia" w:ascii="黑体" w:hAnsi="黑体" w:eastAsia="黑体" w:cs="黑体"/>
          <w:b w:val="0"/>
          <w:bCs/>
          <w:sz w:val="32"/>
          <w:szCs w:val="32"/>
        </w:rPr>
        <w:t>一、编制背景</w:t>
      </w:r>
      <w:bookmarkEnd w:id="2"/>
      <w:bookmarkEnd w:id="3"/>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加快推动工业绿色发展是完整、准确、全面贯彻新发展理念的战略要求，是推进新型工业化的应有之义，是促进可持续发展的大势所趋。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四五”时期是云南省深入践行“绿水青山就是金山银山”理念，谋划实施工业绿色发展“862”战略全力打造高端绿色产业基地、绿色制造强省、国家新旧动能转换先行区、有国际影响力的生态绿色产业新高地的攻坚期，也是安宁市促进工业绿色转型升级，着力打造现代绿色工业体系，推动高质量发展的关键期。为指导安宁加快新旧动能转换、促进产业基础高级化和产业链现代化、推动绿色低碳循环发展，</w:t>
      </w:r>
    </w:p>
    <w:p>
      <w:pPr>
        <w:spacing w:line="600" w:lineRule="exact"/>
        <w:ind w:firstLine="640" w:firstLineChars="200"/>
        <w:outlineLvl w:val="1"/>
        <w:rPr>
          <w:rFonts w:hint="default" w:ascii="黑体" w:hAnsi="黑体" w:eastAsia="黑体" w:cs="黑体"/>
          <w:b w:val="0"/>
          <w:bCs/>
          <w:sz w:val="32"/>
          <w:szCs w:val="32"/>
        </w:rPr>
      </w:pPr>
      <w:r>
        <w:rPr>
          <w:rFonts w:hint="default" w:ascii="黑体" w:hAnsi="黑体" w:eastAsia="黑体" w:cs="黑体"/>
          <w:b w:val="0"/>
          <w:bCs/>
          <w:sz w:val="32"/>
          <w:szCs w:val="32"/>
        </w:rPr>
        <w:t>二、编制的法律依据及政策依据</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Hans"/>
        </w:rPr>
        <w:t>本规划依据</w:t>
      </w:r>
      <w:r>
        <w:rPr>
          <w:rFonts w:hint="default" w:ascii="Times New Roman" w:hAnsi="Times New Roman" w:eastAsia="仿宋_GB2312" w:cs="Times New Roman"/>
          <w:sz w:val="32"/>
          <w:szCs w:val="32"/>
        </w:rPr>
        <w:t>《中华人民共和国国民经济和社会发展第十四个五年规划和2035年远景目标纲要》</w:t>
      </w:r>
      <w:r>
        <w:rPr>
          <w:rFonts w:hint="default" w:ascii="Times New Roman" w:hAnsi="Times New Roman" w:eastAsia="仿宋_GB2312" w:cs="Times New Roman"/>
          <w:sz w:val="32"/>
          <w:szCs w:val="32"/>
          <w:lang w:val="en-US" w:eastAsia="zh-Hans"/>
        </w:rPr>
        <w:t>《云</w:t>
      </w:r>
      <w:r>
        <w:rPr>
          <w:rFonts w:hint="default" w:ascii="Times New Roman" w:hAnsi="Times New Roman" w:eastAsia="仿宋_GB2312" w:cs="Times New Roman"/>
          <w:kern w:val="2"/>
          <w:sz w:val="32"/>
          <w:szCs w:val="32"/>
          <w:lang w:val="en-US" w:eastAsia="zh-Hans" w:bidi="ar-SA"/>
        </w:rPr>
        <w:t>南省国民经济和社会发展第十四个五年规划和二〇三五年远景目标纲要》《云南省工业绿色发展“十四五”规划》《昆明市国民经济和社会发展第十四个五年规划和二〇三五年远景目标纲要》《安宁市国民经济和社会发展第十四个五年规划和二〇三五年远景目标纲要》等政策文件编制</w:t>
      </w:r>
      <w:r>
        <w:rPr>
          <w:rFonts w:hint="default" w:ascii="Times New Roman" w:hAnsi="Times New Roman" w:eastAsia="仿宋_GB2312" w:cs="Times New Roman"/>
          <w:kern w:val="2"/>
          <w:sz w:val="32"/>
          <w:szCs w:val="32"/>
          <w:lang w:val="en-US" w:eastAsia="zh-CN" w:bidi="ar-SA"/>
        </w:rPr>
        <w:t>。</w:t>
      </w:r>
    </w:p>
    <w:p>
      <w:pPr>
        <w:spacing w:line="600" w:lineRule="exact"/>
        <w:ind w:firstLine="640" w:firstLineChars="200"/>
        <w:outlineLvl w:val="1"/>
        <w:rPr>
          <w:rFonts w:hint="default" w:ascii="黑体" w:hAnsi="黑体" w:eastAsia="黑体" w:cs="黑体"/>
          <w:b w:val="0"/>
          <w:bCs/>
          <w:sz w:val="32"/>
          <w:szCs w:val="32"/>
        </w:rPr>
      </w:pPr>
      <w:bookmarkStart w:id="4" w:name="_Toc530735958"/>
      <w:bookmarkStart w:id="5" w:name="_Toc530670655"/>
      <w:r>
        <w:rPr>
          <w:rFonts w:hint="eastAsia" w:ascii="黑体" w:hAnsi="黑体" w:eastAsia="黑体" w:cs="黑体"/>
          <w:b w:val="0"/>
          <w:bCs/>
          <w:sz w:val="32"/>
          <w:szCs w:val="32"/>
          <w:lang w:val="en-US" w:eastAsia="zh-CN"/>
        </w:rPr>
        <w:t>三</w:t>
      </w:r>
      <w:r>
        <w:rPr>
          <w:rFonts w:hint="default" w:ascii="黑体" w:hAnsi="黑体" w:eastAsia="黑体" w:cs="黑体"/>
          <w:b w:val="0"/>
          <w:bCs/>
          <w:sz w:val="32"/>
          <w:szCs w:val="32"/>
        </w:rPr>
        <w:t>、《规划》的主要内容</w:t>
      </w:r>
      <w:bookmarkEnd w:id="4"/>
      <w:bookmarkEnd w:id="5"/>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《规划》共分为</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个部分，即</w:t>
      </w:r>
      <w:r>
        <w:rPr>
          <w:rFonts w:hint="default" w:ascii="Times New Roman" w:hAnsi="Times New Roman" w:eastAsia="仿宋_GB2312" w:cs="Times New Roman"/>
          <w:sz w:val="32"/>
          <w:szCs w:val="32"/>
          <w:lang w:eastAsia="zh-CN"/>
        </w:rPr>
        <w:t>发展背景</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总体思路</w:t>
      </w:r>
      <w:r>
        <w:rPr>
          <w:rFonts w:hint="default" w:ascii="Times New Roman" w:hAnsi="Times New Roman" w:eastAsia="仿宋_GB2312" w:cs="Times New Roman"/>
          <w:sz w:val="32"/>
          <w:szCs w:val="32"/>
        </w:rPr>
        <w:t>、主要任务、保障措施。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lang w:val="en-US" w:eastAsia="zh-Hans"/>
        </w:rPr>
      </w:pPr>
      <w:r>
        <w:rPr>
          <w:rFonts w:hint="default" w:ascii="Times New Roman" w:hAnsi="Times New Roman" w:eastAsia="仿宋_GB2312" w:cs="Times New Roman"/>
          <w:b w:val="0"/>
          <w:bCs w:val="0"/>
          <w:sz w:val="32"/>
          <w:szCs w:val="32"/>
          <w:lang w:val="en-US" w:eastAsia="zh-Hans"/>
        </w:rPr>
        <w:t>（一）</w:t>
      </w:r>
      <w:r>
        <w:rPr>
          <w:rFonts w:hint="default" w:ascii="Times New Roman" w:hAnsi="Times New Roman" w:eastAsia="仿宋_GB2312" w:cs="Times New Roman"/>
          <w:b/>
          <w:bCs/>
          <w:sz w:val="32"/>
          <w:szCs w:val="32"/>
          <w:lang w:val="en-US" w:eastAsia="zh-Hans"/>
        </w:rPr>
        <w:t>发展背景。</w:t>
      </w:r>
      <w:r>
        <w:rPr>
          <w:rFonts w:hint="default" w:ascii="Times New Roman" w:hAnsi="Times New Roman" w:eastAsia="仿宋_GB2312" w:cs="Times New Roman"/>
          <w:b w:val="0"/>
          <w:bCs w:val="0"/>
          <w:sz w:val="32"/>
          <w:szCs w:val="32"/>
          <w:lang w:val="en-US" w:eastAsia="zh-Hans"/>
        </w:rPr>
        <w:t>主要说明“十四五”以来，工业绿色发展取得显著成效</w:t>
      </w:r>
      <w:r>
        <w:rPr>
          <w:rFonts w:hint="default" w:ascii="Times New Roman" w:hAnsi="Times New Roman" w:eastAsia="仿宋_GB2312" w:cs="Times New Roman"/>
          <w:b w:val="0"/>
          <w:bCs w:val="0"/>
          <w:sz w:val="32"/>
          <w:szCs w:val="32"/>
          <w:lang w:val="en-US" w:eastAsia="zh-CN"/>
        </w:rPr>
        <w:t>，存在的问题及面临的形势</w:t>
      </w:r>
      <w:r>
        <w:rPr>
          <w:rFonts w:hint="default" w:ascii="Times New Roman" w:hAnsi="Times New Roman" w:eastAsia="仿宋_GB2312" w:cs="Times New Roman"/>
          <w:b w:val="0"/>
          <w:bCs w:val="0"/>
          <w:sz w:val="32"/>
          <w:szCs w:val="32"/>
          <w:lang w:val="en-US"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Hans"/>
        </w:rPr>
        <w:t>（二）</w:t>
      </w:r>
      <w:r>
        <w:rPr>
          <w:rFonts w:hint="default" w:ascii="Times New Roman" w:hAnsi="Times New Roman" w:eastAsia="仿宋_GB2312" w:cs="Times New Roman"/>
          <w:b/>
          <w:bCs/>
          <w:sz w:val="32"/>
          <w:szCs w:val="32"/>
          <w:lang w:val="en-US" w:eastAsia="zh-CN"/>
        </w:rPr>
        <w:t>总体思路</w:t>
      </w:r>
      <w:r>
        <w:rPr>
          <w:rFonts w:hint="default" w:ascii="Times New Roman" w:hAnsi="Times New Roman" w:eastAsia="仿宋_GB2312" w:cs="Times New Roman"/>
          <w:b/>
          <w:bCs/>
          <w:sz w:val="32"/>
          <w:szCs w:val="32"/>
          <w:lang w:val="en-US" w:eastAsia="zh-Hans"/>
        </w:rPr>
        <w:t>。</w:t>
      </w:r>
      <w:r>
        <w:rPr>
          <w:rFonts w:hint="default" w:ascii="Times New Roman" w:hAnsi="Times New Roman" w:eastAsia="仿宋_GB2312" w:cs="Times New Roman"/>
          <w:b w:val="0"/>
          <w:bCs w:val="0"/>
          <w:sz w:val="32"/>
          <w:szCs w:val="32"/>
          <w:lang w:eastAsia="zh-CN"/>
        </w:rPr>
        <w:t>《规划》明确</w:t>
      </w:r>
      <w:r>
        <w:rPr>
          <w:rFonts w:hint="default" w:ascii="Times New Roman" w:hAnsi="Times New Roman" w:eastAsia="仿宋_GB2312" w:cs="Times New Roman"/>
          <w:b w:val="0"/>
          <w:bCs w:val="0"/>
          <w:sz w:val="32"/>
          <w:szCs w:val="32"/>
          <w:lang w:val="en-US" w:eastAsia="zh-Hans"/>
        </w:rPr>
        <w:t>目标导向，绿色引领</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创新驱动，转型升级</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以点带面，系统推进</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政府统领，市场主导。质效优先，循环发展。</w:t>
      </w:r>
      <w:r>
        <w:rPr>
          <w:rFonts w:hint="default" w:ascii="Times New Roman" w:hAnsi="Times New Roman" w:eastAsia="仿宋_GB2312" w:cs="Times New Roman"/>
          <w:b w:val="0"/>
          <w:bCs w:val="0"/>
          <w:sz w:val="32"/>
          <w:szCs w:val="32"/>
          <w:lang w:val="en-US" w:eastAsia="zh-CN"/>
        </w:rPr>
        <w:t>为</w:t>
      </w:r>
      <w:r>
        <w:rPr>
          <w:rFonts w:hint="default" w:ascii="Times New Roman" w:hAnsi="Times New Roman" w:eastAsia="仿宋_GB2312" w:cs="Times New Roman"/>
          <w:b/>
          <w:bCs/>
          <w:sz w:val="32"/>
          <w:szCs w:val="32"/>
          <w:lang w:val="en-US" w:eastAsia="zh-CN"/>
        </w:rPr>
        <w:t>基本原则</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eastAsia="zh-CN"/>
        </w:rPr>
        <w:t>《规划》明确</w:t>
      </w:r>
      <w:r>
        <w:rPr>
          <w:rFonts w:hint="default" w:ascii="Times New Roman" w:hAnsi="Times New Roman" w:eastAsia="仿宋_GB2312" w:cs="Times New Roman"/>
          <w:b w:val="0"/>
          <w:bCs w:val="0"/>
          <w:sz w:val="32"/>
          <w:szCs w:val="32"/>
          <w:lang w:val="en-US" w:eastAsia="zh-Hans"/>
        </w:rPr>
        <w:t>打造绿色低碳转型先行区</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打造高端化绿色转型典范</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打造全国绿色磷化工可持续发展示范区</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打造中国西部最具活力的绿色循环经济发展示范区</w:t>
      </w:r>
      <w:r>
        <w:rPr>
          <w:rFonts w:hint="default" w:ascii="Times New Roman" w:hAnsi="Times New Roman" w:eastAsia="仿宋_GB2312" w:cs="Times New Roman"/>
          <w:b w:val="0"/>
          <w:bCs w:val="0"/>
          <w:sz w:val="32"/>
          <w:szCs w:val="32"/>
          <w:lang w:val="en-US" w:eastAsia="zh-CN"/>
        </w:rPr>
        <w:t>为</w:t>
      </w:r>
      <w:r>
        <w:rPr>
          <w:rFonts w:hint="default" w:ascii="Times New Roman" w:hAnsi="Times New Roman" w:eastAsia="仿宋_GB2312" w:cs="Times New Roman"/>
          <w:b/>
          <w:bCs/>
          <w:sz w:val="32"/>
          <w:szCs w:val="32"/>
          <w:lang w:val="en-US" w:eastAsia="zh-CN"/>
        </w:rPr>
        <w:t>战略定位</w:t>
      </w:r>
      <w:r>
        <w:rPr>
          <w:rFonts w:hint="default" w:ascii="Times New Roman" w:hAnsi="Times New Roman" w:eastAsia="仿宋_GB2312" w:cs="Times New Roman"/>
          <w:b w:val="0"/>
          <w:bCs w:val="0"/>
          <w:sz w:val="32"/>
          <w:szCs w:val="32"/>
          <w:lang w:val="en-US" w:eastAsia="zh-CN"/>
        </w:rPr>
        <w:t>。提出</w:t>
      </w:r>
      <w:r>
        <w:rPr>
          <w:rFonts w:hint="default" w:ascii="Times New Roman" w:hAnsi="Times New Roman" w:eastAsia="仿宋_GB2312" w:cs="Times New Roman"/>
          <w:b w:val="0"/>
          <w:bCs w:val="0"/>
          <w:sz w:val="32"/>
          <w:szCs w:val="32"/>
          <w:lang w:val="en-US" w:eastAsia="zh-Hans"/>
        </w:rPr>
        <w:t>到</w:t>
      </w:r>
      <w:r>
        <w:rPr>
          <w:rFonts w:hint="default" w:ascii="Times New Roman" w:hAnsi="Times New Roman" w:eastAsia="仿宋_GB2312" w:cs="Times New Roman"/>
          <w:b w:val="0"/>
          <w:bCs w:val="0"/>
          <w:sz w:val="32"/>
          <w:szCs w:val="32"/>
          <w:lang w:eastAsia="zh-Hans"/>
        </w:rPr>
        <w:t>2025</w:t>
      </w:r>
      <w:r>
        <w:rPr>
          <w:rFonts w:hint="default" w:ascii="Times New Roman" w:hAnsi="Times New Roman" w:eastAsia="仿宋_GB2312" w:cs="Times New Roman"/>
          <w:b w:val="0"/>
          <w:bCs w:val="0"/>
          <w:sz w:val="32"/>
          <w:szCs w:val="32"/>
          <w:lang w:val="en-US" w:eastAsia="zh-Hans"/>
        </w:rPr>
        <w:t>年，制造业产业结构优化、工业生产绿色化、低碳化转型升级取得显著成效，绿色技术和绿色装备得到广泛应用，能源和资源循环利用水平明显提高，绿色低碳循环的现代工业发展体系基本建成。</w:t>
      </w:r>
      <w:r>
        <w:rPr>
          <w:rFonts w:hint="default" w:ascii="Times New Roman" w:hAnsi="Times New Roman" w:eastAsia="仿宋_GB2312" w:cs="Times New Roman"/>
          <w:b w:val="0"/>
          <w:bCs w:val="0"/>
          <w:kern w:val="2"/>
          <w:sz w:val="32"/>
          <w:szCs w:val="32"/>
          <w:lang w:val="en-US" w:eastAsia="zh-Hans" w:bidi="ar-SA"/>
        </w:rPr>
        <w:t>碳排放强度持续降低</w:t>
      </w:r>
      <w:r>
        <w:rPr>
          <w:rFonts w:hint="default" w:ascii="Times New Roman" w:hAnsi="Times New Roman" w:eastAsia="仿宋_GB2312" w:cs="Times New Roman"/>
          <w:b w:val="0"/>
          <w:bCs w:val="0"/>
          <w:sz w:val="32"/>
          <w:szCs w:val="32"/>
          <w:lang w:val="en-US" w:eastAsia="zh-Hans"/>
        </w:rPr>
        <w:t>。规模以上单位工业增加值二氧化碳排放量下降</w:t>
      </w:r>
      <w:r>
        <w:rPr>
          <w:rFonts w:hint="default" w:ascii="Times New Roman" w:hAnsi="Times New Roman" w:eastAsia="仿宋_GB2312" w:cs="Times New Roman"/>
          <w:b w:val="0"/>
          <w:bCs w:val="0"/>
          <w:sz w:val="32"/>
          <w:szCs w:val="32"/>
          <w:lang w:eastAsia="zh-Hans"/>
        </w:rPr>
        <w:t>11%</w:t>
      </w:r>
      <w:r>
        <w:rPr>
          <w:rFonts w:hint="default" w:ascii="Times New Roman" w:hAnsi="Times New Roman" w:eastAsia="仿宋_GB2312" w:cs="Times New Roman"/>
          <w:b w:val="0"/>
          <w:bCs w:val="0"/>
          <w:sz w:val="32"/>
          <w:szCs w:val="32"/>
          <w:lang w:val="en-US" w:eastAsia="zh-Hans"/>
        </w:rPr>
        <w:t>，主要高能耗行业二氧化碳排放控制达到全国领先水平。能源资源利用效率逐步提升。重点行业资源产出率达到</w:t>
      </w:r>
      <w:r>
        <w:rPr>
          <w:rFonts w:hint="default" w:ascii="Times New Roman" w:hAnsi="Times New Roman" w:eastAsia="仿宋_GB2312" w:cs="Times New Roman"/>
          <w:b w:val="0"/>
          <w:bCs w:val="0"/>
          <w:sz w:val="32"/>
          <w:szCs w:val="32"/>
          <w:lang w:eastAsia="zh-Hans"/>
        </w:rPr>
        <w:t>0.45</w:t>
      </w:r>
      <w:r>
        <w:rPr>
          <w:rFonts w:hint="default" w:ascii="Times New Roman" w:hAnsi="Times New Roman" w:eastAsia="仿宋_GB2312" w:cs="Times New Roman"/>
          <w:b w:val="0"/>
          <w:bCs w:val="0"/>
          <w:sz w:val="32"/>
          <w:szCs w:val="32"/>
          <w:lang w:val="en-US" w:eastAsia="zh-Hans"/>
        </w:rPr>
        <w:t>万元</w:t>
      </w:r>
      <w:r>
        <w:rPr>
          <w:rFonts w:hint="default" w:ascii="Times New Roman" w:hAnsi="Times New Roman" w:eastAsia="仿宋_GB2312" w:cs="Times New Roman"/>
          <w:b w:val="0"/>
          <w:bCs w:val="0"/>
          <w:sz w:val="32"/>
          <w:szCs w:val="32"/>
          <w:lang w:eastAsia="zh-Hans"/>
        </w:rPr>
        <w:t>/</w:t>
      </w:r>
      <w:r>
        <w:rPr>
          <w:rFonts w:hint="default" w:ascii="Times New Roman" w:hAnsi="Times New Roman" w:eastAsia="仿宋_GB2312" w:cs="Times New Roman"/>
          <w:b w:val="0"/>
          <w:bCs w:val="0"/>
          <w:sz w:val="32"/>
          <w:szCs w:val="32"/>
          <w:lang w:val="en-US" w:eastAsia="zh-Hans"/>
        </w:rPr>
        <w:t>吨，工业固废综合利用率达到</w:t>
      </w:r>
      <w:r>
        <w:rPr>
          <w:rFonts w:hint="default" w:ascii="Times New Roman" w:hAnsi="Times New Roman" w:eastAsia="仿宋_GB2312" w:cs="Times New Roman"/>
          <w:b w:val="0"/>
          <w:bCs w:val="0"/>
          <w:sz w:val="32"/>
          <w:szCs w:val="32"/>
          <w:lang w:eastAsia="zh-Hans"/>
        </w:rPr>
        <w:t>60%</w:t>
      </w:r>
      <w:r>
        <w:rPr>
          <w:rFonts w:hint="default" w:ascii="Times New Roman" w:hAnsi="Times New Roman" w:eastAsia="仿宋_GB2312" w:cs="Times New Roman"/>
          <w:b w:val="0"/>
          <w:bCs w:val="0"/>
          <w:sz w:val="32"/>
          <w:szCs w:val="32"/>
          <w:lang w:val="en-US" w:eastAsia="zh-Hans"/>
        </w:rPr>
        <w:t>，工业用水重复利用率达到</w:t>
      </w:r>
      <w:r>
        <w:rPr>
          <w:rFonts w:hint="default" w:ascii="Times New Roman" w:hAnsi="Times New Roman" w:eastAsia="仿宋_GB2312" w:cs="Times New Roman"/>
          <w:b w:val="0"/>
          <w:bCs w:val="0"/>
          <w:sz w:val="32"/>
          <w:szCs w:val="32"/>
          <w:lang w:eastAsia="zh-Hans"/>
        </w:rPr>
        <w:t>90%，</w:t>
      </w:r>
      <w:r>
        <w:rPr>
          <w:rFonts w:hint="default" w:ascii="Times New Roman" w:hAnsi="Times New Roman" w:eastAsia="仿宋_GB2312" w:cs="Times New Roman"/>
          <w:b w:val="0"/>
          <w:bCs w:val="0"/>
          <w:sz w:val="32"/>
          <w:szCs w:val="32"/>
          <w:lang w:val="en-US" w:eastAsia="zh-Hans"/>
        </w:rPr>
        <w:t>单位工业增加值用水量下降至</w:t>
      </w:r>
      <w:r>
        <w:rPr>
          <w:rFonts w:hint="default" w:ascii="Times New Roman" w:hAnsi="Times New Roman" w:eastAsia="仿宋_GB2312" w:cs="Times New Roman"/>
          <w:b w:val="0"/>
          <w:bCs w:val="0"/>
          <w:sz w:val="32"/>
          <w:szCs w:val="32"/>
          <w:lang w:eastAsia="zh-Hans"/>
        </w:rPr>
        <w:t>11.6</w:t>
      </w:r>
      <w:r>
        <w:rPr>
          <w:rFonts w:hint="default" w:ascii="Times New Roman" w:hAnsi="Times New Roman" w:eastAsia="仿宋_GB2312" w:cs="Times New Roman"/>
          <w:b w:val="0"/>
          <w:bCs w:val="0"/>
          <w:sz w:val="32"/>
          <w:szCs w:val="32"/>
          <w:lang w:val="en-US" w:eastAsia="zh-Hans"/>
        </w:rPr>
        <w:t>m³</w:t>
      </w:r>
      <w:r>
        <w:rPr>
          <w:rFonts w:hint="default" w:ascii="Times New Roman" w:hAnsi="Times New Roman" w:eastAsia="仿宋_GB2312" w:cs="Times New Roman"/>
          <w:b w:val="0"/>
          <w:bCs w:val="0"/>
          <w:sz w:val="32"/>
          <w:szCs w:val="32"/>
          <w:lang w:eastAsia="zh-Hans"/>
        </w:rPr>
        <w:t>/</w:t>
      </w:r>
      <w:r>
        <w:rPr>
          <w:rFonts w:hint="default" w:ascii="Times New Roman" w:hAnsi="Times New Roman" w:eastAsia="仿宋_GB2312" w:cs="Times New Roman"/>
          <w:b w:val="0"/>
          <w:bCs w:val="0"/>
          <w:sz w:val="32"/>
          <w:szCs w:val="32"/>
          <w:lang w:val="en-US" w:eastAsia="zh-Hans"/>
        </w:rPr>
        <w:t>吨。节能环保产业逐步壮大。加速产业绿色低碳可循环转型，以绿色制造创新推动节能环保产业进一步发展，不断提升节能环保产业竞争力，新能源产业发展水平显著提升。绿色低碳循环工业发展体系日趋完善。重点行业和重点领域绿色低碳循环工业发展体系基本建成，在主要产业全面建设绿色工厂、绿色供应链示范企业，实施绿色设计，开发绿色产品</w:t>
      </w:r>
      <w:r>
        <w:rPr>
          <w:rFonts w:hint="default" w:ascii="Times New Roman" w:hAnsi="Times New Roman" w:eastAsia="仿宋_GB2312" w:cs="Times New Roman"/>
          <w:b w:val="0"/>
          <w:bCs w:val="0"/>
          <w:sz w:val="32"/>
          <w:szCs w:val="32"/>
          <w:lang w:val="en-US" w:eastAsia="zh-CN"/>
        </w:rPr>
        <w:t>的</w:t>
      </w:r>
      <w:r>
        <w:rPr>
          <w:rFonts w:hint="default" w:ascii="Times New Roman" w:hAnsi="Times New Roman" w:eastAsia="仿宋_GB2312" w:cs="Times New Roman"/>
          <w:b/>
          <w:bCs/>
          <w:sz w:val="32"/>
          <w:szCs w:val="32"/>
          <w:lang w:val="en-US" w:eastAsia="zh-CN"/>
        </w:rPr>
        <w:t>发展目标</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lang w:val="en-US" w:eastAsia="zh-Hans"/>
        </w:rPr>
      </w:pPr>
      <w:r>
        <w:rPr>
          <w:rFonts w:hint="default" w:ascii="Times New Roman" w:hAnsi="Times New Roman" w:eastAsia="仿宋_GB2312" w:cs="Times New Roman"/>
          <w:b w:val="0"/>
          <w:bCs w:val="0"/>
          <w:sz w:val="32"/>
          <w:szCs w:val="32"/>
          <w:lang w:eastAsia="zh-CN"/>
        </w:rPr>
        <w:t>（三）</w:t>
      </w:r>
      <w:r>
        <w:rPr>
          <w:rFonts w:hint="default" w:ascii="Times New Roman" w:hAnsi="Times New Roman" w:eastAsia="仿宋_GB2312" w:cs="Times New Roman"/>
          <w:b/>
          <w:bCs/>
          <w:sz w:val="32"/>
          <w:szCs w:val="32"/>
          <w:lang w:eastAsia="zh-CN"/>
        </w:rPr>
        <w:t>主要任务。</w:t>
      </w:r>
      <w:r>
        <w:rPr>
          <w:rFonts w:hint="default" w:ascii="Times New Roman" w:hAnsi="Times New Roman" w:eastAsia="仿宋_GB2312" w:cs="Times New Roman"/>
          <w:b w:val="0"/>
          <w:bCs w:val="0"/>
          <w:sz w:val="32"/>
          <w:szCs w:val="32"/>
          <w:lang w:val="en-US" w:eastAsia="zh-CN"/>
        </w:rPr>
        <w:t>一是</w:t>
      </w:r>
      <w:r>
        <w:rPr>
          <w:rFonts w:hint="default" w:ascii="Times New Roman" w:hAnsi="Times New Roman" w:eastAsia="仿宋_GB2312" w:cs="Times New Roman"/>
          <w:b w:val="0"/>
          <w:bCs w:val="0"/>
          <w:sz w:val="32"/>
          <w:szCs w:val="32"/>
          <w:lang w:eastAsia="zh-Hans"/>
        </w:rPr>
        <w:t>构建绿色产业结构</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Hans"/>
        </w:rPr>
        <w:t>加快推动产业结构调整，坚决遏制“两高”项目盲目发展，大力推进石化产业转型升级，发展壮大新兴产业、高技术产业，推动工业高效集约集聚，全面构建绿色产业结构体系。</w:t>
      </w:r>
      <w:r>
        <w:rPr>
          <w:rFonts w:hint="default" w:ascii="Times New Roman" w:hAnsi="Times New Roman" w:eastAsia="仿宋_GB2312" w:cs="Times New Roman"/>
          <w:b w:val="0"/>
          <w:bCs w:val="0"/>
          <w:sz w:val="32"/>
          <w:szCs w:val="32"/>
          <w:lang w:eastAsia="zh-CN"/>
        </w:rPr>
        <w:t>二是</w:t>
      </w:r>
      <w:r>
        <w:rPr>
          <w:rFonts w:hint="default" w:ascii="Times New Roman" w:hAnsi="Times New Roman" w:eastAsia="仿宋_GB2312" w:cs="Times New Roman"/>
          <w:b w:val="0"/>
          <w:bCs w:val="0"/>
          <w:sz w:val="32"/>
          <w:szCs w:val="32"/>
          <w:lang w:eastAsia="zh-Hans"/>
        </w:rPr>
        <w:t>推动工业低碳发展</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Hans"/>
        </w:rPr>
        <w:t>加强重点行业碳达峰管理，积极推广应用先进绿色低碳技术，加快生产方式的绿色化转型，引导企业积极打造绿色生产示范标杆，发挥试点示范的带动效应。</w:t>
      </w:r>
      <w:r>
        <w:rPr>
          <w:rFonts w:hint="default" w:ascii="Times New Roman" w:hAnsi="Times New Roman" w:eastAsia="仿宋_GB2312" w:cs="Times New Roman"/>
          <w:b w:val="0"/>
          <w:bCs w:val="0"/>
          <w:sz w:val="32"/>
          <w:szCs w:val="32"/>
          <w:lang w:val="en-US" w:eastAsia="zh-CN"/>
        </w:rPr>
        <w:t>三是</w:t>
      </w:r>
      <w:bookmarkStart w:id="6" w:name="_Toc333872816"/>
      <w:r>
        <w:rPr>
          <w:rFonts w:hint="default" w:ascii="Times New Roman" w:hAnsi="Times New Roman" w:eastAsia="仿宋_GB2312" w:cs="Times New Roman"/>
          <w:b w:val="0"/>
          <w:bCs w:val="0"/>
          <w:sz w:val="32"/>
          <w:szCs w:val="32"/>
          <w:lang w:val="en-US" w:eastAsia="zh-CN"/>
        </w:rPr>
        <w:t>加快能源消费</w:t>
      </w:r>
      <w:r>
        <w:rPr>
          <w:rFonts w:hint="default" w:ascii="Times New Roman" w:hAnsi="Times New Roman" w:eastAsia="仿宋_GB2312" w:cs="Times New Roman"/>
          <w:b w:val="0"/>
          <w:bCs w:val="0"/>
          <w:sz w:val="32"/>
          <w:szCs w:val="32"/>
          <w:lang w:val="en-US" w:eastAsia="zh-Hans"/>
        </w:rPr>
        <w:t>绿色</w:t>
      </w:r>
      <w:r>
        <w:rPr>
          <w:rFonts w:hint="default" w:ascii="Times New Roman" w:hAnsi="Times New Roman" w:eastAsia="仿宋_GB2312" w:cs="Times New Roman"/>
          <w:b w:val="0"/>
          <w:bCs w:val="0"/>
          <w:sz w:val="32"/>
          <w:szCs w:val="32"/>
          <w:lang w:val="en-US" w:eastAsia="zh-CN"/>
        </w:rPr>
        <w:t>转型</w:t>
      </w:r>
      <w:bookmarkEnd w:id="6"/>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eastAsia="zh-Hans"/>
        </w:rPr>
        <w:t>着力提高能源利用效率，构建清洁高效低碳的工业用能结构，将节能降碳增效作为控制工业领域二氧化碳排放的关键措施，持续提升能源消费低碳化水平。</w:t>
      </w:r>
      <w:r>
        <w:rPr>
          <w:rFonts w:hint="default" w:ascii="Times New Roman" w:hAnsi="Times New Roman" w:eastAsia="仿宋_GB2312" w:cs="Times New Roman"/>
          <w:b w:val="0"/>
          <w:bCs w:val="0"/>
          <w:sz w:val="32"/>
          <w:szCs w:val="32"/>
          <w:lang w:eastAsia="zh-CN"/>
        </w:rPr>
        <w:t>四是</w:t>
      </w:r>
      <w:bookmarkStart w:id="7" w:name="_Toc223453211"/>
      <w:r>
        <w:rPr>
          <w:rFonts w:hint="default" w:ascii="Times New Roman" w:hAnsi="Times New Roman" w:eastAsia="仿宋_GB2312" w:cs="Times New Roman"/>
          <w:b w:val="0"/>
          <w:bCs w:val="0"/>
          <w:sz w:val="32"/>
          <w:szCs w:val="32"/>
          <w:lang w:val="en-US" w:eastAsia="zh-CN"/>
        </w:rPr>
        <w:t>促进资源利用循环化转型</w:t>
      </w:r>
      <w:bookmarkEnd w:id="7"/>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围绕“总量控制</w:t>
      </w:r>
      <w:r>
        <w:rPr>
          <w:rFonts w:hint="default" w:ascii="Times New Roman" w:hAnsi="Times New Roman" w:eastAsia="仿宋_GB2312" w:cs="Times New Roman"/>
          <w:b w:val="0"/>
          <w:bCs w:val="0"/>
          <w:sz w:val="32"/>
          <w:szCs w:val="32"/>
          <w:lang w:eastAsia="zh-Hans"/>
        </w:rPr>
        <w:t>、</w:t>
      </w:r>
      <w:r>
        <w:rPr>
          <w:rFonts w:hint="default" w:ascii="Times New Roman" w:hAnsi="Times New Roman" w:eastAsia="仿宋_GB2312" w:cs="Times New Roman"/>
          <w:b w:val="0"/>
          <w:bCs w:val="0"/>
          <w:sz w:val="32"/>
          <w:szCs w:val="32"/>
          <w:lang w:val="en-US" w:eastAsia="zh-Hans"/>
        </w:rPr>
        <w:t>科学配置</w:t>
      </w:r>
      <w:r>
        <w:rPr>
          <w:rFonts w:hint="default" w:ascii="Times New Roman" w:hAnsi="Times New Roman" w:eastAsia="仿宋_GB2312" w:cs="Times New Roman"/>
          <w:b w:val="0"/>
          <w:bCs w:val="0"/>
          <w:sz w:val="32"/>
          <w:szCs w:val="32"/>
          <w:lang w:eastAsia="zh-Hans"/>
        </w:rPr>
        <w:t>、</w:t>
      </w:r>
      <w:r>
        <w:rPr>
          <w:rFonts w:hint="default" w:ascii="Times New Roman" w:hAnsi="Times New Roman" w:eastAsia="仿宋_GB2312" w:cs="Times New Roman"/>
          <w:b w:val="0"/>
          <w:bCs w:val="0"/>
          <w:sz w:val="32"/>
          <w:szCs w:val="32"/>
          <w:lang w:val="en-US" w:eastAsia="zh-Hans"/>
        </w:rPr>
        <w:t>循环再生”的基本原则</w:t>
      </w:r>
      <w:r>
        <w:rPr>
          <w:rFonts w:hint="default" w:ascii="Times New Roman" w:hAnsi="Times New Roman" w:eastAsia="仿宋_GB2312" w:cs="Times New Roman"/>
          <w:b w:val="0"/>
          <w:bCs w:val="0"/>
          <w:sz w:val="32"/>
          <w:szCs w:val="32"/>
          <w:lang w:eastAsia="zh-Hans"/>
        </w:rPr>
        <w:t>，</w:t>
      </w:r>
      <w:r>
        <w:rPr>
          <w:rFonts w:hint="default" w:ascii="Times New Roman" w:hAnsi="Times New Roman" w:eastAsia="仿宋_GB2312" w:cs="Times New Roman"/>
          <w:b w:val="0"/>
          <w:bCs w:val="0"/>
          <w:sz w:val="32"/>
          <w:szCs w:val="32"/>
          <w:lang w:val="en-US" w:eastAsia="zh-Hans"/>
        </w:rPr>
        <w:t>强化资源在工业生产过程的高效集约利用</w:t>
      </w:r>
      <w:r>
        <w:rPr>
          <w:rFonts w:hint="default" w:ascii="Times New Roman" w:hAnsi="Times New Roman" w:eastAsia="仿宋_GB2312" w:cs="Times New Roman"/>
          <w:b w:val="0"/>
          <w:bCs w:val="0"/>
          <w:sz w:val="32"/>
          <w:szCs w:val="32"/>
          <w:lang w:eastAsia="zh-Hans"/>
        </w:rPr>
        <w:t>，</w:t>
      </w:r>
      <w:r>
        <w:rPr>
          <w:rFonts w:hint="default" w:ascii="Times New Roman" w:hAnsi="Times New Roman" w:eastAsia="仿宋_GB2312" w:cs="Times New Roman"/>
          <w:b w:val="0"/>
          <w:bCs w:val="0"/>
          <w:sz w:val="32"/>
          <w:szCs w:val="32"/>
          <w:lang w:val="en-US" w:eastAsia="zh-Hans"/>
        </w:rPr>
        <w:t>削减工业固废</w:t>
      </w:r>
      <w:r>
        <w:rPr>
          <w:rFonts w:hint="default" w:ascii="Times New Roman" w:hAnsi="Times New Roman" w:eastAsia="仿宋_GB2312" w:cs="Times New Roman"/>
          <w:b w:val="0"/>
          <w:bCs w:val="0"/>
          <w:sz w:val="32"/>
          <w:szCs w:val="32"/>
          <w:lang w:eastAsia="zh-Hans"/>
        </w:rPr>
        <w:t>、</w:t>
      </w:r>
      <w:r>
        <w:rPr>
          <w:rFonts w:hint="default" w:ascii="Times New Roman" w:hAnsi="Times New Roman" w:eastAsia="仿宋_GB2312" w:cs="Times New Roman"/>
          <w:b w:val="0"/>
          <w:bCs w:val="0"/>
          <w:sz w:val="32"/>
          <w:szCs w:val="32"/>
          <w:lang w:val="en-US" w:eastAsia="zh-Hans"/>
        </w:rPr>
        <w:t>废水总量</w:t>
      </w:r>
      <w:r>
        <w:rPr>
          <w:rFonts w:hint="default" w:ascii="Times New Roman" w:hAnsi="Times New Roman" w:eastAsia="仿宋_GB2312" w:cs="Times New Roman"/>
          <w:b w:val="0"/>
          <w:bCs w:val="0"/>
          <w:sz w:val="32"/>
          <w:szCs w:val="32"/>
          <w:lang w:eastAsia="zh-Hans"/>
        </w:rPr>
        <w:t>，全面提高水、</w:t>
      </w:r>
      <w:r>
        <w:rPr>
          <w:rFonts w:hint="default" w:ascii="Times New Roman" w:hAnsi="Times New Roman" w:eastAsia="仿宋_GB2312" w:cs="Times New Roman"/>
          <w:b w:val="0"/>
          <w:bCs w:val="0"/>
          <w:sz w:val="32"/>
          <w:szCs w:val="32"/>
          <w:lang w:val="en-US" w:eastAsia="zh-Hans"/>
        </w:rPr>
        <w:t>矿产</w:t>
      </w:r>
      <w:r>
        <w:rPr>
          <w:rFonts w:hint="default" w:ascii="Times New Roman" w:hAnsi="Times New Roman" w:eastAsia="仿宋_GB2312" w:cs="Times New Roman"/>
          <w:b w:val="0"/>
          <w:bCs w:val="0"/>
          <w:sz w:val="32"/>
          <w:szCs w:val="32"/>
          <w:lang w:eastAsia="zh-Hans"/>
        </w:rPr>
        <w:t>等资源利用效率，</w:t>
      </w:r>
      <w:r>
        <w:rPr>
          <w:rFonts w:hint="default" w:ascii="Times New Roman" w:hAnsi="Times New Roman" w:eastAsia="仿宋_GB2312" w:cs="Times New Roman"/>
          <w:b w:val="0"/>
          <w:bCs w:val="0"/>
          <w:color w:val="000000"/>
          <w:kern w:val="0"/>
          <w:sz w:val="32"/>
          <w:szCs w:val="32"/>
          <w:lang w:val="en-US" w:eastAsia="zh-CN" w:bidi="ar"/>
        </w:rPr>
        <w:t>加快推进以磷石膏</w:t>
      </w:r>
      <w:r>
        <w:rPr>
          <w:rFonts w:hint="default" w:ascii="Times New Roman" w:hAnsi="Times New Roman" w:eastAsia="仿宋_GB2312" w:cs="Times New Roman"/>
          <w:b w:val="0"/>
          <w:bCs w:val="0"/>
          <w:color w:val="000000"/>
          <w:kern w:val="0"/>
          <w:sz w:val="32"/>
          <w:szCs w:val="32"/>
          <w:lang w:eastAsia="zh-CN" w:bidi="ar"/>
        </w:rPr>
        <w:t>、</w:t>
      </w:r>
      <w:r>
        <w:rPr>
          <w:rFonts w:hint="default" w:ascii="Times New Roman" w:hAnsi="Times New Roman" w:eastAsia="仿宋_GB2312" w:cs="Times New Roman"/>
          <w:b w:val="0"/>
          <w:bCs w:val="0"/>
          <w:color w:val="000000"/>
          <w:kern w:val="0"/>
          <w:sz w:val="32"/>
          <w:szCs w:val="32"/>
          <w:lang w:val="en-US" w:eastAsia="zh-Hans" w:bidi="ar"/>
        </w:rPr>
        <w:t>废钢</w:t>
      </w:r>
      <w:r>
        <w:rPr>
          <w:rFonts w:hint="default" w:ascii="Times New Roman" w:hAnsi="Times New Roman" w:eastAsia="仿宋_GB2312" w:cs="Times New Roman"/>
          <w:b w:val="0"/>
          <w:bCs w:val="0"/>
          <w:color w:val="000000"/>
          <w:kern w:val="0"/>
          <w:sz w:val="32"/>
          <w:szCs w:val="32"/>
          <w:lang w:eastAsia="zh-Hans" w:bidi="ar"/>
        </w:rPr>
        <w:t>、</w:t>
      </w:r>
      <w:r>
        <w:rPr>
          <w:rFonts w:hint="default" w:ascii="Times New Roman" w:hAnsi="Times New Roman" w:eastAsia="仿宋_GB2312" w:cs="Times New Roman"/>
          <w:b w:val="0"/>
          <w:bCs w:val="0"/>
          <w:color w:val="000000"/>
          <w:kern w:val="0"/>
          <w:sz w:val="32"/>
          <w:szCs w:val="32"/>
          <w:lang w:val="en-US" w:eastAsia="zh-Hans" w:bidi="ar"/>
        </w:rPr>
        <w:t>废旧电池</w:t>
      </w:r>
      <w:r>
        <w:rPr>
          <w:rFonts w:hint="default" w:ascii="Times New Roman" w:hAnsi="Times New Roman" w:eastAsia="仿宋_GB2312" w:cs="Times New Roman"/>
          <w:b w:val="0"/>
          <w:bCs w:val="0"/>
          <w:color w:val="000000"/>
          <w:kern w:val="0"/>
          <w:sz w:val="32"/>
          <w:szCs w:val="32"/>
          <w:lang w:val="en-US" w:eastAsia="zh-CN" w:bidi="ar"/>
        </w:rPr>
        <w:t>为重点的固体</w:t>
      </w:r>
      <w:r>
        <w:rPr>
          <w:rFonts w:hint="default" w:ascii="Times New Roman" w:hAnsi="Times New Roman" w:eastAsia="仿宋_GB2312" w:cs="Times New Roman"/>
          <w:b w:val="0"/>
          <w:bCs w:val="0"/>
          <w:color w:val="000000"/>
          <w:kern w:val="0"/>
          <w:sz w:val="32"/>
          <w:szCs w:val="32"/>
          <w:lang w:val="en-US" w:eastAsia="zh-Hans" w:bidi="ar"/>
        </w:rPr>
        <w:t>废弃物资源循环利用</w:t>
      </w:r>
      <w:r>
        <w:rPr>
          <w:rFonts w:hint="default" w:ascii="Times New Roman" w:hAnsi="Times New Roman" w:eastAsia="仿宋_GB2312" w:cs="Times New Roman"/>
          <w:b w:val="0"/>
          <w:bCs w:val="0"/>
          <w:color w:val="000000"/>
          <w:kern w:val="0"/>
          <w:sz w:val="32"/>
          <w:szCs w:val="32"/>
          <w:lang w:eastAsia="zh-Hans" w:bidi="ar"/>
        </w:rPr>
        <w:t>。</w:t>
      </w:r>
      <w:bookmarkStart w:id="8" w:name="_Toc1965696027"/>
      <w:bookmarkStart w:id="9" w:name="_Toc1086186606"/>
      <w:r>
        <w:rPr>
          <w:rFonts w:hint="default" w:ascii="Times New Roman" w:hAnsi="Times New Roman" w:eastAsia="仿宋_GB2312" w:cs="Times New Roman"/>
          <w:b w:val="0"/>
          <w:bCs w:val="0"/>
          <w:color w:val="000000"/>
          <w:kern w:val="0"/>
          <w:sz w:val="32"/>
          <w:szCs w:val="32"/>
          <w:lang w:eastAsia="zh-CN" w:bidi="ar"/>
        </w:rPr>
        <w:t>五是</w:t>
      </w:r>
      <w:r>
        <w:rPr>
          <w:rFonts w:hint="default" w:ascii="Times New Roman" w:hAnsi="Times New Roman" w:eastAsia="仿宋_GB2312" w:cs="Times New Roman"/>
          <w:b w:val="0"/>
          <w:bCs w:val="0"/>
          <w:sz w:val="32"/>
          <w:szCs w:val="32"/>
          <w:lang w:val="en-US" w:eastAsia="zh-CN"/>
        </w:rPr>
        <w:t>稳步推进</w:t>
      </w:r>
      <w:r>
        <w:rPr>
          <w:rFonts w:hint="default" w:ascii="Times New Roman" w:hAnsi="Times New Roman" w:eastAsia="仿宋_GB2312" w:cs="Times New Roman"/>
          <w:b w:val="0"/>
          <w:bCs w:val="0"/>
          <w:sz w:val="32"/>
          <w:szCs w:val="32"/>
          <w:lang w:val="en-US" w:eastAsia="zh-Hans"/>
        </w:rPr>
        <w:t>工业企业</w:t>
      </w:r>
      <w:r>
        <w:rPr>
          <w:rFonts w:hint="default" w:ascii="Times New Roman" w:hAnsi="Times New Roman" w:eastAsia="仿宋_GB2312" w:cs="Times New Roman"/>
          <w:b w:val="0"/>
          <w:bCs w:val="0"/>
          <w:sz w:val="32"/>
          <w:szCs w:val="32"/>
          <w:lang w:val="en-US" w:eastAsia="zh-CN"/>
        </w:rPr>
        <w:t>清洁生产</w:t>
      </w:r>
      <w:bookmarkEnd w:id="8"/>
      <w:bookmarkEnd w:id="9"/>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以重点行业为主要抓手，强化生产过程控制和末端高效治理相结合的系统理念，提升重点行业清洁生产水平，降低生产过程污染排放，推动企业持续实施清洁生产升级改造，引导企业主动提升清洁生产水平。</w:t>
      </w:r>
      <w:bookmarkStart w:id="10" w:name="_Toc290734138"/>
      <w:bookmarkStart w:id="11" w:name="_Toc225378692"/>
      <w:r>
        <w:rPr>
          <w:rFonts w:hint="default" w:ascii="Times New Roman" w:hAnsi="Times New Roman" w:eastAsia="仿宋_GB2312" w:cs="Times New Roman"/>
          <w:b w:val="0"/>
          <w:bCs w:val="0"/>
          <w:sz w:val="32"/>
          <w:szCs w:val="32"/>
          <w:lang w:val="en-US" w:eastAsia="zh-CN"/>
        </w:rPr>
        <w:t>六是</w:t>
      </w:r>
      <w:r>
        <w:rPr>
          <w:rFonts w:hint="default" w:ascii="Times New Roman" w:hAnsi="Times New Roman" w:eastAsia="仿宋_GB2312" w:cs="Times New Roman"/>
          <w:b w:val="0"/>
          <w:bCs w:val="0"/>
          <w:sz w:val="32"/>
          <w:szCs w:val="32"/>
          <w:lang w:val="en-US" w:eastAsia="zh-Hans"/>
        </w:rPr>
        <w:t>深化绿色制造体系建设</w:t>
      </w:r>
      <w:bookmarkEnd w:id="10"/>
      <w:bookmarkEnd w:id="11"/>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强化绿色标杆的示范效应，完善绿色供应链管理体系，逐步扩大绿色产品供给范围，提供绿色技术创新能力，强化绿色服务对绿色低碳转型的支撑作用。</w:t>
      </w:r>
      <w:bookmarkStart w:id="12" w:name="_Toc631958766"/>
      <w:bookmarkStart w:id="13" w:name="_Toc34379679"/>
      <w:r>
        <w:rPr>
          <w:rFonts w:hint="default" w:ascii="Times New Roman" w:hAnsi="Times New Roman" w:eastAsia="仿宋_GB2312" w:cs="Times New Roman"/>
          <w:b w:val="0"/>
          <w:bCs w:val="0"/>
          <w:sz w:val="32"/>
          <w:szCs w:val="32"/>
          <w:lang w:val="en-US" w:eastAsia="zh-CN"/>
        </w:rPr>
        <w:t>七是加强绿色发展</w:t>
      </w:r>
      <w:r>
        <w:rPr>
          <w:rFonts w:hint="default" w:ascii="Times New Roman" w:hAnsi="Times New Roman" w:eastAsia="仿宋_GB2312" w:cs="Times New Roman"/>
          <w:b w:val="0"/>
          <w:bCs w:val="0"/>
          <w:sz w:val="32"/>
          <w:szCs w:val="32"/>
          <w:lang w:val="en-US" w:eastAsia="zh-Hans"/>
        </w:rPr>
        <w:t>区域协同</w:t>
      </w:r>
      <w:bookmarkEnd w:id="12"/>
      <w:bookmarkEnd w:id="13"/>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主动积极融入省内绿色协同创新，积极承接国内绿色产业转移，加强工业绿色发展国际合作。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val="0"/>
          <w:bCs w:val="0"/>
          <w:sz w:val="32"/>
          <w:szCs w:val="32"/>
          <w:lang w:val="en-US" w:eastAsia="zh-Hans"/>
        </w:rPr>
      </w:pPr>
      <w:r>
        <w:rPr>
          <w:rFonts w:hint="default"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lang w:val="en-US" w:eastAsia="zh-Hans"/>
        </w:rPr>
        <w:t>政策保障。</w:t>
      </w:r>
      <w:r>
        <w:rPr>
          <w:rFonts w:hint="default" w:ascii="Times New Roman" w:hAnsi="Times New Roman" w:eastAsia="仿宋_GB2312" w:cs="Times New Roman"/>
          <w:b w:val="0"/>
          <w:bCs w:val="0"/>
          <w:sz w:val="32"/>
          <w:szCs w:val="32"/>
          <w:lang w:val="en-US" w:eastAsia="zh-CN"/>
        </w:rPr>
        <w:t>《规划》提出</w:t>
      </w:r>
      <w:bookmarkStart w:id="14" w:name="_Toc1296966668"/>
      <w:bookmarkStart w:id="15" w:name="_Toc1785487937"/>
      <w:r>
        <w:rPr>
          <w:rFonts w:hint="default" w:ascii="Times New Roman" w:hAnsi="Times New Roman" w:eastAsia="仿宋_GB2312" w:cs="Times New Roman"/>
          <w:b w:val="0"/>
          <w:bCs w:val="0"/>
          <w:sz w:val="32"/>
          <w:szCs w:val="32"/>
          <w:lang w:val="en-US" w:eastAsia="zh-CN"/>
        </w:rPr>
        <w:t>四方面保障措施。一是加强规划组织实施</w:t>
      </w:r>
      <w:bookmarkEnd w:id="14"/>
      <w:bookmarkEnd w:id="15"/>
      <w:r>
        <w:rPr>
          <w:rFonts w:hint="default" w:ascii="Times New Roman" w:hAnsi="Times New Roman" w:eastAsia="仿宋_GB2312" w:cs="Times New Roman"/>
          <w:b w:val="0"/>
          <w:bCs w:val="0"/>
          <w:sz w:val="32"/>
          <w:szCs w:val="32"/>
          <w:lang w:val="en-US" w:eastAsia="zh-CN"/>
        </w:rPr>
        <w:t>。加强顶层设计，</w:t>
      </w:r>
      <w:r>
        <w:rPr>
          <w:rFonts w:hint="default" w:ascii="Times New Roman" w:hAnsi="Times New Roman" w:eastAsia="仿宋_GB2312" w:cs="Times New Roman"/>
          <w:b w:val="0"/>
          <w:bCs w:val="0"/>
          <w:sz w:val="32"/>
          <w:szCs w:val="32"/>
          <w:lang w:val="en-US" w:eastAsia="zh-Hans"/>
        </w:rPr>
        <w:t>强化</w:t>
      </w:r>
      <w:r>
        <w:rPr>
          <w:rFonts w:hint="default" w:ascii="Times New Roman" w:hAnsi="Times New Roman" w:eastAsia="仿宋_GB2312" w:cs="Times New Roman"/>
          <w:b w:val="0"/>
          <w:bCs w:val="0"/>
          <w:sz w:val="32"/>
          <w:szCs w:val="32"/>
          <w:lang w:val="en-US" w:eastAsia="zh-CN"/>
        </w:rPr>
        <w:t>规划引领。加强组织领导，督促落地落实。二是</w:t>
      </w:r>
      <w:bookmarkStart w:id="16" w:name="_Toc1159772026"/>
      <w:bookmarkStart w:id="17" w:name="_Toc1906757628"/>
      <w:r>
        <w:rPr>
          <w:rFonts w:hint="default" w:ascii="Times New Roman" w:hAnsi="Times New Roman" w:eastAsia="仿宋_GB2312" w:cs="Times New Roman"/>
          <w:b w:val="0"/>
          <w:bCs w:val="0"/>
          <w:sz w:val="32"/>
          <w:szCs w:val="32"/>
          <w:lang w:val="en-US" w:eastAsia="zh-Hans"/>
        </w:rPr>
        <w:t>突出政策标准引领</w:t>
      </w:r>
      <w:bookmarkEnd w:id="16"/>
      <w:bookmarkEnd w:id="17"/>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强化财税政策支持。</w:t>
      </w:r>
      <w:r>
        <w:rPr>
          <w:rFonts w:hint="default" w:ascii="Times New Roman" w:hAnsi="Times New Roman" w:eastAsia="仿宋_GB2312" w:cs="Times New Roman"/>
          <w:b w:val="0"/>
          <w:bCs w:val="0"/>
          <w:sz w:val="32"/>
          <w:szCs w:val="32"/>
          <w:lang w:val="en-US" w:eastAsia="zh-CN"/>
        </w:rPr>
        <w:t>三是</w:t>
      </w:r>
      <w:bookmarkStart w:id="18" w:name="_Toc2124473262"/>
      <w:bookmarkStart w:id="19" w:name="_Toc1726860810"/>
      <w:r>
        <w:rPr>
          <w:rFonts w:hint="default" w:ascii="Times New Roman" w:hAnsi="Times New Roman" w:eastAsia="仿宋_GB2312" w:cs="Times New Roman"/>
          <w:b w:val="0"/>
          <w:bCs w:val="0"/>
          <w:sz w:val="32"/>
          <w:szCs w:val="32"/>
          <w:lang w:val="en-US" w:eastAsia="zh-Hans"/>
        </w:rPr>
        <w:t>创新绿色</w:t>
      </w:r>
      <w:r>
        <w:rPr>
          <w:rFonts w:hint="default" w:ascii="Times New Roman" w:hAnsi="Times New Roman" w:eastAsia="仿宋_GB2312" w:cs="Times New Roman"/>
          <w:b w:val="0"/>
          <w:bCs w:val="0"/>
          <w:sz w:val="32"/>
          <w:szCs w:val="32"/>
          <w:lang w:val="en-US" w:eastAsia="zh-CN"/>
        </w:rPr>
        <w:t>金融支持</w:t>
      </w:r>
      <w:bookmarkEnd w:id="18"/>
      <w:bookmarkEnd w:id="19"/>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积极发展绿色金融</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创新绿色债券模式。</w:t>
      </w:r>
      <w:bookmarkStart w:id="20" w:name="_Toc108144465"/>
      <w:bookmarkStart w:id="21" w:name="_Toc1958999412"/>
      <w:r>
        <w:rPr>
          <w:rFonts w:hint="default" w:ascii="Times New Roman" w:hAnsi="Times New Roman" w:eastAsia="仿宋_GB2312" w:cs="Times New Roman"/>
          <w:b w:val="0"/>
          <w:bCs w:val="0"/>
          <w:sz w:val="32"/>
          <w:szCs w:val="32"/>
          <w:lang w:val="en-US" w:eastAsia="zh-CN"/>
        </w:rPr>
        <w:t>四是</w:t>
      </w:r>
      <w:r>
        <w:rPr>
          <w:rFonts w:hint="default" w:ascii="Times New Roman" w:hAnsi="Times New Roman" w:eastAsia="仿宋_GB2312" w:cs="Times New Roman"/>
          <w:b w:val="0"/>
          <w:bCs w:val="0"/>
          <w:sz w:val="32"/>
          <w:szCs w:val="32"/>
          <w:lang w:val="en-US" w:eastAsia="zh-Hans"/>
        </w:rPr>
        <w:t>强化动态监测管理</w:t>
      </w:r>
      <w:bookmarkEnd w:id="20"/>
      <w:bookmarkEnd w:id="21"/>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建立监测评估体系</w:t>
      </w:r>
      <w:r>
        <w:rPr>
          <w:rFonts w:hint="default" w:ascii="Times New Roman" w:hAnsi="Times New Roman" w:eastAsia="仿宋_GB2312" w:cs="Times New Roman"/>
          <w:b w:val="0"/>
          <w:bCs w:val="0"/>
          <w:sz w:val="32"/>
          <w:szCs w:val="32"/>
          <w:lang w:val="en-US" w:eastAsia="zh-CN"/>
        </w:rPr>
        <w:t>，加强对任务指标动态管理。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书宋简体">
    <w:altName w:val="宋体"/>
    <w:panose1 w:val="02000000000000000000"/>
    <w:charset w:val="88"/>
    <w:family w:val="auto"/>
    <w:pitch w:val="default"/>
    <w:sig w:usb0="00000000" w:usb1="00000000" w:usb2="00000000" w:usb3="00000000" w:csb0="0006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3982838"/>
      <w:docPartObj>
        <w:docPartGallery w:val="autotext"/>
      </w:docPartObj>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3NGY0MDBkM2NhMjFiYWNjZGY3NjA5YmJlYmRmZDUifQ=="/>
    <w:docVar w:name="KSO_WPS_MARK_KEY" w:val="4c947e8b-e185-4049-b802-ef217bec6b46"/>
  </w:docVars>
  <w:rsids>
    <w:rsidRoot w:val="00FF1C79"/>
    <w:rsid w:val="00015A35"/>
    <w:rsid w:val="000217C1"/>
    <w:rsid w:val="00033548"/>
    <w:rsid w:val="00071E01"/>
    <w:rsid w:val="000735DF"/>
    <w:rsid w:val="000B35B9"/>
    <w:rsid w:val="00176C52"/>
    <w:rsid w:val="00193D96"/>
    <w:rsid w:val="001B1FD1"/>
    <w:rsid w:val="001F0420"/>
    <w:rsid w:val="001F4B93"/>
    <w:rsid w:val="001F7B55"/>
    <w:rsid w:val="002269A9"/>
    <w:rsid w:val="0025105A"/>
    <w:rsid w:val="00267200"/>
    <w:rsid w:val="0027399D"/>
    <w:rsid w:val="00280A1A"/>
    <w:rsid w:val="00280F56"/>
    <w:rsid w:val="00282DEA"/>
    <w:rsid w:val="00284F96"/>
    <w:rsid w:val="00286EDD"/>
    <w:rsid w:val="002914A3"/>
    <w:rsid w:val="002F75AF"/>
    <w:rsid w:val="0031731A"/>
    <w:rsid w:val="00332CE5"/>
    <w:rsid w:val="00375A10"/>
    <w:rsid w:val="00386FCF"/>
    <w:rsid w:val="0039420E"/>
    <w:rsid w:val="00394879"/>
    <w:rsid w:val="003D0045"/>
    <w:rsid w:val="003D05D8"/>
    <w:rsid w:val="00415789"/>
    <w:rsid w:val="00446404"/>
    <w:rsid w:val="0044668E"/>
    <w:rsid w:val="00464E1D"/>
    <w:rsid w:val="00467BD6"/>
    <w:rsid w:val="004B1019"/>
    <w:rsid w:val="00555CA5"/>
    <w:rsid w:val="00574B58"/>
    <w:rsid w:val="005A048D"/>
    <w:rsid w:val="006362D1"/>
    <w:rsid w:val="0065647A"/>
    <w:rsid w:val="00663C1D"/>
    <w:rsid w:val="00684850"/>
    <w:rsid w:val="006D2798"/>
    <w:rsid w:val="006E1857"/>
    <w:rsid w:val="006F3D2B"/>
    <w:rsid w:val="00744F77"/>
    <w:rsid w:val="00754D0D"/>
    <w:rsid w:val="00763EFC"/>
    <w:rsid w:val="00772AC8"/>
    <w:rsid w:val="00782DAF"/>
    <w:rsid w:val="00805412"/>
    <w:rsid w:val="00806C25"/>
    <w:rsid w:val="00815823"/>
    <w:rsid w:val="00821416"/>
    <w:rsid w:val="00840794"/>
    <w:rsid w:val="00843D06"/>
    <w:rsid w:val="00850611"/>
    <w:rsid w:val="00853031"/>
    <w:rsid w:val="00864589"/>
    <w:rsid w:val="00864C04"/>
    <w:rsid w:val="008818FA"/>
    <w:rsid w:val="00897EC6"/>
    <w:rsid w:val="008A3489"/>
    <w:rsid w:val="008C6829"/>
    <w:rsid w:val="00910E44"/>
    <w:rsid w:val="0092796F"/>
    <w:rsid w:val="009C45C2"/>
    <w:rsid w:val="009C5BC3"/>
    <w:rsid w:val="009D2423"/>
    <w:rsid w:val="009F74C0"/>
    <w:rsid w:val="00A264BB"/>
    <w:rsid w:val="00A32A02"/>
    <w:rsid w:val="00A44112"/>
    <w:rsid w:val="00A47E08"/>
    <w:rsid w:val="00A55C90"/>
    <w:rsid w:val="00A61CD2"/>
    <w:rsid w:val="00A63602"/>
    <w:rsid w:val="00A64355"/>
    <w:rsid w:val="00A72169"/>
    <w:rsid w:val="00A8561F"/>
    <w:rsid w:val="00AB3063"/>
    <w:rsid w:val="00AC1793"/>
    <w:rsid w:val="00B147A2"/>
    <w:rsid w:val="00B26F7F"/>
    <w:rsid w:val="00B277DF"/>
    <w:rsid w:val="00B31620"/>
    <w:rsid w:val="00B44AF1"/>
    <w:rsid w:val="00B57E0F"/>
    <w:rsid w:val="00B63267"/>
    <w:rsid w:val="00B65A58"/>
    <w:rsid w:val="00B9343E"/>
    <w:rsid w:val="00BB26E6"/>
    <w:rsid w:val="00BB6E71"/>
    <w:rsid w:val="00BC1893"/>
    <w:rsid w:val="00BD1370"/>
    <w:rsid w:val="00C15ACE"/>
    <w:rsid w:val="00C23425"/>
    <w:rsid w:val="00C67A06"/>
    <w:rsid w:val="00CD7E75"/>
    <w:rsid w:val="00CE0A19"/>
    <w:rsid w:val="00CE21CC"/>
    <w:rsid w:val="00CF545B"/>
    <w:rsid w:val="00D13FFD"/>
    <w:rsid w:val="00D752F3"/>
    <w:rsid w:val="00D76E36"/>
    <w:rsid w:val="00D8412C"/>
    <w:rsid w:val="00DC22F4"/>
    <w:rsid w:val="00DE0003"/>
    <w:rsid w:val="00DF5CC3"/>
    <w:rsid w:val="00E26944"/>
    <w:rsid w:val="00E40CD4"/>
    <w:rsid w:val="00E60773"/>
    <w:rsid w:val="00E91CAF"/>
    <w:rsid w:val="00E94222"/>
    <w:rsid w:val="00E96AF2"/>
    <w:rsid w:val="00EA116E"/>
    <w:rsid w:val="00EA5E0B"/>
    <w:rsid w:val="00EA64C2"/>
    <w:rsid w:val="00EE7A21"/>
    <w:rsid w:val="00F2579D"/>
    <w:rsid w:val="00F966FA"/>
    <w:rsid w:val="00FD503F"/>
    <w:rsid w:val="00FF1C79"/>
    <w:rsid w:val="00FF23AB"/>
    <w:rsid w:val="00FF36D9"/>
    <w:rsid w:val="09475EAE"/>
    <w:rsid w:val="67097892"/>
    <w:rsid w:val="7E724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9"/>
    <w:pPr>
      <w:keepNext/>
      <w:keepLines/>
      <w:spacing w:before="260" w:after="260" w:line="415" w:lineRule="auto"/>
      <w:outlineLvl w:val="1"/>
    </w:pPr>
    <w:rPr>
      <w:rFonts w:eastAsia="楷体_GB2312" w:asciiTheme="majorHAnsi" w:hAnsiTheme="majorHAnsi" w:cstheme="majorBidi"/>
      <w:b/>
      <w:bCs/>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autoSpaceDE w:val="0"/>
      <w:autoSpaceDN w:val="0"/>
      <w:adjustRightInd w:val="0"/>
      <w:snapToGrid w:val="0"/>
      <w:spacing w:line="360" w:lineRule="auto"/>
      <w:ind w:firstLine="420"/>
    </w:pPr>
    <w:rPr>
      <w:rFonts w:ascii="方正书宋简体" w:eastAsia="方正书宋简体" w:cs="方正书宋简体"/>
      <w:szCs w:val="21"/>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99"/>
    <w:rPr>
      <w:rFonts w:ascii="Calibri" w:hAnsi="Calibri" w:eastAsia="宋体" w:cs="Times New Roman"/>
      <w:sz w:val="18"/>
      <w:szCs w:val="18"/>
    </w:rPr>
  </w:style>
  <w:style w:type="character" w:customStyle="1" w:styleId="9">
    <w:name w:val="页脚 字符"/>
    <w:basedOn w:val="7"/>
    <w:link w:val="4"/>
    <w:uiPriority w:val="99"/>
    <w:rPr>
      <w:rFonts w:ascii="Calibri" w:hAnsi="Calibri"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1821</Words>
  <Characters>1846</Characters>
  <Lines>19</Lines>
  <Paragraphs>5</Paragraphs>
  <TotalTime>9</TotalTime>
  <ScaleCrop>false</ScaleCrop>
  <LinksUpToDate>false</LinksUpToDate>
  <CharactersWithSpaces>1846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2022-10-19T03:18:00Z</dcterms:created>
  <dc:creator>Administrator</dc:creator>
  <cp:lastModifiedBy>Administrator</cp:lastModifiedBy>
  <dcterms:modified xsi:type="dcterms:W3CDTF">2024-01-05T03:09:16Z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F6CBC5E3D82E42D3B080FD080F876268_12</vt:lpwstr>
  </property>
</Properties>
</file>