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目  录</w:t>
      </w:r>
    </w:p>
    <w:p>
      <w:pPr>
        <w:pStyle w:val="14"/>
        <w:tabs>
          <w:tab w:val="right" w:leader="dot" w:pos="8296"/>
        </w:tabs>
        <w:rPr>
          <w:rFonts w:asciiTheme="minorHAnsi" w:hAnsiTheme="minorHAnsi" w:eastAsiaTheme="minorEastAsia" w:cstheme="minorBidi"/>
          <w:sz w:val="21"/>
          <w:szCs w:val="22"/>
        </w:rPr>
      </w:pPr>
      <w:r>
        <w:rPr>
          <w:rFonts w:ascii="方正小标宋简体" w:hAnsi="黑体" w:eastAsia="方正小标宋简体"/>
          <w:b/>
          <w:bCs/>
        </w:rPr>
        <w:fldChar w:fldCharType="begin"/>
      </w:r>
      <w:r>
        <w:rPr>
          <w:rFonts w:ascii="方正小标宋简体" w:hAnsi="黑体" w:eastAsia="方正小标宋简体"/>
          <w:b/>
          <w:bCs/>
        </w:rPr>
        <w:instrText xml:space="preserve">TOC \o "1-3" \h \u </w:instrText>
      </w:r>
      <w:r>
        <w:rPr>
          <w:rFonts w:ascii="方正小标宋简体" w:hAnsi="黑体" w:eastAsia="方正小标宋简体"/>
          <w:b/>
          <w:bCs/>
        </w:rPr>
        <w:fldChar w:fldCharType="separate"/>
      </w:r>
      <w:r>
        <w:fldChar w:fldCharType="begin"/>
      </w:r>
      <w:r>
        <w:instrText xml:space="preserve"> HYPERLINK \l "_Toc154395782" </w:instrText>
      </w:r>
      <w:r>
        <w:fldChar w:fldCharType="separate"/>
      </w:r>
      <w:r>
        <w:rPr>
          <w:rStyle w:val="24"/>
        </w:rPr>
        <w:t>摘</w:t>
      </w:r>
      <w:r>
        <w:rPr>
          <w:rStyle w:val="24"/>
          <w:rFonts w:ascii="仿宋_GB2312" w:hAnsi="仿宋_GB2312" w:cs="仿宋_GB2312"/>
        </w:rPr>
        <w:t xml:space="preserve">  </w:t>
      </w:r>
      <w:r>
        <w:rPr>
          <w:rStyle w:val="24"/>
        </w:rPr>
        <w:t>要</w:t>
      </w:r>
      <w:r>
        <w:tab/>
      </w:r>
      <w:r>
        <w:fldChar w:fldCharType="begin"/>
      </w:r>
      <w:r>
        <w:instrText xml:space="preserve"> PAGEREF _Toc154395782 \h </w:instrText>
      </w:r>
      <w:r>
        <w:fldChar w:fldCharType="separate"/>
      </w:r>
      <w:r>
        <w:t>1</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"_Toc154395783" </w:instrText>
      </w:r>
      <w:r>
        <w:fldChar w:fldCharType="separate"/>
      </w:r>
      <w:r>
        <w:rPr>
          <w:rStyle w:val="24"/>
          <w:rFonts w:ascii="楷体" w:hAnsi="楷体" w:eastAsia="楷体" w:cs="楷体"/>
        </w:rPr>
        <w:t>一、项目基本情况</w:t>
      </w:r>
      <w:r>
        <w:tab/>
      </w:r>
      <w:r>
        <w:fldChar w:fldCharType="begin"/>
      </w:r>
      <w:r>
        <w:instrText xml:space="preserve"> PAGEREF _Toc154395783 \h </w:instrText>
      </w:r>
      <w:r>
        <w:fldChar w:fldCharType="separate"/>
      </w:r>
      <w:r>
        <w:t>1</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"_Toc154395784" </w:instrText>
      </w:r>
      <w:r>
        <w:fldChar w:fldCharType="separate"/>
      </w:r>
      <w:r>
        <w:rPr>
          <w:rStyle w:val="24"/>
        </w:rPr>
        <w:t>二、绩效评价结论</w:t>
      </w:r>
      <w:r>
        <w:tab/>
      </w:r>
      <w:r>
        <w:fldChar w:fldCharType="begin"/>
      </w:r>
      <w:r>
        <w:instrText xml:space="preserve"> PAGEREF _Toc154395784 \h </w:instrText>
      </w:r>
      <w:r>
        <w:fldChar w:fldCharType="separate"/>
      </w:r>
      <w:r>
        <w:t>3</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"_Toc154395785" </w:instrText>
      </w:r>
      <w:r>
        <w:fldChar w:fldCharType="separate"/>
      </w:r>
      <w:r>
        <w:rPr>
          <w:rStyle w:val="24"/>
        </w:rPr>
        <w:t>三、主要业绩与经验</w:t>
      </w:r>
      <w:r>
        <w:tab/>
      </w:r>
      <w:r>
        <w:fldChar w:fldCharType="begin"/>
      </w:r>
      <w:r>
        <w:instrText xml:space="preserve"> PAGEREF _Toc154395785 \h </w:instrText>
      </w:r>
      <w:r>
        <w:fldChar w:fldCharType="separate"/>
      </w:r>
      <w:r>
        <w:t>4</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"_Toc154395786" </w:instrText>
      </w:r>
      <w:r>
        <w:fldChar w:fldCharType="separate"/>
      </w:r>
      <w:r>
        <w:rPr>
          <w:rStyle w:val="24"/>
        </w:rPr>
        <w:t>四、存在的主要问题</w:t>
      </w:r>
      <w:r>
        <w:tab/>
      </w:r>
      <w:r>
        <w:fldChar w:fldCharType="begin"/>
      </w:r>
      <w:r>
        <w:instrText xml:space="preserve"> PAGEREF _Toc154395786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"_Toc154395787" </w:instrText>
      </w:r>
      <w:r>
        <w:fldChar w:fldCharType="separate"/>
      </w:r>
      <w:r>
        <w:rPr>
          <w:rStyle w:val="24"/>
        </w:rPr>
        <w:t>（一）具体实施方案内的个别活动因资金分配等原因，未能实际执行。</w:t>
      </w:r>
      <w:r>
        <w:tab/>
      </w:r>
      <w:r>
        <w:fldChar w:fldCharType="begin"/>
      </w:r>
      <w:r>
        <w:instrText xml:space="preserve"> PAGEREF _Toc154395787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"_Toc154395788" </w:instrText>
      </w:r>
      <w:r>
        <w:fldChar w:fldCharType="separate"/>
      </w:r>
      <w:r>
        <w:rPr>
          <w:rStyle w:val="24"/>
        </w:rPr>
        <w:t>（二）项目执行过程中，整体推进缓慢，导致活动项目延期完成。</w:t>
      </w:r>
      <w:r>
        <w:tab/>
      </w:r>
      <w:r>
        <w:fldChar w:fldCharType="begin"/>
      </w:r>
      <w:r>
        <w:instrText xml:space="preserve"> PAGEREF _Toc154395788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"_Toc154395789" </w:instrText>
      </w:r>
      <w:r>
        <w:fldChar w:fldCharType="separate"/>
      </w:r>
      <w:r>
        <w:rPr>
          <w:rStyle w:val="24"/>
        </w:rPr>
        <w:t>（三）项目管理单位未能及时建立项目档案管理。</w:t>
      </w:r>
      <w:r>
        <w:tab/>
      </w:r>
      <w:r>
        <w:fldChar w:fldCharType="begin"/>
      </w:r>
      <w:r>
        <w:instrText xml:space="preserve"> PAGEREF _Toc154395789 \h </w:instrText>
      </w:r>
      <w:r>
        <w:fldChar w:fldCharType="separate"/>
      </w:r>
      <w:r>
        <w:t>5</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"_Toc154395790" </w:instrText>
      </w:r>
      <w:r>
        <w:fldChar w:fldCharType="separate"/>
      </w:r>
      <w:r>
        <w:rPr>
          <w:rStyle w:val="24"/>
        </w:rPr>
        <w:t>五、相关建议和措施</w:t>
      </w:r>
      <w:r>
        <w:tab/>
      </w:r>
      <w:r>
        <w:fldChar w:fldCharType="begin"/>
      </w:r>
      <w:r>
        <w:instrText xml:space="preserve"> PAGEREF _Toc154395790 \h </w:instrText>
      </w:r>
      <w:r>
        <w:fldChar w:fldCharType="separate"/>
      </w:r>
      <w:r>
        <w:t>6</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"_Toc154395791" </w:instrText>
      </w:r>
      <w:r>
        <w:fldChar w:fldCharType="separate"/>
      </w:r>
      <w:r>
        <w:rPr>
          <w:rStyle w:val="24"/>
        </w:rPr>
        <w:t>一、基本情况</w:t>
      </w:r>
      <w:r>
        <w:tab/>
      </w:r>
      <w:r>
        <w:fldChar w:fldCharType="begin"/>
      </w:r>
      <w:r>
        <w:instrText xml:space="preserve"> PAGEREF _Toc154395791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"_Toc154395792" </w:instrText>
      </w:r>
      <w:r>
        <w:fldChar w:fldCharType="separate"/>
      </w:r>
      <w:r>
        <w:rPr>
          <w:rStyle w:val="24"/>
        </w:rPr>
        <w:t>（一）项目概况</w:t>
      </w:r>
      <w:r>
        <w:tab/>
      </w:r>
      <w:r>
        <w:fldChar w:fldCharType="begin"/>
      </w:r>
      <w:r>
        <w:instrText xml:space="preserve"> PAGEREF _Toc154395792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"_Toc154395793" </w:instrText>
      </w:r>
      <w:r>
        <w:fldChar w:fldCharType="separate"/>
      </w:r>
      <w:r>
        <w:rPr>
          <w:rStyle w:val="24"/>
        </w:rPr>
        <w:t>（二）绩效目标设立情况</w:t>
      </w:r>
      <w:r>
        <w:tab/>
      </w:r>
      <w:r>
        <w:fldChar w:fldCharType="begin"/>
      </w:r>
      <w:r>
        <w:instrText xml:space="preserve"> PAGEREF _Toc154395793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"_Toc154395794" </w:instrText>
      </w:r>
      <w:r>
        <w:fldChar w:fldCharType="separate"/>
      </w:r>
      <w:r>
        <w:rPr>
          <w:rStyle w:val="24"/>
        </w:rPr>
        <w:t>（三）组织管理情况</w:t>
      </w:r>
      <w:r>
        <w:tab/>
      </w:r>
      <w:r>
        <w:fldChar w:fldCharType="begin"/>
      </w:r>
      <w:r>
        <w:instrText xml:space="preserve"> PAGEREF _Toc154395794 \h </w:instrText>
      </w:r>
      <w:r>
        <w:fldChar w:fldCharType="separate"/>
      </w:r>
      <w:r>
        <w:t>6</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"_Toc154395795" </w:instrText>
      </w:r>
      <w:r>
        <w:fldChar w:fldCharType="separate"/>
      </w:r>
      <w:r>
        <w:rPr>
          <w:rStyle w:val="24"/>
        </w:rPr>
        <w:t>二、绩效评价工作开展情况</w:t>
      </w:r>
      <w:r>
        <w:tab/>
      </w:r>
      <w:r>
        <w:fldChar w:fldCharType="begin"/>
      </w:r>
      <w:r>
        <w:instrText xml:space="preserve"> PAGEREF _Toc154395795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"_Toc154395796" </w:instrText>
      </w:r>
      <w:r>
        <w:fldChar w:fldCharType="separate"/>
      </w:r>
      <w:r>
        <w:rPr>
          <w:rStyle w:val="24"/>
        </w:rPr>
        <w:t>（一）绩效评价目的、对象和范围</w:t>
      </w:r>
      <w:r>
        <w:tab/>
      </w:r>
      <w:r>
        <w:fldChar w:fldCharType="begin"/>
      </w:r>
      <w:r>
        <w:instrText xml:space="preserve"> PAGEREF _Toc154395796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"_Toc154395797" </w:instrText>
      </w:r>
      <w:r>
        <w:fldChar w:fldCharType="separate"/>
      </w:r>
      <w:r>
        <w:rPr>
          <w:rStyle w:val="24"/>
        </w:rPr>
        <w:t>（二）绩效评价原则</w:t>
      </w:r>
      <w:r>
        <w:tab/>
      </w:r>
      <w:r>
        <w:fldChar w:fldCharType="begin"/>
      </w:r>
      <w:r>
        <w:instrText xml:space="preserve"> PAGEREF _Toc154395797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"_Toc154395798" </w:instrText>
      </w:r>
      <w:r>
        <w:fldChar w:fldCharType="separate"/>
      </w:r>
      <w:r>
        <w:rPr>
          <w:rStyle w:val="24"/>
        </w:rPr>
        <w:t>（三）绩效评价依据</w:t>
      </w:r>
      <w:r>
        <w:tab/>
      </w:r>
      <w:r>
        <w:fldChar w:fldCharType="begin"/>
      </w:r>
      <w:r>
        <w:instrText xml:space="preserve"> PAGEREF _Toc154395798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"_Toc154395799" </w:instrText>
      </w:r>
      <w:r>
        <w:fldChar w:fldCharType="separate"/>
      </w:r>
      <w:r>
        <w:rPr>
          <w:rStyle w:val="24"/>
        </w:rPr>
        <w:t>（四）绩效评价指标体系</w:t>
      </w:r>
      <w:r>
        <w:tab/>
      </w:r>
      <w:r>
        <w:fldChar w:fldCharType="begin"/>
      </w:r>
      <w:r>
        <w:instrText xml:space="preserve"> PAGEREF _Toc154395799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"_Toc154395800" </w:instrText>
      </w:r>
      <w:r>
        <w:fldChar w:fldCharType="separate"/>
      </w:r>
      <w:r>
        <w:rPr>
          <w:rStyle w:val="24"/>
        </w:rPr>
        <w:t>（五）绩效评价方法</w:t>
      </w:r>
      <w:r>
        <w:tab/>
      </w:r>
      <w:r>
        <w:fldChar w:fldCharType="begin"/>
      </w:r>
      <w:r>
        <w:instrText xml:space="preserve"> PAGEREF _Toc154395800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"_Toc154395801" </w:instrText>
      </w:r>
      <w:r>
        <w:fldChar w:fldCharType="separate"/>
      </w:r>
      <w:r>
        <w:rPr>
          <w:rStyle w:val="24"/>
        </w:rPr>
        <w:t>（六）绩效评价标准</w:t>
      </w:r>
      <w:r>
        <w:tab/>
      </w:r>
      <w:r>
        <w:fldChar w:fldCharType="begin"/>
      </w:r>
      <w:r>
        <w:instrText xml:space="preserve"> PAGEREF _Toc154395801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"_Toc154395802" </w:instrText>
      </w:r>
      <w:r>
        <w:fldChar w:fldCharType="separate"/>
      </w:r>
      <w:r>
        <w:rPr>
          <w:rStyle w:val="24"/>
        </w:rPr>
        <w:t>（七）绩效评价过程</w:t>
      </w:r>
      <w:r>
        <w:tab/>
      </w:r>
      <w:r>
        <w:fldChar w:fldCharType="begin"/>
      </w:r>
      <w:r>
        <w:instrText xml:space="preserve"> PAGEREF _Toc154395802 \h </w:instrText>
      </w:r>
      <w:r>
        <w:fldChar w:fldCharType="separate"/>
      </w:r>
      <w:r>
        <w:t>13</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"_Toc154395803" </w:instrText>
      </w:r>
      <w:r>
        <w:fldChar w:fldCharType="separate"/>
      </w:r>
      <w:r>
        <w:rPr>
          <w:rStyle w:val="24"/>
        </w:rPr>
        <w:t>三、绩效评价结论</w:t>
      </w:r>
      <w:r>
        <w:tab/>
      </w:r>
      <w:r>
        <w:fldChar w:fldCharType="begin"/>
      </w:r>
      <w:r>
        <w:instrText xml:space="preserve"> PAGEREF _Toc154395803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"_Toc154395804" </w:instrText>
      </w:r>
      <w:r>
        <w:fldChar w:fldCharType="separate"/>
      </w:r>
      <w:r>
        <w:rPr>
          <w:rStyle w:val="24"/>
        </w:rPr>
        <w:t>（一）绩效评价综合结论</w:t>
      </w:r>
      <w:r>
        <w:tab/>
      </w:r>
      <w:r>
        <w:fldChar w:fldCharType="begin"/>
      </w:r>
      <w:r>
        <w:instrText xml:space="preserve"> PAGEREF _Toc154395804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"_Toc154395805" </w:instrText>
      </w:r>
      <w:r>
        <w:fldChar w:fldCharType="separate"/>
      </w:r>
      <w:r>
        <w:rPr>
          <w:rStyle w:val="24"/>
        </w:rPr>
        <w:t>（二）绩效目标实现情况</w:t>
      </w:r>
      <w:r>
        <w:tab/>
      </w:r>
      <w:r>
        <w:fldChar w:fldCharType="begin"/>
      </w:r>
      <w:r>
        <w:instrText xml:space="preserve"> PAGEREF _Toc154395805 \h </w:instrText>
      </w:r>
      <w:r>
        <w:fldChar w:fldCharType="separate"/>
      </w:r>
      <w:r>
        <w:t>14</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"_Toc154395806" </w:instrText>
      </w:r>
      <w:r>
        <w:fldChar w:fldCharType="separate"/>
      </w:r>
      <w:r>
        <w:rPr>
          <w:rStyle w:val="24"/>
        </w:rPr>
        <w:t>四、绩效评价指标分析</w:t>
      </w:r>
      <w:r>
        <w:tab/>
      </w:r>
      <w:r>
        <w:fldChar w:fldCharType="begin"/>
      </w:r>
      <w:r>
        <w:instrText xml:space="preserve"> PAGEREF _Toc154395806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"_Toc154395807" </w:instrText>
      </w:r>
      <w:r>
        <w:fldChar w:fldCharType="separate"/>
      </w:r>
      <w:r>
        <w:rPr>
          <w:rStyle w:val="24"/>
        </w:rPr>
        <w:t>A1．项目决策情况分析</w:t>
      </w:r>
      <w:r>
        <w:tab/>
      </w:r>
      <w:r>
        <w:fldChar w:fldCharType="begin"/>
      </w:r>
      <w:r>
        <w:instrText xml:space="preserve"> PAGEREF _Toc154395807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"_Toc154395808" </w:instrText>
      </w:r>
      <w:r>
        <w:fldChar w:fldCharType="separate"/>
      </w:r>
      <w:r>
        <w:rPr>
          <w:rStyle w:val="24"/>
        </w:rPr>
        <w:t>B2．项目过程情况分析</w:t>
      </w:r>
      <w:r>
        <w:tab/>
      </w:r>
      <w:r>
        <w:fldChar w:fldCharType="begin"/>
      </w:r>
      <w:r>
        <w:instrText xml:space="preserve"> PAGEREF _Toc154395808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"_Toc154395809" </w:instrText>
      </w:r>
      <w:r>
        <w:fldChar w:fldCharType="separate"/>
      </w:r>
      <w:r>
        <w:rPr>
          <w:rStyle w:val="24"/>
        </w:rPr>
        <w:t>C3．项目产出情况分析</w:t>
      </w:r>
      <w:r>
        <w:tab/>
      </w:r>
      <w:r>
        <w:fldChar w:fldCharType="begin"/>
      </w:r>
      <w:r>
        <w:instrText xml:space="preserve"> PAGEREF _Toc154395809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"_Toc154395810" </w:instrText>
      </w:r>
      <w:r>
        <w:fldChar w:fldCharType="separate"/>
      </w:r>
      <w:r>
        <w:rPr>
          <w:rStyle w:val="24"/>
        </w:rPr>
        <w:t>D4．项目效益情况分析</w:t>
      </w:r>
      <w:r>
        <w:tab/>
      </w:r>
      <w:r>
        <w:fldChar w:fldCharType="begin"/>
      </w:r>
      <w:r>
        <w:instrText xml:space="preserve"> PAGEREF _Toc154395810 \h </w:instrText>
      </w:r>
      <w:r>
        <w:fldChar w:fldCharType="separate"/>
      </w:r>
      <w:r>
        <w:t>24</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"_Toc154395811" </w:instrText>
      </w:r>
      <w:r>
        <w:fldChar w:fldCharType="separate"/>
      </w:r>
      <w:r>
        <w:rPr>
          <w:rStyle w:val="24"/>
        </w:rPr>
        <w:t>五、主要经验及做法、存在的问题及原因分析</w:t>
      </w:r>
      <w:r>
        <w:tab/>
      </w:r>
      <w:r>
        <w:fldChar w:fldCharType="begin"/>
      </w:r>
      <w:r>
        <w:instrText xml:space="preserve"> PAGEREF _Toc154395811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"_Toc154395812" </w:instrText>
      </w:r>
      <w:r>
        <w:fldChar w:fldCharType="separate"/>
      </w:r>
      <w:r>
        <w:rPr>
          <w:rStyle w:val="24"/>
        </w:rPr>
        <w:t>（一）项目主要经验及做法</w:t>
      </w:r>
      <w:r>
        <w:tab/>
      </w:r>
      <w:r>
        <w:fldChar w:fldCharType="begin"/>
      </w:r>
      <w:r>
        <w:instrText xml:space="preserve"> PAGEREF _Toc154395812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"_Toc154395813" </w:instrText>
      </w:r>
      <w:r>
        <w:fldChar w:fldCharType="separate"/>
      </w:r>
      <w:r>
        <w:rPr>
          <w:rStyle w:val="24"/>
        </w:rPr>
        <w:t>（二）存在的主要问题及原因分析</w:t>
      </w:r>
      <w:r>
        <w:tab/>
      </w:r>
      <w:r>
        <w:fldChar w:fldCharType="begin"/>
      </w:r>
      <w:r>
        <w:instrText xml:space="preserve"> PAGEREF _Toc154395813 \h </w:instrText>
      </w:r>
      <w:r>
        <w:fldChar w:fldCharType="separate"/>
      </w:r>
      <w:r>
        <w:t>27</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"_Toc154395814" </w:instrText>
      </w:r>
      <w:r>
        <w:fldChar w:fldCharType="separate"/>
      </w:r>
      <w:r>
        <w:rPr>
          <w:rStyle w:val="24"/>
        </w:rPr>
        <w:t>六、相关建议和措施</w:t>
      </w:r>
      <w:r>
        <w:tab/>
      </w:r>
      <w:r>
        <w:fldChar w:fldCharType="begin"/>
      </w:r>
      <w:r>
        <w:instrText xml:space="preserve"> PAGEREF _Toc154395814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"_Toc154395815" </w:instrText>
      </w:r>
      <w:r>
        <w:fldChar w:fldCharType="separate"/>
      </w:r>
      <w:r>
        <w:rPr>
          <w:rStyle w:val="24"/>
        </w:rPr>
        <w:t>（一）合理规划、分配和及时使用政府专项资金。</w:t>
      </w:r>
      <w:r>
        <w:tab/>
      </w:r>
      <w:r>
        <w:fldChar w:fldCharType="begin"/>
      </w:r>
      <w:r>
        <w:instrText xml:space="preserve"> PAGEREF _Toc154395815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"_Toc154395816" </w:instrText>
      </w:r>
      <w:r>
        <w:fldChar w:fldCharType="separate"/>
      </w:r>
      <w:r>
        <w:rPr>
          <w:rStyle w:val="24"/>
        </w:rPr>
        <w:t>（二）建议项目实施企业对政府专项资金进行专账管理。</w:t>
      </w:r>
      <w:r>
        <w:tab/>
      </w:r>
      <w:r>
        <w:fldChar w:fldCharType="begin"/>
      </w:r>
      <w:r>
        <w:instrText xml:space="preserve"> PAGEREF _Toc154395816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"_Toc154395817" </w:instrText>
      </w:r>
      <w:r>
        <w:fldChar w:fldCharType="separate"/>
      </w:r>
      <w:r>
        <w:rPr>
          <w:rStyle w:val="24"/>
        </w:rPr>
        <w:t>（三）项目管理单位加强对财政专项资金使用的过程管理，做好绩效评价自评工作。</w:t>
      </w:r>
      <w:r>
        <w:tab/>
      </w:r>
      <w:r>
        <w:fldChar w:fldCharType="begin"/>
      </w:r>
      <w:r>
        <w:instrText xml:space="preserve"> PAGEREF _Toc154395817 \h </w:instrText>
      </w:r>
      <w:r>
        <w:fldChar w:fldCharType="separate"/>
      </w:r>
      <w:r>
        <w:t>29</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"_Toc154395818" </w:instrText>
      </w:r>
      <w:r>
        <w:fldChar w:fldCharType="separate"/>
      </w:r>
      <w:r>
        <w:rPr>
          <w:rStyle w:val="24"/>
        </w:rPr>
        <w:t>七、其他需要说明的事项</w:t>
      </w:r>
      <w:r>
        <w:tab/>
      </w:r>
      <w:r>
        <w:fldChar w:fldCharType="begin"/>
      </w:r>
      <w:r>
        <w:instrText xml:space="preserve"> PAGEREF _Toc154395818 \h </w:instrText>
      </w:r>
      <w:r>
        <w:fldChar w:fldCharType="separate"/>
      </w:r>
      <w:r>
        <w:t>29</w:t>
      </w:r>
      <w:r>
        <w:fldChar w:fldCharType="end"/>
      </w:r>
      <w:r>
        <w:fldChar w:fldCharType="end"/>
      </w:r>
    </w:p>
    <w:p>
      <w:pPr>
        <w:ind w:firstLine="0" w:firstLineChars="0"/>
        <w:rPr>
          <w:rFonts w:ascii="方正小标宋简体" w:hAnsi="黑体" w:eastAsia="方正小标宋简体"/>
          <w:b/>
          <w:bCs/>
        </w:rPr>
      </w:pPr>
      <w:r>
        <w:rPr>
          <w:rFonts w:ascii="方正小标宋简体" w:hAnsi="黑体" w:eastAsia="方正小标宋简体"/>
          <w:bCs/>
        </w:rPr>
        <w:fldChar w:fldCharType="end"/>
      </w:r>
    </w:p>
    <w:p>
      <w:pPr>
        <w:ind w:firstLine="643"/>
        <w:rPr>
          <w:rFonts w:ascii="方正小标宋简体" w:hAnsi="黑体" w:eastAsia="方正小标宋简体"/>
          <w:b/>
          <w:bCs/>
        </w:rPr>
      </w:pPr>
    </w:p>
    <w:p>
      <w:pPr>
        <w:ind w:firstLine="0" w:firstLineChars="0"/>
        <w:rPr>
          <w:rFonts w:ascii="方正小标宋简体" w:hAnsi="黑体" w:eastAsia="方正小标宋简体"/>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pStyle w:val="2"/>
        <w:ind w:firstLine="883"/>
        <w:jc w:val="center"/>
        <w:rPr>
          <w:sz w:val="44"/>
        </w:rPr>
      </w:pPr>
      <w:bookmarkStart w:id="0" w:name="_Toc28939"/>
      <w:bookmarkStart w:id="1" w:name="_Toc154395782"/>
      <w:r>
        <w:rPr>
          <w:sz w:val="44"/>
        </w:rPr>
        <w:t>摘</w:t>
      </w:r>
      <w:r>
        <w:rPr>
          <w:rFonts w:hint="eastAsia" w:ascii="仿宋_GB2312" w:hAnsi="仿宋_GB2312" w:eastAsia="仿宋_GB2312" w:cs="仿宋_GB2312"/>
          <w:sz w:val="44"/>
        </w:rPr>
        <w:t xml:space="preserve">  </w:t>
      </w:r>
      <w:r>
        <w:rPr>
          <w:sz w:val="44"/>
        </w:rPr>
        <w:t>要</w:t>
      </w:r>
      <w:bookmarkEnd w:id="0"/>
      <w:bookmarkEnd w:id="1"/>
    </w:p>
    <w:p>
      <w:pPr>
        <w:pStyle w:val="3"/>
        <w:ind w:firstLine="643"/>
        <w:rPr>
          <w:rFonts w:ascii="楷体" w:hAnsi="楷体" w:eastAsia="楷体" w:cs="楷体"/>
        </w:rPr>
      </w:pPr>
      <w:bookmarkStart w:id="2" w:name="_Toc2690"/>
      <w:bookmarkStart w:id="3" w:name="_Toc154395783"/>
      <w:bookmarkStart w:id="4" w:name="_Toc25547"/>
      <w:r>
        <w:rPr>
          <w:rFonts w:hint="eastAsia" w:ascii="楷体" w:hAnsi="楷体" w:eastAsia="楷体" w:cs="楷体"/>
        </w:rPr>
        <w:t>一、项目基本情况</w:t>
      </w:r>
      <w:bookmarkEnd w:id="2"/>
      <w:bookmarkEnd w:id="3"/>
    </w:p>
    <w:p>
      <w:pPr>
        <w:ind w:firstLine="640"/>
      </w:pPr>
      <w:r>
        <w:rPr>
          <w:rFonts w:hint="eastAsia"/>
        </w:rPr>
        <w:t>1．项目背景</w:t>
      </w:r>
    </w:p>
    <w:p>
      <w:pPr>
        <w:ind w:firstLine="640"/>
      </w:pPr>
      <w:r>
        <w:rPr>
          <w:rFonts w:hint="eastAsia"/>
        </w:rPr>
        <w:t>为认真贯彻落实国务院和省人民政府稳经济一揽子政策措施，高效统筹疫情防控和经济社会发展，有力做好稳增长稳市场主体保就业防风险工作，确保经济运行在合理区间。昆明市财政局、昆明市商务局结合昆明市实际，按照《昆明市人民政府关于印发扎实稳住经济增长实施方案的通知》（昆政发〔2022〕10号）的工作要求，向安宁市财政局、安宁市发展和改革局下发《关于下达支持中石油云南石化扩销增产消费券资金的通知》（昆财产业〔2022〕160号），从加快落实稳经济政策措施、进一步帮助企业纾困解难、有效释放需求增长潜力、促进重点产业恢复发展、切实保障和改善民生等方面开展支持中石油云南石化扩销增产消费券专项资金的工作。</w:t>
      </w:r>
    </w:p>
    <w:p>
      <w:pPr>
        <w:ind w:firstLine="640"/>
      </w:pPr>
      <w:r>
        <w:rPr>
          <w:rFonts w:hint="eastAsia"/>
        </w:rPr>
        <w:t>2．主要内容</w:t>
      </w:r>
    </w:p>
    <w:p>
      <w:pPr>
        <w:ind w:firstLine="640"/>
      </w:pPr>
      <w:r>
        <w:rPr>
          <w:rFonts w:hint="eastAsia"/>
        </w:rPr>
        <w:t>为促进中石油扩产促销，促进昆明市经济社会稳定发展，经报昆明市政府批准，昆明市财政局、昆明市商务局将支持中石油云南石化扩销增产资金3000万元下达至安宁市财政局、安宁市发展和改革局，用于在昆明地区发放成品油消费券。对资金使用的要求包括：（1）收到通知后及时将资金拨付至企业，确保资金支出进度，并督促企业做好资金1:1配套安排；（2）指导企业完善成品油消费券发放方案，审核通过后报备昆明市商务局，督促企业按方案认真组织好昆明地区成品油消费券的发放。活动结束后将组织实施情况、成效及资金使用情况报昆明市商务局、昆明市财政局；（3）请严格依法依规使用资金，加快执行进度，加强资金监管，确保专款专用，并自觉接受财政、审计等部门的监督检查。同时，批复项目对应的绩效目标表，请按照全过程预算绩效管理要求，对照项目绩效目标做好运行监控，确保年度绩效目标如期实现。</w:t>
      </w:r>
    </w:p>
    <w:p>
      <w:pPr>
        <w:ind w:firstLine="640"/>
      </w:pPr>
      <w:r>
        <w:rPr>
          <w:rFonts w:hint="eastAsia"/>
        </w:rPr>
        <w:t>3．资金投入和使用情况</w:t>
      </w:r>
    </w:p>
    <w:p>
      <w:pPr>
        <w:ind w:firstLine="640"/>
      </w:pPr>
      <w:r>
        <w:rPr>
          <w:rFonts w:hint="eastAsia"/>
        </w:rPr>
        <w:t>（1）资金来源：</w:t>
      </w:r>
    </w:p>
    <w:p>
      <w:pPr>
        <w:ind w:firstLine="640"/>
      </w:pPr>
      <w:r>
        <w:rPr>
          <w:rFonts w:hint="eastAsia"/>
        </w:rPr>
        <w:t>安宁市财政局拨付安宁市发展和改革局上级下达的支持中石油云南石化扩销增产消费券专项资金30,000,000.00元；</w:t>
      </w:r>
    </w:p>
    <w:p>
      <w:pPr>
        <w:ind w:firstLine="640"/>
      </w:pPr>
      <w:r>
        <w:rPr>
          <w:rFonts w:hint="eastAsia"/>
        </w:rPr>
        <w:t>2022年12月27日，安宁市发展和改革局拨付中石油云南石化有限公司专项资金30,000,000.00元，资金用途为：中石油云南石化扩销增产消费券资金。</w:t>
      </w:r>
    </w:p>
    <w:p>
      <w:pPr>
        <w:ind w:firstLine="640"/>
      </w:pPr>
      <w:r>
        <w:rPr>
          <w:rFonts w:hint="eastAsia"/>
        </w:rPr>
        <w:t>（2）支出情况：</w:t>
      </w:r>
    </w:p>
    <w:p>
      <w:pPr>
        <w:ind w:firstLine="640"/>
      </w:pPr>
      <w:r>
        <w:rPr>
          <w:rFonts w:hint="eastAsia"/>
        </w:rPr>
        <w:t>支持中石油云南石化扩销增产消费券专项资金实际支出合计86,901,823.91元，其中：财政专项资金30,000,000.00元，企业配套资金56,901,823.91元。</w:t>
      </w:r>
    </w:p>
    <w:p>
      <w:pPr>
        <w:pStyle w:val="3"/>
        <w:ind w:firstLine="643"/>
        <w:rPr>
          <w:rFonts w:ascii="Times New Roman" w:hAnsi="Times New Roman" w:cs="Times New Roman"/>
        </w:rPr>
      </w:pPr>
      <w:bookmarkStart w:id="5" w:name="_Toc154395784"/>
      <w:r>
        <w:rPr>
          <w:rFonts w:ascii="Times New Roman" w:hAnsi="Times New Roman" w:cs="Times New Roman"/>
        </w:rPr>
        <w:t>二、绩效评价结论</w:t>
      </w:r>
      <w:bookmarkEnd w:id="4"/>
      <w:bookmarkEnd w:id="5"/>
    </w:p>
    <w:p>
      <w:pPr>
        <w:ind w:firstLine="640"/>
        <w:rPr>
          <w:highlight w:val="yellow"/>
        </w:rPr>
      </w:pPr>
      <w:r>
        <w:rPr>
          <w:rFonts w:hint="eastAsia"/>
        </w:rPr>
        <w:t>安宁市发展和改革局2022年度支持中石油云南石化扩销增产消费券专项资金项目专项资金绩效评价得分8</w:t>
      </w:r>
      <w:r>
        <w:t>3</w:t>
      </w:r>
      <w:r>
        <w:rPr>
          <w:rFonts w:hint="eastAsia"/>
        </w:rPr>
        <w:t>.</w:t>
      </w:r>
      <w:r>
        <w:t>54</w:t>
      </w:r>
      <w:r>
        <w:rPr>
          <w:rFonts w:hint="eastAsia"/>
        </w:rPr>
        <w:t>分，评价等级为“良”。</w:t>
      </w:r>
    </w:p>
    <w:p>
      <w:pPr>
        <w:ind w:firstLine="640"/>
      </w:pPr>
      <w:r>
        <w:t>经评价，</w:t>
      </w:r>
      <w:r>
        <w:rPr>
          <w:rFonts w:hint="eastAsia"/>
        </w:rPr>
        <w:t>在项目决策方面，安宁市发展和改革局2022年度支持中石油云南石化扩销增产消费券专项资金项目立项符合行业发展规划和政策要求；预算内容与项目内容匹配；项目绩效目标与项目实施单位职责密切相关，可通过清晰、可衡量的绩效指标予以体现。</w:t>
      </w:r>
    </w:p>
    <w:p>
      <w:pPr>
        <w:ind w:firstLine="640"/>
      </w:pPr>
      <w:r>
        <w:rPr>
          <w:rFonts w:hint="eastAsia"/>
        </w:rPr>
        <w:t>在项目过程方面，项目资金到位及时、使用规范，财务和业务管理制度健全，能严格执行项目相关管理规定；项目程序规范性且具备实施的条件；但在绩效自评方面，项目管理单位未开展项目自评工作。</w:t>
      </w:r>
    </w:p>
    <w:p>
      <w:pPr>
        <w:ind w:firstLine="640"/>
      </w:pPr>
      <w:r>
        <w:rPr>
          <w:rFonts w:hint="eastAsia"/>
        </w:rPr>
        <w:t>在项目产出方面，各类扩销增产消费券活动项目均已实际开展，且全部完成；但活动执行存在延期的情况。</w:t>
      </w:r>
    </w:p>
    <w:p>
      <w:pPr>
        <w:ind w:firstLine="640"/>
      </w:pPr>
      <w:r>
        <w:rPr>
          <w:rFonts w:hint="eastAsia"/>
        </w:rPr>
        <w:t>在项目效益方面，扩销增产消费券活动项目实现了拉动油品消费；实施企业已经完成诚信纳税；完成了相关社会就业岗位的增长；实现石化扩销增产。</w:t>
      </w:r>
    </w:p>
    <w:p>
      <w:pPr>
        <w:pStyle w:val="3"/>
        <w:ind w:firstLine="643"/>
        <w:rPr>
          <w:rFonts w:ascii="Times New Roman" w:hAnsi="Times New Roman" w:cs="Times New Roman"/>
        </w:rPr>
      </w:pPr>
      <w:bookmarkStart w:id="6" w:name="_Toc154395785"/>
      <w:bookmarkStart w:id="7" w:name="_Toc7251"/>
      <w:r>
        <w:rPr>
          <w:rFonts w:ascii="Times New Roman" w:hAnsi="Times New Roman" w:cs="Times New Roman"/>
        </w:rPr>
        <w:t>三、主要业绩与经验</w:t>
      </w:r>
      <w:bookmarkEnd w:id="6"/>
      <w:bookmarkEnd w:id="7"/>
    </w:p>
    <w:p>
      <w:pPr>
        <w:ind w:firstLine="672"/>
        <w:rPr>
          <w:spacing w:val="8"/>
          <w:szCs w:val="32"/>
        </w:rPr>
      </w:pPr>
      <w:bookmarkStart w:id="8" w:name="_Toc17728"/>
      <w:r>
        <w:rPr>
          <w:rFonts w:hint="eastAsia"/>
          <w:spacing w:val="8"/>
          <w:szCs w:val="32"/>
        </w:rPr>
        <w:t>项目实施企业按照上级专项资金配比要求，加大活动投入，实现石化扩销增产等目标。</w:t>
      </w:r>
    </w:p>
    <w:p>
      <w:pPr>
        <w:ind w:firstLine="672"/>
        <w:rPr>
          <w:spacing w:val="8"/>
          <w:szCs w:val="32"/>
        </w:rPr>
      </w:pPr>
      <w:r>
        <w:rPr>
          <w:rFonts w:hint="eastAsia"/>
          <w:spacing w:val="8"/>
          <w:szCs w:val="32"/>
        </w:rPr>
        <w:t>按照昆明市商务局、昆明市财政局2022年11月17日联合下达的《关于下达支持中石油云南石化扩销增产消费券资金的通知》（昆财产业〔2022〕160号）要求，扶持中国石油云南石化扩销增产资金3000万元企业做好资金1:1配套投入，用于昆明地区成品油消费，目标是实现新服务客户1.48万户，拉动油品消费2亿元，增加就业岗位20人以上。</w:t>
      </w:r>
    </w:p>
    <w:p>
      <w:pPr>
        <w:ind w:firstLine="672"/>
        <w:rPr>
          <w:spacing w:val="8"/>
          <w:szCs w:val="32"/>
          <w:highlight w:val="yellow"/>
        </w:rPr>
      </w:pPr>
      <w:r>
        <w:rPr>
          <w:rFonts w:hint="eastAsia"/>
          <w:spacing w:val="8"/>
          <w:szCs w:val="32"/>
        </w:rPr>
        <w:t>项目实施企业中国石油天然气股份有限公司云南昆明销售分公司按照《中国石油昆明公司年终专项营销方案》内容实施该促销活动，实际投入活动项目配比资金56,901,823.91元，较目标要求增加投入26,901,823.91元；实现新增会员客户10.82万户，较目标要求增加9.34万户；实现零售总额增长8.97亿元，较目标要求增加6.97亿元；增加社会就业岗位95人，较目标增加75人；根据第三方顾客满意度问卷调查结果，昆明市油品优惠促销满意度为94.49%。从专项资金使用结果和促销活动执行效果反映，该项目石化扩销增产等目标基本实现。</w:t>
      </w:r>
    </w:p>
    <w:p>
      <w:pPr>
        <w:pStyle w:val="3"/>
        <w:ind w:firstLine="643"/>
        <w:rPr>
          <w:rFonts w:ascii="Times New Roman" w:hAnsi="Times New Roman" w:cs="Times New Roman"/>
        </w:rPr>
      </w:pPr>
      <w:bookmarkStart w:id="9" w:name="_Toc154395786"/>
      <w:r>
        <w:rPr>
          <w:rFonts w:ascii="Times New Roman" w:hAnsi="Times New Roman" w:cs="Times New Roman"/>
        </w:rPr>
        <w:t>四、存在的主要问题</w:t>
      </w:r>
      <w:bookmarkEnd w:id="8"/>
      <w:bookmarkEnd w:id="9"/>
    </w:p>
    <w:p>
      <w:pPr>
        <w:pStyle w:val="4"/>
        <w:ind w:firstLine="640"/>
      </w:pPr>
      <w:bookmarkStart w:id="10" w:name="_Toc154395787"/>
      <w:r>
        <w:rPr>
          <w:rFonts w:hint="eastAsia"/>
        </w:rPr>
        <w:t>（一）具体实施方案内的个别活动因资金分配等原因，未能实际执行。</w:t>
      </w:r>
      <w:bookmarkEnd w:id="10"/>
    </w:p>
    <w:p>
      <w:pPr>
        <w:ind w:firstLine="640"/>
      </w:pPr>
      <w:r>
        <w:rPr>
          <w:rFonts w:hint="eastAsia"/>
        </w:rPr>
        <w:t>根据项目实施企业编制的《中国石油昆明公司年终专项营销方案》内容，预计将“配送销售”纳入支持中石油云南石化扩销增产消费券专项资金的活动项目中，预计费用130万元，拉动消费1300万元。但在实际执行过程中，因专项资金和配比资金分配等原因，未能在本项目内实际执行。</w:t>
      </w:r>
    </w:p>
    <w:p>
      <w:pPr>
        <w:pStyle w:val="4"/>
        <w:ind w:firstLine="640"/>
      </w:pPr>
      <w:bookmarkStart w:id="11" w:name="_Toc154395788"/>
      <w:r>
        <w:rPr>
          <w:rFonts w:hint="eastAsia"/>
        </w:rPr>
        <w:t>（二）项目执行过程中，整体推进缓慢，导致活动项目延期完成。</w:t>
      </w:r>
      <w:bookmarkEnd w:id="11"/>
    </w:p>
    <w:p>
      <w:pPr>
        <w:ind w:firstLine="640"/>
      </w:pPr>
      <w:r>
        <w:rPr>
          <w:rFonts w:hint="eastAsia"/>
        </w:rPr>
        <w:t>根据《昆明市财政局、昆明市商务局关于下达支持中石油云南石化扩销增产消费券资金的通知》（昆财产业〔2022〕160号）后附《项目绩效目标评价表》，项目实施期为2022年11月15日至2023年2月28日；根据项目实施企业《关于昆明市政府专项促销资金使用情况的说明》及《项目绩效目标自评表》，项目实际执行期间为2022年12月1日至2023年3月31日。由于项目前期工作推进不够及时，导致项目实现执行期间未能按照下达通知的期间执行。</w:t>
      </w:r>
    </w:p>
    <w:p>
      <w:pPr>
        <w:pStyle w:val="4"/>
        <w:ind w:firstLine="640"/>
      </w:pPr>
      <w:bookmarkStart w:id="12" w:name="_Toc154395789"/>
      <w:r>
        <w:rPr>
          <w:rFonts w:hint="eastAsia"/>
        </w:rPr>
        <w:t>（三）项目管理单位未能及时建立项目档案管理。</w:t>
      </w:r>
      <w:bookmarkEnd w:id="12"/>
    </w:p>
    <w:p>
      <w:pPr>
        <w:ind w:firstLine="640"/>
      </w:pPr>
      <w:r>
        <w:rPr>
          <w:rFonts w:hint="eastAsia"/>
        </w:rPr>
        <w:t>因活动范围较广，活动实际延期等，项目管理单位暂未能建立较为完整的项目档案。支持中石油云南石化扩销增产消费券专项资金的具体使用情况，在评价期间，由项目实施企业重新收集、整理才能完整体现。由于项目档案资料缺失，导致项目管理单位不能全面掌握项目专项资金的具体使用情况。</w:t>
      </w:r>
    </w:p>
    <w:p>
      <w:pPr>
        <w:pStyle w:val="3"/>
        <w:ind w:firstLine="643"/>
        <w:rPr>
          <w:rFonts w:ascii="Times New Roman" w:hAnsi="Times New Roman" w:cs="Times New Roman"/>
        </w:rPr>
      </w:pPr>
      <w:bookmarkStart w:id="13" w:name="_Toc13278"/>
      <w:bookmarkStart w:id="14" w:name="_Toc154395790"/>
      <w:r>
        <w:rPr>
          <w:rFonts w:hint="eastAsia" w:ascii="Times New Roman" w:hAnsi="Times New Roman" w:cs="Times New Roman"/>
        </w:rPr>
        <w:t>五、</w:t>
      </w:r>
      <w:r>
        <w:rPr>
          <w:rFonts w:ascii="Times New Roman" w:hAnsi="Times New Roman" w:cs="Times New Roman"/>
        </w:rPr>
        <w:t>相关建议和措施</w:t>
      </w:r>
      <w:bookmarkEnd w:id="13"/>
      <w:bookmarkEnd w:id="14"/>
    </w:p>
    <w:p>
      <w:pPr>
        <w:ind w:firstLine="640"/>
      </w:pPr>
      <w:r>
        <w:rPr>
          <w:rFonts w:hint="eastAsia"/>
        </w:rPr>
        <w:t>（一）合理规划、分配和及时使用政府专项资金。</w:t>
      </w:r>
    </w:p>
    <w:p>
      <w:pPr>
        <w:ind w:firstLine="640"/>
      </w:pPr>
      <w:r>
        <w:rPr>
          <w:rFonts w:hint="eastAsia"/>
        </w:rPr>
        <w:t>建议项目管理单位与项目实施企业在专项资金申请初期，一起完成项目工作计划或实施方案，包括资金拨付时间；资金使用范围；项目完成时间和项目成果提交等事项均建议列入实施方案，并严格按照方案执行。避免项目管理单位与项目实施企业由于缺乏沟通，导致实际执行与实施方案产生偏差的情况。</w:t>
      </w:r>
    </w:p>
    <w:p>
      <w:pPr>
        <w:ind w:firstLine="640"/>
      </w:pPr>
      <w:r>
        <w:rPr>
          <w:rFonts w:hint="eastAsia"/>
        </w:rPr>
        <w:t>（二）建议项目实施企业对政府专项资金进行专账管理。</w:t>
      </w:r>
    </w:p>
    <w:p>
      <w:pPr>
        <w:ind w:firstLine="640"/>
      </w:pPr>
      <w:r>
        <w:rPr>
          <w:rFonts w:hint="eastAsia"/>
        </w:rPr>
        <w:t>建设项目实施企业在政府专项资金的使用过程中，为专项资金设立独立账套或科目进行核算，并编制独立会计凭证及附件，明确专项资金的独立现金流及具体使用事项，为政府专项资金的“专款专用”要求提供准确及可靠的依据。</w:t>
      </w:r>
    </w:p>
    <w:p>
      <w:pPr>
        <w:ind w:firstLine="640"/>
      </w:pPr>
      <w:r>
        <w:rPr>
          <w:rFonts w:hint="eastAsia"/>
        </w:rPr>
        <w:t>（三）项目管理单位加强对财政专项资金使用的过程管理，做好绩效评价自评工作。</w:t>
      </w:r>
    </w:p>
    <w:p>
      <w:pPr>
        <w:ind w:firstLine="640"/>
        <w:rPr>
          <w:szCs w:val="32"/>
        </w:rPr>
      </w:pPr>
      <w:r>
        <w:rPr>
          <w:rFonts w:hint="eastAsia"/>
        </w:rPr>
        <w:t>建议项目管理单位按照《安宁市预算绩效管理暂行办法》，加强对重点预算项目的全过程管理，完成绩效评价的自评工作，完善项目资料的收集和档案管理，掌握项目的具体进度和实施情况，监督项目实施单位按照相关要求按时、按质、按量完成项目。</w:t>
      </w:r>
    </w:p>
    <w:p>
      <w:pPr>
        <w:ind w:firstLine="0" w:firstLineChars="0"/>
      </w:pPr>
    </w:p>
    <w:p>
      <w:pPr>
        <w:ind w:firstLine="0" w:firstLineChars="0"/>
      </w:pPr>
    </w:p>
    <w:p>
      <w:pPr>
        <w:ind w:firstLine="0" w:firstLineChars="0"/>
      </w:pPr>
    </w:p>
    <w:p>
      <w:pPr>
        <w:ind w:firstLine="0" w:firstLineChars="0"/>
      </w:pPr>
    </w:p>
    <w:p>
      <w:pPr>
        <w:ind w:firstLine="0" w:firstLineChars="0"/>
      </w:pPr>
    </w:p>
    <w:p>
      <w:pPr>
        <w:spacing w:line="276" w:lineRule="auto"/>
        <w:ind w:left="-178" w:firstLine="964"/>
        <w:rPr>
          <w:b/>
          <w:sz w:val="48"/>
          <w:szCs w:val="48"/>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pPr>
        <w:spacing w:line="276" w:lineRule="auto"/>
        <w:ind w:left="-178" w:firstLine="964"/>
        <w:rPr>
          <w:b/>
          <w:sz w:val="48"/>
          <w:szCs w:val="48"/>
        </w:rPr>
      </w:pPr>
      <w:r>
        <w:rPr>
          <w:b/>
          <w:sz w:val="48"/>
          <w:szCs w:val="48"/>
        </w:rPr>
        <w:t>昆明正宇会计师事务所有限公司</w:t>
      </w:r>
    </w:p>
    <w:p>
      <w:pPr>
        <w:spacing w:before="156" w:beforeLines="50" w:line="276" w:lineRule="auto"/>
        <w:ind w:firstLine="560"/>
        <w:jc w:val="center"/>
        <w:rPr>
          <w:sz w:val="28"/>
          <w:szCs w:val="28"/>
        </w:rPr>
      </w:pPr>
      <w:r>
        <w:rPr>
          <w:sz w:val="28"/>
          <w:szCs w:val="28"/>
        </w:rPr>
        <w:t>昆正宇审字〔2023〕第</w:t>
      </w:r>
      <w:r>
        <w:rPr>
          <w:rFonts w:hint="eastAsia"/>
          <w:sz w:val="28"/>
          <w:szCs w:val="22"/>
        </w:rPr>
        <w:t>XXX</w:t>
      </w:r>
      <w:r>
        <w:rPr>
          <w:sz w:val="28"/>
          <w:szCs w:val="28"/>
        </w:rPr>
        <w:t>号</w:t>
      </w:r>
    </w:p>
    <w:p>
      <w:pPr>
        <w:spacing w:line="580" w:lineRule="exact"/>
        <w:ind w:firstLine="640"/>
        <w:rPr>
          <w:b/>
          <w:szCs w:val="32"/>
        </w:rPr>
      </w:pPr>
      <w:r>
        <w:rPr>
          <w:szCs w:val="32"/>
        </w:rPr>
        <mc:AlternateContent>
          <mc:Choice Requires="wps">
            <w:drawing>
              <wp:anchor distT="0" distB="0" distL="114300" distR="114300" simplePos="0" relativeHeight="251660288" behindDoc="0" locked="0" layoutInCell="0" allowOverlap="1">
                <wp:simplePos x="0" y="0"/>
                <wp:positionH relativeFrom="column">
                  <wp:posOffset>-114935</wp:posOffset>
                </wp:positionH>
                <wp:positionV relativeFrom="paragraph">
                  <wp:posOffset>96520</wp:posOffset>
                </wp:positionV>
                <wp:extent cx="53435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43277"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9.05pt;margin-top:7.6pt;height:0pt;width:420.75pt;z-index:251660288;mso-width-relative:page;mso-height-relative:page;" filled="f" stroked="t" coordsize="21600,21600" o:allowincell="f" o:gfxdata="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Ozr5NUAAAAJAQAADwAAAAAAAAABACAAAAAiAAAAZHJz&#10;L2Rvd25yZXYueG1sUEsBAhQAFAAAAAgAh07iQFRLriDOAQAAawMAAA4AAAAAAAAAAQAgAAAAJAEA&#10;AGRycy9lMm9Eb2MueG1sUEsFBgAAAAAGAAYAWQEAAGQFAAAAAA==&#10;">
                <v:fill on="f" focussize="0,0"/>
                <v:stroke weight="1.5pt" color="#000000" joinstyle="round"/>
                <v:imagedata o:title=""/>
                <o:lock v:ext="edit" aspectratio="f"/>
              </v:line>
            </w:pict>
          </mc:Fallback>
        </mc:AlternateContent>
      </w:r>
    </w:p>
    <w:p>
      <w:pPr>
        <w:ind w:firstLine="0" w:firstLineChars="0"/>
        <w:jc w:val="center"/>
        <w:rPr>
          <w:rFonts w:eastAsia="方正小标宋简体"/>
          <w:b/>
          <w:bCs/>
          <w:kern w:val="44"/>
          <w:sz w:val="44"/>
          <w:szCs w:val="44"/>
        </w:rPr>
      </w:pPr>
      <w:r>
        <w:rPr>
          <w:rFonts w:hint="eastAsia" w:eastAsia="方正小标宋简体"/>
          <w:b/>
          <w:bCs/>
          <w:kern w:val="44"/>
          <w:sz w:val="44"/>
          <w:szCs w:val="44"/>
        </w:rPr>
        <w:t>2022年度支持中石油云南石化扩销增产</w:t>
      </w:r>
    </w:p>
    <w:p>
      <w:pPr>
        <w:ind w:firstLine="0" w:firstLineChars="0"/>
        <w:jc w:val="center"/>
        <w:rPr>
          <w:rFonts w:eastAsia="方正小标宋简体"/>
          <w:b/>
          <w:bCs/>
          <w:kern w:val="44"/>
          <w:sz w:val="44"/>
          <w:szCs w:val="44"/>
        </w:rPr>
      </w:pPr>
      <w:r>
        <w:rPr>
          <w:rFonts w:hint="eastAsia" w:eastAsia="方正小标宋简体"/>
          <w:b/>
          <w:bCs/>
          <w:kern w:val="44"/>
          <w:sz w:val="44"/>
          <w:szCs w:val="44"/>
        </w:rPr>
        <w:t>消费券专项资金项目支出绩效评价报告</w:t>
      </w:r>
    </w:p>
    <w:p>
      <w:pPr>
        <w:ind w:firstLine="640"/>
      </w:pPr>
    </w:p>
    <w:p>
      <w:pPr>
        <w:ind w:firstLine="640"/>
      </w:pPr>
      <w:r>
        <w:t>为贯彻落实《中共中央 国务院关于全面实施预算绩效管理的意见》、《中共云南省委 云南省人民政府关于全面实施预算绩效管理的实施意见》精神及上级关于加强预算绩效管理工作的要求，进一步规范财政资金运行和绩效监管，提升财政资金使用效益，全面加强和提升安宁市预算绩效管理水平，根据《安宁市预算绩效管理暂行办法》（安政发〔2018〕10号），昆明正宇会计师事务所有限公司接受安宁市财政局委托，于2023年11月至12月对2022年度</w:t>
      </w:r>
      <w:r>
        <w:rPr>
          <w:rFonts w:hint="eastAsia"/>
        </w:rPr>
        <w:t>安宁市发展和改革局2022年度支持中石油云南石化扩销增产消费券专项资金</w:t>
      </w:r>
      <w:r>
        <w:t>支出开展绩效评价。现将评价情况报告如下：</w:t>
      </w:r>
      <w:bookmarkStart w:id="15" w:name="_Toc20230"/>
    </w:p>
    <w:p>
      <w:pPr>
        <w:pStyle w:val="3"/>
        <w:ind w:firstLine="643"/>
        <w:rPr>
          <w:rFonts w:ascii="Times New Roman" w:hAnsi="Times New Roman" w:cs="Times New Roman"/>
        </w:rPr>
      </w:pPr>
      <w:bookmarkStart w:id="16" w:name="_Toc154395791"/>
      <w:r>
        <w:rPr>
          <w:rFonts w:ascii="Times New Roman" w:hAnsi="Times New Roman" w:cs="Times New Roman"/>
        </w:rPr>
        <w:t>一、基本情况</w:t>
      </w:r>
      <w:bookmarkEnd w:id="15"/>
      <w:bookmarkEnd w:id="16"/>
    </w:p>
    <w:p>
      <w:pPr>
        <w:pStyle w:val="4"/>
        <w:ind w:firstLine="640"/>
      </w:pPr>
      <w:bookmarkStart w:id="17" w:name="_Toc154395792"/>
      <w:r>
        <w:t>（一）项目概况</w:t>
      </w:r>
      <w:bookmarkEnd w:id="17"/>
    </w:p>
    <w:p>
      <w:pPr>
        <w:pStyle w:val="5"/>
        <w:ind w:firstLine="640"/>
        <w:rPr>
          <w:rFonts w:ascii="Times New Roman" w:hAnsi="Times New Roman" w:cs="Times New Roman"/>
        </w:rPr>
      </w:pPr>
      <w:r>
        <w:rPr>
          <w:rFonts w:ascii="Times New Roman" w:hAnsi="Times New Roman" w:cs="Times New Roman"/>
        </w:rPr>
        <w:t>1．项目背景</w:t>
      </w:r>
    </w:p>
    <w:p>
      <w:pPr>
        <w:ind w:firstLine="640"/>
      </w:pPr>
      <w:r>
        <w:rPr>
          <w:rFonts w:hint="eastAsia"/>
        </w:rPr>
        <w:t>为认真贯彻落实国务院和省人民政府稳经济一揽子政策措施，高效统筹疫情防控和经济社会发展，有力做好稳增长稳市场主体保就业防风险工作，确保经济运行在合理区间。昆明市财政局、昆明市商务局结合昆明市实际，按照《昆明市人民政府关于印发扎实稳住经济增长实施方案的通知》（昆政发〔2022〕10号）的工作要求，向安宁市财政局、安宁市发展和改革局下发《关于下达支持中石油云南石化扩销增产消费券资金的通知》（昆财产业〔2022〕160号），从加快落实稳经济政策措施、进一步帮助企业纾困解难、有效释放需求增长潜力、促进重点产业恢复发展、切实保障和改善民生等方面开展支持中石油云南石化扩销增产消费券专项资金的工作。</w:t>
      </w:r>
    </w:p>
    <w:p>
      <w:pPr>
        <w:pStyle w:val="5"/>
        <w:ind w:firstLine="640"/>
      </w:pPr>
      <w:r>
        <w:rPr>
          <w:rFonts w:ascii="Times New Roman" w:hAnsi="Times New Roman" w:cs="Times New Roman"/>
        </w:rPr>
        <w:t>2．</w:t>
      </w:r>
      <w:r>
        <w:rPr>
          <w:rFonts w:hint="eastAsia"/>
        </w:rPr>
        <w:t>主要内容</w:t>
      </w:r>
    </w:p>
    <w:p>
      <w:pPr>
        <w:ind w:firstLine="640"/>
      </w:pPr>
      <w:r>
        <w:rPr>
          <w:rFonts w:hint="eastAsia"/>
        </w:rPr>
        <w:t>为促进中石油扩产促销，促进昆明市经济社会稳定发展，经报昆明市政府批准，昆明市财政局、昆明市商务局将支持中石油云南石化扩销增产资金3000万元下达至安宁市财政局、安宁市发展和改革局，用于在昆明地区发放成品油消费券。对资金使用的要求包括：（1）收到通知后及时将资金拨付至企业，确保资金支出进度，并督促企业做好资金1:1配套安排；（2）指导企业完善成品油消费券发放方案，审核通过后报备昆明市商务局，督促企业按方案认真组织好昆明地区成品油消费券的发放。活动结束后将组织实施情况、成效及资金使用情况报昆明市商务局、昆明市财政局；（3）请严格依法依规使用资金，加快执行进度，加强资金监管，确保专款专用，并自觉接受财政、审计等部门的监督检查。同时，批复项目对应的绩效目标表，请按照全过程预算绩效管理要求，对照项目绩效目标做好运行监控，确保年度绩效目标如期实现。</w:t>
      </w:r>
    </w:p>
    <w:p>
      <w:pPr>
        <w:pStyle w:val="5"/>
        <w:ind w:firstLine="640"/>
        <w:rPr>
          <w:rFonts w:ascii="Times New Roman" w:hAnsi="Times New Roman" w:cs="Times New Roman"/>
        </w:rPr>
      </w:pPr>
      <w:r>
        <w:rPr>
          <w:rFonts w:ascii="Times New Roman" w:hAnsi="Times New Roman" w:cs="Times New Roman"/>
        </w:rPr>
        <w:t>3．资金投入和使用情况</w:t>
      </w:r>
    </w:p>
    <w:p>
      <w:pPr>
        <w:ind w:firstLine="640"/>
      </w:pPr>
      <w:r>
        <w:t>（1）资金来源：</w:t>
      </w:r>
    </w:p>
    <w:p>
      <w:pPr>
        <w:ind w:firstLine="640"/>
      </w:pPr>
      <w:r>
        <w:rPr>
          <w:rFonts w:hint="eastAsia"/>
        </w:rPr>
        <w:t>安宁市财政局拨付安宁市发展和改革局</w:t>
      </w:r>
      <w:r>
        <w:t>上级下达</w:t>
      </w:r>
      <w:r>
        <w:rPr>
          <w:rFonts w:hint="eastAsia"/>
        </w:rPr>
        <w:t>的支持中石油云南石化扩销增产消费券专项资金3</w:t>
      </w:r>
      <w:r>
        <w:t>0</w:t>
      </w:r>
      <w:r>
        <w:rPr>
          <w:rFonts w:hint="eastAsia"/>
        </w:rPr>
        <w:t>,</w:t>
      </w:r>
      <w:r>
        <w:t>0</w:t>
      </w:r>
      <w:r>
        <w:rPr>
          <w:rFonts w:hint="eastAsia"/>
        </w:rPr>
        <w:t>00,000.00</w:t>
      </w:r>
      <w:r>
        <w:t>元</w:t>
      </w:r>
      <w:r>
        <w:rPr>
          <w:rFonts w:hint="eastAsia"/>
        </w:rPr>
        <w:t>；</w:t>
      </w:r>
    </w:p>
    <w:p>
      <w:pPr>
        <w:ind w:firstLine="640"/>
      </w:pPr>
      <w:r>
        <w:rPr>
          <w:szCs w:val="32"/>
        </w:rPr>
        <w:t>2</w:t>
      </w:r>
      <w:r>
        <w:t>022年12</w:t>
      </w:r>
      <w:r>
        <w:rPr>
          <w:rFonts w:hint="eastAsia"/>
        </w:rPr>
        <w:t>月</w:t>
      </w:r>
      <w:r>
        <w:t>27</w:t>
      </w:r>
      <w:r>
        <w:rPr>
          <w:rFonts w:hint="eastAsia"/>
        </w:rPr>
        <w:t>日，安宁市发展和改革局拨付中石油云南石化有限公司专项资金3</w:t>
      </w:r>
      <w:r>
        <w:t>0</w:t>
      </w:r>
      <w:r>
        <w:rPr>
          <w:rFonts w:hint="eastAsia"/>
        </w:rPr>
        <w:t>,</w:t>
      </w:r>
      <w:r>
        <w:t>0</w:t>
      </w:r>
      <w:r>
        <w:rPr>
          <w:rFonts w:hint="eastAsia"/>
        </w:rPr>
        <w:t>00,000.00</w:t>
      </w:r>
      <w:r>
        <w:t>元</w:t>
      </w:r>
      <w:r>
        <w:rPr>
          <w:rFonts w:hint="eastAsia"/>
        </w:rPr>
        <w:t>，资金用途为：中石油云南石化扩销增产消费券资金。</w:t>
      </w:r>
    </w:p>
    <w:p>
      <w:pPr>
        <w:ind w:firstLine="640"/>
      </w:pPr>
      <w:r>
        <w:t>（2）支出情况：</w:t>
      </w:r>
    </w:p>
    <w:p>
      <w:pPr>
        <w:ind w:firstLine="640"/>
      </w:pPr>
      <w:r>
        <w:rPr>
          <w:rFonts w:hint="eastAsia"/>
        </w:rPr>
        <w:t>支持中石油云南石化扩销增产消费券专项资金</w:t>
      </w:r>
      <w:r>
        <w:t>实际支出合计86,901,823.91元</w:t>
      </w:r>
      <w:r>
        <w:rPr>
          <w:rFonts w:hint="eastAsia"/>
        </w:rPr>
        <w:t>，其中：财政专项资金3</w:t>
      </w:r>
      <w:r>
        <w:t>0</w:t>
      </w:r>
      <w:r>
        <w:rPr>
          <w:rFonts w:hint="eastAsia"/>
        </w:rPr>
        <w:t>,</w:t>
      </w:r>
      <w:r>
        <w:t>0</w:t>
      </w:r>
      <w:r>
        <w:rPr>
          <w:rFonts w:hint="eastAsia"/>
        </w:rPr>
        <w:t>00,000.00</w:t>
      </w:r>
      <w:r>
        <w:t>元</w:t>
      </w:r>
      <w:r>
        <w:rPr>
          <w:rFonts w:hint="eastAsia"/>
        </w:rPr>
        <w:t>，企业配套资金</w:t>
      </w:r>
      <w:r>
        <w:t>56,901,823.91</w:t>
      </w:r>
      <w:r>
        <w:rPr>
          <w:rFonts w:hint="eastAsia"/>
        </w:rPr>
        <w:t>元</w:t>
      </w:r>
      <w:r>
        <w:t>。具体支出明细如下：</w:t>
      </w:r>
    </w:p>
    <w:p>
      <w:pPr>
        <w:ind w:firstLine="420"/>
        <w:jc w:val="right"/>
        <w:rPr>
          <w:sz w:val="21"/>
          <w:szCs w:val="21"/>
        </w:rPr>
      </w:pPr>
      <w:r>
        <w:rPr>
          <w:rFonts w:hint="eastAsia"/>
          <w:sz w:val="21"/>
          <w:szCs w:val="21"/>
        </w:rPr>
        <w:t>单位：元</w:t>
      </w:r>
    </w:p>
    <w:tbl>
      <w:tblPr>
        <w:tblStyle w:val="21"/>
        <w:tblW w:w="8296" w:type="dxa"/>
        <w:tblInd w:w="0" w:type="dxa"/>
        <w:tblLayout w:type="fixed"/>
        <w:tblCellMar>
          <w:top w:w="0" w:type="dxa"/>
          <w:left w:w="108" w:type="dxa"/>
          <w:bottom w:w="0" w:type="dxa"/>
          <w:right w:w="108" w:type="dxa"/>
        </w:tblCellMar>
      </w:tblPr>
      <w:tblGrid>
        <w:gridCol w:w="2290"/>
        <w:gridCol w:w="2092"/>
        <w:gridCol w:w="1822"/>
        <w:gridCol w:w="2092"/>
      </w:tblGrid>
      <w:tr>
        <w:tblPrEx>
          <w:tblLayout w:type="fixed"/>
          <w:tblCellMar>
            <w:top w:w="0" w:type="dxa"/>
            <w:left w:w="108" w:type="dxa"/>
            <w:bottom w:w="0" w:type="dxa"/>
            <w:right w:w="108" w:type="dxa"/>
          </w:tblCellMar>
        </w:tblPrEx>
        <w:trPr>
          <w:trHeight w:val="240" w:hRule="atLeast"/>
          <w:tblHeader/>
        </w:trPr>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支出项目</w:t>
            </w:r>
          </w:p>
        </w:tc>
        <w:tc>
          <w:tcPr>
            <w:tcW w:w="20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政府补助</w:t>
            </w:r>
          </w:p>
        </w:tc>
        <w:tc>
          <w:tcPr>
            <w:tcW w:w="182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企业配套</w:t>
            </w:r>
          </w:p>
        </w:tc>
        <w:tc>
          <w:tcPr>
            <w:tcW w:w="20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r>
      <w:tr>
        <w:tblPrEx>
          <w:tblLayout w:type="fixed"/>
          <w:tblCellMar>
            <w:top w:w="0" w:type="dxa"/>
            <w:left w:w="108" w:type="dxa"/>
            <w:bottom w:w="0" w:type="dxa"/>
            <w:right w:w="108" w:type="dxa"/>
          </w:tblCellMar>
        </w:tblPrEx>
        <w:trPr>
          <w:trHeight w:val="240" w:hRule="atLeast"/>
        </w:trPr>
        <w:tc>
          <w:tcPr>
            <w:tcW w:w="229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加油站主题营销活动</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4,375,540.62</w:t>
            </w:r>
          </w:p>
        </w:tc>
        <w:tc>
          <w:tcPr>
            <w:tcW w:w="182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6,980,189.53</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11,355,730.15</w:t>
            </w:r>
          </w:p>
        </w:tc>
      </w:tr>
      <w:tr>
        <w:tblPrEx>
          <w:tblLayout w:type="fixed"/>
          <w:tblCellMar>
            <w:top w:w="0" w:type="dxa"/>
            <w:left w:w="108" w:type="dxa"/>
            <w:bottom w:w="0" w:type="dxa"/>
            <w:right w:w="108" w:type="dxa"/>
          </w:tblCellMar>
        </w:tblPrEx>
        <w:trPr>
          <w:trHeight w:val="240" w:hRule="atLeast"/>
        </w:trPr>
        <w:tc>
          <w:tcPr>
            <w:tcW w:w="229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新客户专属礼包</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22,328,542.31</w:t>
            </w:r>
          </w:p>
        </w:tc>
        <w:tc>
          <w:tcPr>
            <w:tcW w:w="182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36,817,285.46</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59,145,827.77</w:t>
            </w:r>
          </w:p>
        </w:tc>
      </w:tr>
      <w:tr>
        <w:tblPrEx>
          <w:tblLayout w:type="fixed"/>
          <w:tblCellMar>
            <w:top w:w="0" w:type="dxa"/>
            <w:left w:w="108" w:type="dxa"/>
            <w:bottom w:w="0" w:type="dxa"/>
            <w:right w:w="108" w:type="dxa"/>
          </w:tblCellMar>
        </w:tblPrEx>
        <w:trPr>
          <w:trHeight w:val="240" w:hRule="atLeast"/>
        </w:trPr>
        <w:tc>
          <w:tcPr>
            <w:tcW w:w="229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年终客户回馈有礼</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3,295,917.07</w:t>
            </w:r>
          </w:p>
        </w:tc>
        <w:tc>
          <w:tcPr>
            <w:tcW w:w="182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13,104,348.92</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16,400,265.99</w:t>
            </w:r>
          </w:p>
        </w:tc>
      </w:tr>
      <w:tr>
        <w:tblPrEx>
          <w:tblLayout w:type="fixed"/>
          <w:tblCellMar>
            <w:top w:w="0" w:type="dxa"/>
            <w:left w:w="108" w:type="dxa"/>
            <w:bottom w:w="0" w:type="dxa"/>
            <w:right w:w="108" w:type="dxa"/>
          </w:tblCellMar>
        </w:tblPrEx>
        <w:trPr>
          <w:trHeight w:val="240" w:hRule="atLeast"/>
        </w:trPr>
        <w:tc>
          <w:tcPr>
            <w:tcW w:w="229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30,000,000.00</w:t>
            </w:r>
          </w:p>
        </w:tc>
        <w:tc>
          <w:tcPr>
            <w:tcW w:w="182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56,901,823.91</w:t>
            </w:r>
          </w:p>
        </w:tc>
        <w:tc>
          <w:tcPr>
            <w:tcW w:w="2092"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86,901,823.91</w:t>
            </w:r>
          </w:p>
        </w:tc>
      </w:tr>
    </w:tbl>
    <w:p>
      <w:pPr>
        <w:pStyle w:val="4"/>
        <w:ind w:firstLine="640"/>
      </w:pPr>
      <w:bookmarkStart w:id="18" w:name="_Toc154395793"/>
      <w:r>
        <w:t>（二）绩效目标设立情况</w:t>
      </w:r>
      <w:bookmarkEnd w:id="18"/>
    </w:p>
    <w:p>
      <w:pPr>
        <w:pStyle w:val="5"/>
        <w:ind w:firstLine="640"/>
        <w:rPr>
          <w:rFonts w:ascii="Times New Roman" w:hAnsi="Times New Roman" w:cs="Times New Roman"/>
        </w:rPr>
      </w:pPr>
      <w:r>
        <w:rPr>
          <w:rFonts w:ascii="Times New Roman" w:hAnsi="Times New Roman" w:cs="Times New Roman"/>
        </w:rPr>
        <w:t>1．预算批复（申报）绩效目标</w:t>
      </w:r>
    </w:p>
    <w:p>
      <w:pPr>
        <w:ind w:firstLine="640"/>
      </w:pPr>
      <w:r>
        <w:rPr>
          <w:rFonts w:hint="eastAsia"/>
        </w:rPr>
        <w:t>为促进中石油扩产促销，开展一系列油品促销活动促进消费，预计带动消费160万人次，新增参与人数1</w:t>
      </w:r>
      <w:r>
        <w:t>.</w:t>
      </w:r>
      <w:r>
        <w:rPr>
          <w:rFonts w:hint="eastAsia"/>
        </w:rPr>
        <w:t>48万人，预计投入支出6000万元（其中政府投入3000万，中石油投入3000万）拉动油品消费2亿元。项目绩效目标自评体系如下：</w:t>
      </w:r>
    </w:p>
    <w:tbl>
      <w:tblPr>
        <w:tblStyle w:val="21"/>
        <w:tblW w:w="8296" w:type="dxa"/>
        <w:tblInd w:w="0" w:type="dxa"/>
        <w:tblLayout w:type="fixed"/>
        <w:tblCellMar>
          <w:top w:w="0" w:type="dxa"/>
          <w:left w:w="108" w:type="dxa"/>
          <w:bottom w:w="0" w:type="dxa"/>
          <w:right w:w="108" w:type="dxa"/>
        </w:tblCellMar>
      </w:tblPr>
      <w:tblGrid>
        <w:gridCol w:w="1131"/>
        <w:gridCol w:w="1357"/>
        <w:gridCol w:w="1860"/>
        <w:gridCol w:w="2816"/>
        <w:gridCol w:w="1132"/>
      </w:tblGrid>
      <w:tr>
        <w:tblPrEx>
          <w:tblLayout w:type="fixed"/>
          <w:tblCellMar>
            <w:top w:w="0" w:type="dxa"/>
            <w:left w:w="108" w:type="dxa"/>
            <w:bottom w:w="0" w:type="dxa"/>
            <w:right w:w="108" w:type="dxa"/>
          </w:tblCellMar>
        </w:tblPrEx>
        <w:trPr>
          <w:trHeight w:val="330" w:hRule="atLeast"/>
        </w:trPr>
        <w:tc>
          <w:tcPr>
            <w:tcW w:w="11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8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新服务客户</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1.48万户</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实现扩产促销</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按方案</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拉动油品消费</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2亿元</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8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企业诚信纳税率</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8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增加企业就业岗位</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Layout w:type="fixed"/>
          <w:tblCellMar>
            <w:top w:w="0" w:type="dxa"/>
            <w:left w:w="108" w:type="dxa"/>
            <w:bottom w:w="0" w:type="dxa"/>
            <w:right w:w="108" w:type="dxa"/>
          </w:tblCellMar>
        </w:tblPrEx>
        <w:trPr>
          <w:trHeight w:val="300" w:hRule="atLeast"/>
        </w:trPr>
        <w:tc>
          <w:tcPr>
            <w:tcW w:w="11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135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顾客对政策扶持服务满意度</w:t>
            </w:r>
          </w:p>
        </w:tc>
        <w:tc>
          <w:tcPr>
            <w:tcW w:w="11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r>
    </w:tbl>
    <w:p>
      <w:pPr>
        <w:pStyle w:val="5"/>
        <w:ind w:firstLine="640"/>
        <w:rPr>
          <w:rFonts w:ascii="Times New Roman" w:hAnsi="Times New Roman" w:cs="Times New Roman"/>
        </w:rPr>
      </w:pPr>
      <w:r>
        <w:rPr>
          <w:rFonts w:ascii="Times New Roman" w:hAnsi="Times New Roman" w:cs="Times New Roman"/>
        </w:rPr>
        <w:t>2．绩效评价调整后的绩效目标和绩效指标情况</w:t>
      </w:r>
    </w:p>
    <w:p>
      <w:pPr>
        <w:ind w:firstLine="640"/>
        <w:rPr>
          <w:rFonts w:ascii="仿宋_GB2312" w:hAnsi="仿宋_GB2312" w:cs="仿宋_GB2312"/>
          <w:szCs w:val="32"/>
        </w:rPr>
      </w:pPr>
      <w:r>
        <w:rPr>
          <w:rFonts w:hint="eastAsia" w:ascii="仿宋_GB2312" w:hAnsi="仿宋_GB2312" w:cs="仿宋_GB2312"/>
          <w:szCs w:val="32"/>
        </w:rPr>
        <w:t>本项目所提供的绩效目标表不能完全体现绩效评价的要求，我们根据被评价单位前期资料收集和项目开展调查情况，结合单位项目开展的核心工作目标及工作内容，参考《云南省项目支出绩效评价管理办法》（云财绩〔2020〕11号）对决策、过程、产出和效益方面进行了审慎的调查和分析，针对项目开展的关键工作目标和评价内容进行了重新设定，调整后具体决策、过程、产出和效益绩效目标详见下表：</w:t>
      </w:r>
    </w:p>
    <w:tbl>
      <w:tblPr>
        <w:tblStyle w:val="21"/>
        <w:tblW w:w="8296" w:type="dxa"/>
        <w:tblInd w:w="0" w:type="dxa"/>
        <w:tblLayout w:type="fixed"/>
        <w:tblCellMar>
          <w:top w:w="0" w:type="dxa"/>
          <w:left w:w="108" w:type="dxa"/>
          <w:bottom w:w="0" w:type="dxa"/>
          <w:right w:w="108" w:type="dxa"/>
        </w:tblCellMar>
      </w:tblPr>
      <w:tblGrid>
        <w:gridCol w:w="1197"/>
        <w:gridCol w:w="1507"/>
        <w:gridCol w:w="2537"/>
        <w:gridCol w:w="3055"/>
      </w:tblGrid>
      <w:tr>
        <w:tblPrEx>
          <w:tblLayout w:type="fixed"/>
          <w:tblCellMar>
            <w:top w:w="0" w:type="dxa"/>
            <w:left w:w="108" w:type="dxa"/>
            <w:bottom w:w="0" w:type="dxa"/>
            <w:right w:w="108" w:type="dxa"/>
          </w:tblCellMar>
        </w:tblPrEx>
        <w:trPr>
          <w:trHeight w:val="285" w:hRule="atLeast"/>
          <w:tblHeader/>
        </w:trPr>
        <w:tc>
          <w:tcPr>
            <w:tcW w:w="119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507" w:type="dxa"/>
            <w:tcBorders>
              <w:top w:val="single" w:color="000000" w:sz="4" w:space="0"/>
              <w:left w:val="nil"/>
              <w:bottom w:val="nil"/>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53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30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指标解释</w:t>
            </w:r>
          </w:p>
        </w:tc>
      </w:tr>
      <w:tr>
        <w:tblPrEx>
          <w:tblLayout w:type="fixed"/>
          <w:tblCellMar>
            <w:top w:w="0" w:type="dxa"/>
            <w:left w:w="108" w:type="dxa"/>
            <w:bottom w:w="0" w:type="dxa"/>
            <w:right w:w="108" w:type="dxa"/>
          </w:tblCellMar>
        </w:tblPrEx>
        <w:trPr>
          <w:trHeight w:val="960" w:hRule="atLeast"/>
        </w:trPr>
        <w:tc>
          <w:tcPr>
            <w:tcW w:w="11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A1决策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（14分)</w:t>
            </w:r>
          </w:p>
        </w:tc>
        <w:tc>
          <w:tcPr>
            <w:tcW w:w="15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A11项目立项（4分）</w:t>
            </w: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A111立项依据充分性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项目立项是否符合法律法规、相关政策、发展规划以及部门职责，用以反映和考核项目立项依据情况。</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A112立项程序规范性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项目申请、设立过程是否符合相关要求，用以反映和考核项目立项的规范情况。</w:t>
            </w:r>
          </w:p>
        </w:tc>
      </w:tr>
      <w:tr>
        <w:tblPrEx>
          <w:tblLayout w:type="fixed"/>
          <w:tblCellMar>
            <w:top w:w="0" w:type="dxa"/>
            <w:left w:w="108" w:type="dxa"/>
            <w:bottom w:w="0" w:type="dxa"/>
            <w:right w:w="108" w:type="dxa"/>
          </w:tblCellMar>
        </w:tblPrEx>
        <w:trPr>
          <w:trHeight w:val="96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A12绩效目标（4分）</w:t>
            </w: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A121绩效目标合理性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r>
      <w:tr>
        <w:tblPrEx>
          <w:tblLayout w:type="fixed"/>
          <w:tblCellMar>
            <w:top w:w="0" w:type="dxa"/>
            <w:left w:w="108" w:type="dxa"/>
            <w:bottom w:w="0" w:type="dxa"/>
            <w:right w:w="108" w:type="dxa"/>
          </w:tblCellMar>
        </w:tblPrEx>
        <w:trPr>
          <w:trHeight w:val="96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A122绩效指标明确性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r>
      <w:tr>
        <w:tblPrEx>
          <w:tblLayout w:type="fixed"/>
          <w:tblCellMar>
            <w:top w:w="0" w:type="dxa"/>
            <w:left w:w="108" w:type="dxa"/>
            <w:bottom w:w="0" w:type="dxa"/>
            <w:right w:w="108" w:type="dxa"/>
          </w:tblCellMar>
        </w:tblPrEx>
        <w:trPr>
          <w:trHeight w:val="120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A13资金投入 (6分)</w:t>
            </w: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A131预算编制科学性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项目预算编制是否经过科学论证、有明确标准，资金额度与年度目标是否相适应，用以反映和考核项目预算编制的科学性、合理性情况。</w:t>
            </w:r>
          </w:p>
        </w:tc>
      </w:tr>
      <w:tr>
        <w:tblPrEx>
          <w:tblLayout w:type="fixed"/>
          <w:tblCellMar>
            <w:top w:w="0" w:type="dxa"/>
            <w:left w:w="108" w:type="dxa"/>
            <w:bottom w:w="0" w:type="dxa"/>
            <w:right w:w="108" w:type="dxa"/>
          </w:tblCellMar>
        </w:tblPrEx>
        <w:trPr>
          <w:trHeight w:val="120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A132资金分配合理性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项目预算资金分配是否有测算依据，与补助单位或地方实际是否相适应，用以反映和考核项目预算资金分配的科学性、合理性情况。</w:t>
            </w:r>
          </w:p>
        </w:tc>
      </w:tr>
      <w:tr>
        <w:tblPrEx>
          <w:tblLayout w:type="fixed"/>
          <w:tblCellMar>
            <w:top w:w="0" w:type="dxa"/>
            <w:left w:w="108" w:type="dxa"/>
            <w:bottom w:w="0" w:type="dxa"/>
            <w:right w:w="108" w:type="dxa"/>
          </w:tblCellMar>
        </w:tblPrEx>
        <w:trPr>
          <w:trHeight w:val="720" w:hRule="atLeast"/>
        </w:trPr>
        <w:tc>
          <w:tcPr>
            <w:tcW w:w="11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B2过程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（26分)</w:t>
            </w:r>
          </w:p>
        </w:tc>
        <w:tc>
          <w:tcPr>
            <w:tcW w:w="150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B21资金管理（12分）</w:t>
            </w: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B211资金到位率</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实际到位资金与预算资金的比率，用以反映和考核资金落实情况对项目实施的总体保障程度。</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B212预算执行率</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项目预算资金是否按照计划行，用以反映或考核项目预算执行情况。</w:t>
            </w:r>
          </w:p>
        </w:tc>
      </w:tr>
      <w:tr>
        <w:tblPrEx>
          <w:tblLayout w:type="fixed"/>
          <w:tblCellMar>
            <w:top w:w="0" w:type="dxa"/>
            <w:left w:w="108" w:type="dxa"/>
            <w:bottom w:w="0" w:type="dxa"/>
            <w:right w:w="108" w:type="dxa"/>
          </w:tblCellMar>
        </w:tblPrEx>
        <w:trPr>
          <w:trHeight w:val="96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B213资金使用合规性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项目资金使用是否符合相关的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财务管理制度规定，用以反映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和考核项目资金的规范运行情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况。</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B22组织实施(14分）</w:t>
            </w:r>
          </w:p>
        </w:tc>
        <w:tc>
          <w:tcPr>
            <w:tcW w:w="253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B221项目库建设管理</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补助项目库建设情况。用以反映项目入库及时充分、程序规范性和具备实施的条件。</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B222绩效自评</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针对各个项目开展自评工作。用以反映各个项目的完成及自我评价情况。</w:t>
            </w:r>
          </w:p>
        </w:tc>
      </w:tr>
      <w:tr>
        <w:tblPrEx>
          <w:tblLayout w:type="fixed"/>
          <w:tblCellMar>
            <w:top w:w="0" w:type="dxa"/>
            <w:left w:w="108" w:type="dxa"/>
            <w:bottom w:w="0" w:type="dxa"/>
            <w:right w:w="108" w:type="dxa"/>
          </w:tblCellMar>
        </w:tblPrEx>
        <w:trPr>
          <w:trHeight w:val="96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B223管理制度健全性</w:t>
            </w:r>
          </w:p>
        </w:tc>
        <w:tc>
          <w:tcPr>
            <w:tcW w:w="3055"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项目实施单位的财务和业务管理制度是否健全，用以反映和考核财务和业务管理制度对项目顺利实施的保障情况。</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nil"/>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B224制度执行有效性</w:t>
            </w:r>
          </w:p>
        </w:tc>
        <w:tc>
          <w:tcPr>
            <w:tcW w:w="3055" w:type="dxa"/>
            <w:tcBorders>
              <w:top w:val="nil"/>
              <w:left w:val="nil"/>
              <w:bottom w:val="nil"/>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项目实施是否符合相关管理规定，用以反映和考核项目管理制度的有效执行情况。</w:t>
            </w:r>
          </w:p>
        </w:tc>
      </w:tr>
      <w:tr>
        <w:tblPrEx>
          <w:tblLayout w:type="fixed"/>
          <w:tblCellMar>
            <w:top w:w="0" w:type="dxa"/>
            <w:left w:w="108" w:type="dxa"/>
            <w:bottom w:w="0" w:type="dxa"/>
            <w:right w:w="108" w:type="dxa"/>
          </w:tblCellMar>
        </w:tblPrEx>
        <w:trPr>
          <w:trHeight w:val="720" w:hRule="atLeast"/>
        </w:trPr>
        <w:tc>
          <w:tcPr>
            <w:tcW w:w="1197"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C3产出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(36分)</w:t>
            </w:r>
          </w:p>
        </w:tc>
        <w:tc>
          <w:tcPr>
            <w:tcW w:w="15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C31产出数量(9分）</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C311实际完成率</w:t>
            </w:r>
          </w:p>
        </w:tc>
        <w:tc>
          <w:tcPr>
            <w:tcW w:w="30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r>
      <w:tr>
        <w:tblPrEx>
          <w:tblLayout w:type="fixed"/>
          <w:tblCellMar>
            <w:top w:w="0" w:type="dxa"/>
            <w:left w:w="108" w:type="dxa"/>
            <w:bottom w:w="0" w:type="dxa"/>
            <w:right w:w="108" w:type="dxa"/>
          </w:tblCellMar>
        </w:tblPrEx>
        <w:trPr>
          <w:trHeight w:val="960" w:hRule="atLeast"/>
        </w:trPr>
        <w:tc>
          <w:tcPr>
            <w:tcW w:w="119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C32产出质量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25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C321质量达标率</w:t>
            </w:r>
          </w:p>
        </w:tc>
        <w:tc>
          <w:tcPr>
            <w:tcW w:w="3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项目完成的质量达标产出数与实际产出数的比率，用以反映和考核项目产出质量目标的实现程度。</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C33产出时效(8分)</w:t>
            </w:r>
          </w:p>
        </w:tc>
        <w:tc>
          <w:tcPr>
            <w:tcW w:w="25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C331完成及时性</w:t>
            </w:r>
          </w:p>
        </w:tc>
        <w:tc>
          <w:tcPr>
            <w:tcW w:w="3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项目实际完成时间与计划完成时间的比较，用以反映和考核项目产出时效目标的实现程度。</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C34产出成本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（9分）</w:t>
            </w:r>
          </w:p>
        </w:tc>
        <w:tc>
          <w:tcPr>
            <w:tcW w:w="253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C341企业资金配比情况</w:t>
            </w:r>
          </w:p>
        </w:tc>
        <w:tc>
          <w:tcPr>
            <w:tcW w:w="3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各项目企业配比支出，用以反映除政府专项资金以外，企业对项目的支持力度。</w:t>
            </w:r>
          </w:p>
        </w:tc>
      </w:tr>
      <w:tr>
        <w:tblPrEx>
          <w:tblLayout w:type="fixed"/>
          <w:tblCellMar>
            <w:top w:w="0" w:type="dxa"/>
            <w:left w:w="108" w:type="dxa"/>
            <w:bottom w:w="0" w:type="dxa"/>
            <w:right w:w="108" w:type="dxa"/>
          </w:tblCellMar>
        </w:tblPrEx>
        <w:trPr>
          <w:trHeight w:val="480" w:hRule="atLeast"/>
        </w:trPr>
        <w:tc>
          <w:tcPr>
            <w:tcW w:w="11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(24分)</w:t>
            </w:r>
          </w:p>
        </w:tc>
        <w:tc>
          <w:tcPr>
            <w:tcW w:w="150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D41项目效益（18分）</w:t>
            </w:r>
          </w:p>
        </w:tc>
        <w:tc>
          <w:tcPr>
            <w:tcW w:w="25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D411社会效益（6分）</w:t>
            </w:r>
          </w:p>
        </w:tc>
        <w:tc>
          <w:tcPr>
            <w:tcW w:w="305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项目实施对社会发展所带来的直接或间接影响情况。</w:t>
            </w:r>
          </w:p>
        </w:tc>
      </w:tr>
      <w:tr>
        <w:tblPrEx>
          <w:tblLayout w:type="fixed"/>
          <w:tblCellMar>
            <w:top w:w="0" w:type="dxa"/>
            <w:left w:w="108" w:type="dxa"/>
            <w:bottom w:w="0" w:type="dxa"/>
            <w:right w:w="108" w:type="dxa"/>
          </w:tblCellMar>
        </w:tblPrEx>
        <w:trPr>
          <w:trHeight w:val="48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D412经济效益（6分）</w:t>
            </w:r>
          </w:p>
        </w:tc>
        <w:tc>
          <w:tcPr>
            <w:tcW w:w="30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项目实施对经济发展所带来的直接或间接影响情况。</w:t>
            </w:r>
          </w:p>
        </w:tc>
      </w:tr>
      <w:tr>
        <w:tblPrEx>
          <w:tblLayout w:type="fixed"/>
          <w:tblCellMar>
            <w:top w:w="0" w:type="dxa"/>
            <w:left w:w="108" w:type="dxa"/>
            <w:bottom w:w="0" w:type="dxa"/>
            <w:right w:w="108" w:type="dxa"/>
          </w:tblCellMar>
        </w:tblPrEx>
        <w:trPr>
          <w:trHeight w:val="48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5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D413可持续发展（6分）</w:t>
            </w:r>
          </w:p>
        </w:tc>
        <w:tc>
          <w:tcPr>
            <w:tcW w:w="30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项目后续运行及成效发挥的可持续影响情况</w:t>
            </w:r>
          </w:p>
        </w:tc>
      </w:tr>
      <w:tr>
        <w:tblPrEx>
          <w:tblLayout w:type="fixed"/>
          <w:tblCellMar>
            <w:top w:w="0" w:type="dxa"/>
            <w:left w:w="108" w:type="dxa"/>
            <w:bottom w:w="0" w:type="dxa"/>
            <w:right w:w="108" w:type="dxa"/>
          </w:tblCellMar>
        </w:tblPrEx>
        <w:trPr>
          <w:trHeight w:val="720" w:hRule="atLeast"/>
        </w:trPr>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5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D42社会满意度（6分）</w:t>
            </w:r>
          </w:p>
        </w:tc>
        <w:tc>
          <w:tcPr>
            <w:tcW w:w="253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D421服务对象满意度</w:t>
            </w:r>
          </w:p>
        </w:tc>
        <w:tc>
          <w:tcPr>
            <w:tcW w:w="305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通过第三方问卷调查结果，了解相关对象对于项目开展的满意度。</w:t>
            </w:r>
          </w:p>
        </w:tc>
      </w:tr>
    </w:tbl>
    <w:p>
      <w:pPr>
        <w:pStyle w:val="4"/>
        <w:ind w:firstLine="640"/>
      </w:pPr>
      <w:bookmarkStart w:id="19" w:name="_Toc118282076"/>
      <w:bookmarkEnd w:id="19"/>
      <w:bookmarkStart w:id="20" w:name="_Toc154395794"/>
      <w:r>
        <w:t>（三）组织管理情况</w:t>
      </w:r>
      <w:bookmarkEnd w:id="20"/>
    </w:p>
    <w:p>
      <w:pPr>
        <w:ind w:firstLine="640"/>
      </w:pPr>
      <w:r>
        <w:t>安宁市财政局负责审核安宁市</w:t>
      </w:r>
      <w:r>
        <w:rPr>
          <w:rFonts w:hint="eastAsia"/>
        </w:rPr>
        <w:t>发展和改革</w:t>
      </w:r>
      <w:r>
        <w:t>局申报的预算，并下达项目资金，对资金使用情况进行监管。</w:t>
      </w:r>
    </w:p>
    <w:p>
      <w:pPr>
        <w:ind w:firstLine="640"/>
      </w:pPr>
      <w:bookmarkStart w:id="21" w:name="_Toc29527"/>
      <w:r>
        <w:rPr>
          <w:rFonts w:hint="eastAsia"/>
        </w:rPr>
        <w:t>安宁市发展和改革局按照昆明市财政局下发《关于下达支持中石油云南石化扩销增产消费券资金的通知》（昆财产业〔2022〕160号）后附《项目绩效目标评价表》内容</w:t>
      </w:r>
      <w:r>
        <w:t>设置绩效指标，并完成年度绩效目标的申报；</w:t>
      </w:r>
      <w:r>
        <w:rPr>
          <w:rFonts w:hint="eastAsia"/>
        </w:rPr>
        <w:t>安宁市发展和改革局</w:t>
      </w:r>
      <w:r>
        <w:t>将上级部门批复的绩效目标下达到</w:t>
      </w:r>
      <w:r>
        <w:rPr>
          <w:rFonts w:hint="eastAsia"/>
        </w:rPr>
        <w:t>中国石油天然气股份有限公司云南昆明销售分公司</w:t>
      </w:r>
      <w:r>
        <w:t>；定期监督考核、分析各项目单位指标的完成情况，形成运行监督考核及自评报告，向上级机构汇报；同时完成预算绩效管理系统维护、绩效目标公开等相关工作。</w:t>
      </w:r>
    </w:p>
    <w:p>
      <w:pPr>
        <w:ind w:firstLine="640"/>
      </w:pPr>
      <w:r>
        <w:t>各科室根据工作安排、工作任务和计划等编制绩效目标；定期上报预算绩效运行情况；年终上报绩效目标执行情况。</w:t>
      </w:r>
    </w:p>
    <w:p>
      <w:pPr>
        <w:pStyle w:val="3"/>
        <w:ind w:firstLine="643"/>
        <w:rPr>
          <w:rFonts w:ascii="Times New Roman" w:hAnsi="Times New Roman" w:cs="Times New Roman"/>
        </w:rPr>
      </w:pPr>
      <w:bookmarkStart w:id="22" w:name="_Toc154395795"/>
      <w:r>
        <w:rPr>
          <w:rFonts w:ascii="Times New Roman" w:hAnsi="Times New Roman" w:cs="Times New Roman"/>
        </w:rPr>
        <w:t>二、绩效评价工作开展情况</w:t>
      </w:r>
      <w:bookmarkEnd w:id="21"/>
      <w:bookmarkEnd w:id="22"/>
    </w:p>
    <w:p>
      <w:pPr>
        <w:pStyle w:val="4"/>
        <w:ind w:firstLine="640"/>
      </w:pPr>
      <w:bookmarkStart w:id="23" w:name="_Toc154395796"/>
      <w:r>
        <w:t>（一）绩效评价目的、对象和范围</w:t>
      </w:r>
      <w:bookmarkEnd w:id="23"/>
    </w:p>
    <w:p>
      <w:pPr>
        <w:pStyle w:val="5"/>
        <w:ind w:firstLine="640"/>
        <w:rPr>
          <w:rFonts w:ascii="Times New Roman" w:hAnsi="Times New Roman" w:cs="Times New Roman"/>
        </w:rPr>
      </w:pPr>
      <w:r>
        <w:rPr>
          <w:rFonts w:ascii="Times New Roman" w:hAnsi="Times New Roman" w:cs="Times New Roman"/>
        </w:rPr>
        <w:t>1．绩效评价目的</w:t>
      </w:r>
    </w:p>
    <w:p>
      <w:pPr>
        <w:ind w:firstLine="640"/>
      </w:pPr>
      <w:r>
        <w:rPr>
          <w:rFonts w:hint="eastAsia"/>
        </w:rPr>
        <w:t>根据昆明市财政局、昆明市商务局向安宁市财政局、安宁市下达的《关于下达支持中石油云南石化扩销增产消费券资金的通知》（昆财产业〔2022〕160号）要求</w:t>
      </w:r>
      <w:r>
        <w:t>，从整体决策层面把握项目支出的目标和规划情况。对项目支出管理情况、资金使用管理情况、资金到位情况、项目支出成本控制及项目数量产出结果等进行分析，验证已决策的目标任务是否清晰合理；在实现决策预期成效过程中，是否被有效执行，资源是否得到优化利用，财政支出的受益对象是否满意；确定决策目标任务与现实完成之间的差异，总结发现的问题和经验教训，为安宁市财政和被评价部门改善政府管理，纠正决策目标任务与实际工作执行的偏差提供依据。</w:t>
      </w:r>
    </w:p>
    <w:p>
      <w:pPr>
        <w:pStyle w:val="5"/>
        <w:ind w:firstLine="640"/>
        <w:rPr>
          <w:rFonts w:ascii="Times New Roman" w:hAnsi="Times New Roman" w:cs="Times New Roman"/>
        </w:rPr>
      </w:pPr>
      <w:r>
        <w:rPr>
          <w:rFonts w:ascii="Times New Roman" w:hAnsi="Times New Roman" w:cs="Times New Roman"/>
        </w:rPr>
        <w:t>2．绩效评价对象</w:t>
      </w:r>
    </w:p>
    <w:p>
      <w:pPr>
        <w:ind w:firstLine="640"/>
      </w:pPr>
      <w:r>
        <w:t>本次绩效评价对象：安宁市</w:t>
      </w:r>
      <w:r>
        <w:rPr>
          <w:rFonts w:hint="eastAsia"/>
        </w:rPr>
        <w:t>发展和改革</w:t>
      </w:r>
      <w:r>
        <w:t>局</w:t>
      </w:r>
      <w:r>
        <w:rPr>
          <w:rFonts w:hint="eastAsia"/>
        </w:rPr>
        <w:t>2022年度支持中石油云南石化扩销增产消费券专项资金</w:t>
      </w:r>
      <w:r>
        <w:t>。</w:t>
      </w:r>
    </w:p>
    <w:p>
      <w:pPr>
        <w:pStyle w:val="5"/>
        <w:ind w:firstLine="640"/>
        <w:rPr>
          <w:rFonts w:ascii="Times New Roman" w:hAnsi="Times New Roman" w:cs="Times New Roman"/>
        </w:rPr>
      </w:pPr>
      <w:r>
        <w:rPr>
          <w:rFonts w:ascii="Times New Roman" w:hAnsi="Times New Roman" w:cs="Times New Roman"/>
        </w:rPr>
        <w:t>3．绩效评价范围</w:t>
      </w:r>
    </w:p>
    <w:p>
      <w:pPr>
        <w:ind w:firstLine="640"/>
      </w:pPr>
      <w:r>
        <w:t>本次绩效评价范围：本次绩效评价为项目年终绩效评价，评价范围为上级下达</w:t>
      </w:r>
      <w:r>
        <w:rPr>
          <w:rFonts w:hint="eastAsia"/>
        </w:rPr>
        <w:t>安宁市发展和改革局2022年度支持中石油云南石化扩销增产消费券专项资金3</w:t>
      </w:r>
      <w:r>
        <w:t>0</w:t>
      </w:r>
      <w:r>
        <w:rPr>
          <w:rFonts w:hint="eastAsia"/>
        </w:rPr>
        <w:t>,</w:t>
      </w:r>
      <w:r>
        <w:t>0</w:t>
      </w:r>
      <w:r>
        <w:rPr>
          <w:rFonts w:hint="eastAsia"/>
        </w:rPr>
        <w:t>00,000.00</w:t>
      </w:r>
      <w:r>
        <w:t>元。</w:t>
      </w:r>
    </w:p>
    <w:p>
      <w:pPr>
        <w:pStyle w:val="5"/>
        <w:ind w:firstLine="640"/>
        <w:rPr>
          <w:rFonts w:ascii="Times New Roman" w:hAnsi="Times New Roman" w:cs="Times New Roman"/>
        </w:rPr>
      </w:pPr>
      <w:r>
        <w:rPr>
          <w:rFonts w:ascii="Times New Roman" w:hAnsi="Times New Roman" w:cs="Times New Roman"/>
        </w:rPr>
        <w:t>4．评价时间段</w:t>
      </w:r>
    </w:p>
    <w:p>
      <w:pPr>
        <w:ind w:firstLine="640"/>
      </w:pPr>
      <w:r>
        <w:t>本次绩效评价的时段为：2022年1月1日</w:t>
      </w:r>
      <w:r>
        <w:rPr>
          <w:rFonts w:hint="eastAsia" w:ascii="仿宋_GB2312" w:hAnsi="仿宋_GB2312" w:cs="仿宋_GB2312"/>
        </w:rPr>
        <w:t>—</w:t>
      </w:r>
      <w:r>
        <w:t>2022年12月31日。</w:t>
      </w:r>
    </w:p>
    <w:p>
      <w:pPr>
        <w:pStyle w:val="4"/>
        <w:ind w:firstLine="640"/>
      </w:pPr>
      <w:bookmarkStart w:id="24" w:name="_Toc154395797"/>
      <w:r>
        <w:t>（二）绩效评价原则</w:t>
      </w:r>
      <w:bookmarkEnd w:id="24"/>
    </w:p>
    <w:p>
      <w:pPr>
        <w:ind w:firstLine="640"/>
      </w:pPr>
      <w:r>
        <w:t>1．相关性原则。应当与绩效目标有直接的联系，能够恰当反映目标实现程度。</w:t>
      </w:r>
    </w:p>
    <w:p>
      <w:pPr>
        <w:ind w:firstLine="640"/>
      </w:pPr>
      <w:r>
        <w:t>2．重要性原则。应当优先使用最具绩效管理对象代表性、最能反映绩效管理要求的核心指标。</w:t>
      </w:r>
    </w:p>
    <w:p>
      <w:pPr>
        <w:ind w:firstLine="640"/>
      </w:pPr>
      <w:r>
        <w:t>3．可比性原则。对同类绩效管理对象要设定共性的绩效指标，以便于评价结果可以相互比较。</w:t>
      </w:r>
    </w:p>
    <w:p>
      <w:pPr>
        <w:ind w:firstLine="640"/>
      </w:pPr>
      <w:r>
        <w:t>4．系统性原则。应当将定量指标与定性指标相结合，系统反映预算支出所产</w:t>
      </w:r>
      <w:r>
        <w:rPr>
          <w:rFonts w:hint="eastAsia"/>
        </w:rPr>
        <w:t>生</w:t>
      </w:r>
      <w:r>
        <w:t>的社会效益、经济效益、生态效益和可持续影响等。</w:t>
      </w:r>
    </w:p>
    <w:p>
      <w:pPr>
        <w:ind w:firstLine="640"/>
      </w:pPr>
      <w:r>
        <w:t>5．经济性原则。应当通俗易懂、简便易行，数据的获得应当考虑现实条件和可操作性，符合成本效益原则。</w:t>
      </w:r>
    </w:p>
    <w:p>
      <w:pPr>
        <w:pStyle w:val="4"/>
        <w:ind w:firstLine="640"/>
      </w:pPr>
      <w:bookmarkStart w:id="25" w:name="_Toc154395798"/>
      <w:r>
        <w:t>（三）绩效评价依据</w:t>
      </w:r>
      <w:bookmarkEnd w:id="25"/>
    </w:p>
    <w:p>
      <w:pPr>
        <w:ind w:firstLine="640"/>
      </w:pPr>
      <w:r>
        <w:t>1．《中华人民共和国预算法》（2018年12月29日修订）；</w:t>
      </w:r>
    </w:p>
    <w:p>
      <w:pPr>
        <w:ind w:firstLine="640"/>
      </w:pPr>
      <w:r>
        <w:t>2．《中共中央国务院关于全面实施预算绩效管理的意见的通知》（中发〔2018〕34号）；</w:t>
      </w:r>
    </w:p>
    <w:p>
      <w:pPr>
        <w:ind w:firstLine="640"/>
      </w:pPr>
      <w:r>
        <w:t>3．财政部《项目支出绩效评价管理办法》（财预〔2020〕10号）；</w:t>
      </w:r>
    </w:p>
    <w:p>
      <w:pPr>
        <w:ind w:firstLine="640"/>
      </w:pPr>
      <w:r>
        <w:t>4．《云南省项目支出绩效评价管理办法》（云财绩〔2020〕11号）；</w:t>
      </w:r>
    </w:p>
    <w:p>
      <w:pPr>
        <w:ind w:firstLine="640"/>
      </w:pPr>
      <w:r>
        <w:t>5．《安宁市预算绩效管理暂行办法》（安政发〔2018〕10号）；</w:t>
      </w:r>
    </w:p>
    <w:p>
      <w:pPr>
        <w:ind w:firstLine="640"/>
      </w:pPr>
      <w:r>
        <w:t>6．</w:t>
      </w:r>
      <w:r>
        <w:rPr>
          <w:rFonts w:hint="eastAsia"/>
        </w:rPr>
        <w:t>《昆明市人民政府关于印发扎实稳住经济增长实施方案的通知》（昆政发〔2022〕10号）；</w:t>
      </w:r>
    </w:p>
    <w:p>
      <w:pPr>
        <w:ind w:firstLine="640"/>
      </w:pPr>
      <w:r>
        <w:rPr>
          <w:rFonts w:hint="eastAsia"/>
        </w:rPr>
        <w:t>7</w:t>
      </w:r>
      <w:r>
        <w:t>．</w:t>
      </w:r>
      <w:r>
        <w:rPr>
          <w:rFonts w:hint="eastAsia"/>
        </w:rPr>
        <w:t>《昆明市财政局、昆明市商务局关于下达支持中石油云南石化扩销增产消费券资金的通知》（昆财产业〔2022〕160号）；</w:t>
      </w:r>
    </w:p>
    <w:p>
      <w:pPr>
        <w:ind w:firstLine="640"/>
      </w:pPr>
      <w:r>
        <w:rPr>
          <w:rFonts w:hint="eastAsia"/>
        </w:rPr>
        <w:t>8</w:t>
      </w:r>
      <w:r>
        <w:t>．</w:t>
      </w:r>
      <w:r>
        <w:rPr>
          <w:rFonts w:hint="eastAsia"/>
        </w:rPr>
        <w:t>《中国石油昆明公司年终专项营销方案》。</w:t>
      </w:r>
    </w:p>
    <w:p>
      <w:pPr>
        <w:pStyle w:val="4"/>
        <w:ind w:firstLine="640"/>
      </w:pPr>
      <w:bookmarkStart w:id="26" w:name="_Toc154395799"/>
      <w:r>
        <w:t>（四）绩效评价指标体系</w:t>
      </w:r>
      <w:bookmarkEnd w:id="26"/>
    </w:p>
    <w:p>
      <w:pPr>
        <w:ind w:firstLine="640"/>
      </w:pPr>
      <w:r>
        <w:t>根据财政部《项目支出绩效评价管理办法》（财预〔2020〕10号）和《云南省财政厅关于印发</w:t>
      </w:r>
      <w:r>
        <w:rPr>
          <w:rFonts w:hint="eastAsia" w:ascii="仿宋_GB2312" w:hAnsi="仿宋_GB2312" w:cs="仿宋_GB2312"/>
        </w:rPr>
        <w:t>&lt;</w:t>
      </w:r>
      <w:r>
        <w:t>云南省项目支出绩效评价管理办法</w:t>
      </w:r>
      <w:r>
        <w:rPr>
          <w:rFonts w:hint="eastAsia" w:ascii="仿宋_GB2312" w:hAnsi="仿宋_GB2312" w:cs="仿宋_GB2312"/>
        </w:rPr>
        <w:t>&gt;</w:t>
      </w:r>
      <w:r>
        <w:t>的通知》(云财绩〔2020〕11号)相关要求，结合本次评价项目实际情况，以100分计，设置</w:t>
      </w:r>
      <w:r>
        <w:rPr>
          <w:rFonts w:hint="eastAsia" w:ascii="仿宋_GB2312" w:hAnsi="仿宋_GB2312" w:cs="仿宋_GB2312"/>
        </w:rPr>
        <w:t>“</w:t>
      </w:r>
      <w:r>
        <w:t>决策、过程、产出、效益</w:t>
      </w:r>
      <w:r>
        <w:rPr>
          <w:rFonts w:hint="eastAsia" w:ascii="仿宋_GB2312" w:hAnsi="仿宋_GB2312" w:cs="仿宋_GB2312"/>
        </w:rPr>
        <w:t>”</w:t>
      </w:r>
      <w:r>
        <w:t>4个一级指标。权重分别为决策14%、过程26%、产出36%、效益24%。</w:t>
      </w:r>
    </w:p>
    <w:p>
      <w:pPr>
        <w:ind w:firstLine="640"/>
      </w:pPr>
      <w:r>
        <w:rPr>
          <w:rFonts w:hint="eastAsia" w:ascii="仿宋_GB2312" w:hAnsi="仿宋_GB2312" w:cs="仿宋_GB2312"/>
        </w:rPr>
        <w:t>“决策”</w:t>
      </w:r>
      <w:r>
        <w:t>指标反映项目前期工作准备情况。包括项目立项、绩效目标和资金投入3个二级指标，主要考核立项依据充分性、项目立项规范性、绩效目标合理性、绩效指标明确性、预算编制科学性、资金分配合理性等方面。</w:t>
      </w:r>
    </w:p>
    <w:p>
      <w:pPr>
        <w:ind w:firstLine="640"/>
      </w:pPr>
      <w:r>
        <w:rPr>
          <w:rFonts w:hint="eastAsia" w:ascii="仿宋_GB2312" w:hAnsi="仿宋_GB2312" w:cs="仿宋_GB2312"/>
        </w:rPr>
        <w:t>“过程”</w:t>
      </w:r>
      <w:r>
        <w:t>指标反映项目过程管理情况。包括</w:t>
      </w:r>
      <w:r>
        <w:rPr>
          <w:rFonts w:hint="eastAsia" w:ascii="仿宋_GB2312" w:hAnsi="仿宋_GB2312" w:cs="仿宋_GB2312"/>
        </w:rPr>
        <w:t>“资金管理、组织实施”</w:t>
      </w:r>
      <w:r>
        <w:t>2个二级指标，主要考核项目资金到位率、资金使用合规性、预算执行率、项目库的建设管理、管理制度健全性、制度执行有效性、绩效自评工作完成情况等方面。</w:t>
      </w:r>
    </w:p>
    <w:p>
      <w:pPr>
        <w:ind w:firstLine="640"/>
      </w:pPr>
      <w:r>
        <w:rPr>
          <w:rFonts w:hint="eastAsia" w:ascii="仿宋_GB2312" w:hAnsi="仿宋_GB2312" w:cs="仿宋_GB2312"/>
        </w:rPr>
        <w:t>“产出”</w:t>
      </w:r>
      <w:r>
        <w:t>指标反映项目实施是否实现预期任务目标包括</w:t>
      </w:r>
      <w:r>
        <w:rPr>
          <w:rFonts w:hint="eastAsia" w:ascii="仿宋_GB2312" w:hAnsi="仿宋_GB2312" w:cs="仿宋_GB2312"/>
        </w:rPr>
        <w:t>“产出数量、产出质量、产出时效、产出成本”</w:t>
      </w:r>
      <w:r>
        <w:t>4个二级指标，产出数量主要考核各个项目的实际完成情况；产出质量主要考核各个已完成项目的质量达标情况；产出时效主要考核各项目的完成及时性；产出</w:t>
      </w:r>
      <w:r>
        <w:rPr>
          <w:rFonts w:hint="eastAsia" w:ascii="仿宋_GB2312" w:hAnsi="仿宋_GB2312" w:cs="仿宋_GB2312"/>
        </w:rPr>
        <w:t>成本主要考核</w:t>
      </w:r>
      <w:r>
        <w:rPr>
          <w:rFonts w:hint="eastAsia"/>
        </w:rPr>
        <w:t>企业资金配比情况。</w:t>
      </w:r>
    </w:p>
    <w:p>
      <w:pPr>
        <w:ind w:firstLine="640"/>
      </w:pPr>
      <w:r>
        <w:rPr>
          <w:rFonts w:hint="eastAsia" w:ascii="仿宋_GB2312" w:hAnsi="仿宋_GB2312" w:cs="仿宋_GB2312"/>
        </w:rPr>
        <w:t>“效益”</w:t>
      </w:r>
      <w:r>
        <w:t>指标反映通过项目实施执行，预期可产生的效益情况。包括</w:t>
      </w:r>
      <w:r>
        <w:rPr>
          <w:rFonts w:hint="eastAsia" w:ascii="仿宋_GB2312" w:hAnsi="仿宋_GB2312" w:cs="仿宋_GB2312"/>
        </w:rPr>
        <w:t>“项目效益”和“社会满意度”</w:t>
      </w:r>
      <w:r>
        <w:t>2个二级指标，项目效益主要考核项目实施对社会发展所带来的直接或间接影响情况以及项目后续运行及成效发挥的可持续影响情况；社会满意度主要通过问卷调查的方式，了解服务对象对于衔接推进</w:t>
      </w:r>
      <w:r>
        <w:rPr>
          <w:rFonts w:hint="eastAsia"/>
        </w:rPr>
        <w:t>支持中石油云南石化扩销增产消费券专项资金</w:t>
      </w:r>
      <w:r>
        <w:t>项目工作开展的满意度。</w:t>
      </w:r>
    </w:p>
    <w:p>
      <w:pPr>
        <w:pStyle w:val="4"/>
        <w:ind w:firstLine="640"/>
      </w:pPr>
      <w:bookmarkStart w:id="27" w:name="（五）评价标准"/>
      <w:bookmarkEnd w:id="27"/>
      <w:bookmarkStart w:id="28" w:name="（四）绩效评价方法"/>
      <w:bookmarkEnd w:id="28"/>
      <w:bookmarkStart w:id="29" w:name="_bookmark11"/>
      <w:bookmarkEnd w:id="29"/>
      <w:bookmarkStart w:id="30" w:name="_bookmark12"/>
      <w:bookmarkEnd w:id="30"/>
      <w:bookmarkStart w:id="31" w:name="_Toc118282082"/>
      <w:bookmarkEnd w:id="31"/>
      <w:bookmarkStart w:id="32" w:name="_Toc118282081"/>
      <w:bookmarkEnd w:id="32"/>
      <w:bookmarkStart w:id="33" w:name="_Toc154395800"/>
      <w:r>
        <w:t>（五）绩效评价方法</w:t>
      </w:r>
      <w:bookmarkEnd w:id="33"/>
    </w:p>
    <w:p>
      <w:pPr>
        <w:ind w:firstLine="640"/>
      </w:pPr>
      <w:r>
        <w:t>本次绩效评价采用定量与定性相结合，对收集的相关基础资料、各种技术经济数据，在归集、整理、分析的基础上，运用资料审阅法、分析比较法、因素分析法、实地考察法、公众问卷调查法等，系统、科学</w:t>
      </w:r>
      <w:r>
        <w:rPr>
          <w:rFonts w:hint="eastAsia"/>
        </w:rPr>
        <w:t>地</w:t>
      </w:r>
      <w:r>
        <w:t>反映安宁市</w:t>
      </w:r>
      <w:r>
        <w:rPr>
          <w:rFonts w:hint="eastAsia"/>
        </w:rPr>
        <w:t>发展和改革</w:t>
      </w:r>
      <w:r>
        <w:t>局2022年度</w:t>
      </w:r>
      <w:r>
        <w:rPr>
          <w:rFonts w:hint="eastAsia"/>
        </w:rPr>
        <w:t>支持中石油云南石化扩销增产消费券专项资金</w:t>
      </w:r>
      <w:r>
        <w:t>项目综合绩效情况。具体评价方式如下：</w:t>
      </w:r>
    </w:p>
    <w:p>
      <w:pPr>
        <w:pStyle w:val="5"/>
        <w:ind w:firstLine="640"/>
        <w:rPr>
          <w:rFonts w:ascii="Times New Roman" w:hAnsi="Times New Roman" w:cs="Times New Roman"/>
        </w:rPr>
      </w:pPr>
      <w:r>
        <w:rPr>
          <w:rFonts w:ascii="Times New Roman" w:hAnsi="Times New Roman" w:cs="Times New Roman"/>
        </w:rPr>
        <w:t>1．审阅资料</w:t>
      </w:r>
    </w:p>
    <w:p>
      <w:pPr>
        <w:ind w:firstLine="640"/>
      </w:pPr>
      <w:r>
        <w:t>查阅相关资料，分析研究项目管理、资金管理等文件资料，必要时，请相关人员做出说明，并对需要进一步调查的问题做好记录；检查资金拨付情况，关注资金是否专款专用、是否存在违法违规现象等。</w:t>
      </w:r>
    </w:p>
    <w:p>
      <w:pPr>
        <w:pStyle w:val="5"/>
        <w:ind w:firstLine="640"/>
        <w:rPr>
          <w:rFonts w:ascii="Times New Roman" w:hAnsi="Times New Roman" w:cs="Times New Roman"/>
        </w:rPr>
      </w:pPr>
      <w:r>
        <w:rPr>
          <w:rFonts w:ascii="Times New Roman" w:hAnsi="Times New Roman" w:cs="Times New Roman"/>
        </w:rPr>
        <w:t>2．分析比较法</w:t>
      </w:r>
    </w:p>
    <w:p>
      <w:pPr>
        <w:ind w:firstLine="640"/>
      </w:pPr>
      <w:r>
        <w:t>依据项目实施方案等资料，对照项目实际完成内容，评价项目是否严格按照计划进行；依据相关政策文件，评价项目管理是否按照项目管理办法等文件执行；通过详细列举分析影响绩效目标实现的内外因素，将项目绩效目标与实施结果对比分析，评价绩效目标实现程度；将项目预期效益与实施效果对比分析，结合开展问卷调查和实地问题调研，评价项目预期效益实现程度。</w:t>
      </w:r>
    </w:p>
    <w:p>
      <w:pPr>
        <w:pStyle w:val="5"/>
        <w:ind w:firstLine="640"/>
        <w:rPr>
          <w:rFonts w:ascii="Times New Roman" w:hAnsi="Times New Roman" w:cs="Times New Roman"/>
        </w:rPr>
      </w:pPr>
      <w:r>
        <w:rPr>
          <w:rFonts w:ascii="Times New Roman" w:hAnsi="Times New Roman" w:cs="Times New Roman"/>
        </w:rPr>
        <w:t>3．实地考察法</w:t>
      </w:r>
    </w:p>
    <w:p>
      <w:pPr>
        <w:ind w:firstLine="640"/>
      </w:pPr>
      <w:r>
        <w:t>根据分工，采用资料收集、数据填报、案卷研究、实地问题调研、问卷调查等方式，组织开展实地再评价。在实地再评价过程中，根据项目的具体情况，设计资料清单、数据采集表格以收集有关资料数据；选取抽样点发放调查问卷，调查相关人员对项目的满意度、项目实施对相关人员的影响等。</w:t>
      </w:r>
    </w:p>
    <w:p>
      <w:pPr>
        <w:ind w:firstLine="640"/>
      </w:pPr>
      <w:r>
        <w:t>4．公众评判法</w:t>
      </w:r>
    </w:p>
    <w:p>
      <w:pPr>
        <w:ind w:firstLine="640"/>
      </w:pPr>
      <w:r>
        <w:t>通过对社会公众进行问卷调查以及项目实施单位进行问卷调查和访谈的方式，调查社会公众对安宁市</w:t>
      </w:r>
      <w:r>
        <w:rPr>
          <w:rFonts w:hint="eastAsia"/>
        </w:rPr>
        <w:t>推进支持中石油云南石化扩销增产消费券专项资金项目</w:t>
      </w:r>
      <w:r>
        <w:t>的感受以及满意度情况。</w:t>
      </w:r>
    </w:p>
    <w:p>
      <w:pPr>
        <w:pStyle w:val="4"/>
        <w:ind w:firstLine="640"/>
      </w:pPr>
      <w:bookmarkStart w:id="34" w:name="_Toc154395801"/>
      <w:r>
        <w:t>（六）绩效评价标准</w:t>
      </w:r>
      <w:bookmarkEnd w:id="34"/>
    </w:p>
    <w:p>
      <w:pPr>
        <w:ind w:firstLine="640"/>
      </w:pPr>
      <w:r>
        <w:t>本次评价采用百分制，各级指标依据其指标权重确定分值，评价人员根据评价情况对各级指标进行打分，最终得分由各级评价指标得分加总得到。根据最终得分情况将评价标准分为四个等级：优（得分</w:t>
      </w:r>
      <w:r>
        <w:rPr>
          <w:rFonts w:hint="eastAsia" w:ascii="仿宋_GB2312" w:hAnsi="仿宋_GB2312" w:cs="仿宋_GB2312"/>
        </w:rPr>
        <w:t>≥</w:t>
      </w:r>
      <w:r>
        <w:t>90分）、良（80分</w:t>
      </w:r>
      <w:r>
        <w:rPr>
          <w:rFonts w:hint="eastAsia" w:ascii="仿宋_GB2312" w:hAnsi="仿宋_GB2312" w:cs="仿宋_GB2312"/>
        </w:rPr>
        <w:t>≤</w:t>
      </w:r>
      <w:r>
        <w:t>得分</w:t>
      </w:r>
      <w:r>
        <w:rPr>
          <w:rFonts w:hint="eastAsia" w:ascii="仿宋_GB2312" w:hAnsi="仿宋_GB2312" w:cs="仿宋_GB2312"/>
        </w:rPr>
        <w:t>＜</w:t>
      </w:r>
      <w:r>
        <w:t>90分）、中（60</w:t>
      </w:r>
      <w:r>
        <w:rPr>
          <w:rFonts w:hint="eastAsia" w:ascii="仿宋_GB2312" w:hAnsi="仿宋_GB2312" w:cs="仿宋_GB2312"/>
        </w:rPr>
        <w:t>≤</w:t>
      </w:r>
      <w:r>
        <w:t>得分</w:t>
      </w:r>
      <w:r>
        <w:rPr>
          <w:rFonts w:hint="eastAsia" w:ascii="仿宋_GB2312" w:hAnsi="仿宋_GB2312" w:cs="仿宋_GB2312"/>
        </w:rPr>
        <w:t>＜</w:t>
      </w:r>
      <w:r>
        <w:t>80分）、差（得分</w:t>
      </w:r>
      <w:r>
        <w:rPr>
          <w:rFonts w:hint="eastAsia" w:ascii="仿宋_GB2312" w:hAnsi="仿宋_GB2312" w:cs="仿宋_GB2312"/>
        </w:rPr>
        <w:t>＜</w:t>
      </w:r>
      <w:r>
        <w:t>60分）。</w:t>
      </w:r>
    </w:p>
    <w:p>
      <w:pPr>
        <w:pStyle w:val="4"/>
        <w:ind w:firstLine="640"/>
      </w:pPr>
      <w:bookmarkStart w:id="35" w:name="（六）绩效评价抽样"/>
      <w:bookmarkEnd w:id="35"/>
      <w:bookmarkStart w:id="36" w:name="_bookmark13"/>
      <w:bookmarkEnd w:id="36"/>
      <w:bookmarkStart w:id="37" w:name="_Toc118282083"/>
      <w:bookmarkEnd w:id="37"/>
      <w:bookmarkStart w:id="38" w:name="_Toc154395802"/>
      <w:r>
        <w:t>（七）绩效评价过程</w:t>
      </w:r>
      <w:bookmarkEnd w:id="38"/>
    </w:p>
    <w:p>
      <w:pPr>
        <w:spacing w:line="276" w:lineRule="auto"/>
        <w:ind w:left="-178" w:firstLine="640"/>
      </w:pPr>
      <w:bookmarkStart w:id="39" w:name="_Toc118282084"/>
      <w:bookmarkEnd w:id="39"/>
      <w:bookmarkStart w:id="40" w:name="（七）绩效评价工作过程"/>
      <w:bookmarkEnd w:id="40"/>
      <w:bookmarkStart w:id="41" w:name="_bookmark14"/>
      <w:bookmarkEnd w:id="41"/>
      <w:bookmarkStart w:id="42" w:name="_Toc3909"/>
      <w:r>
        <w:t>评价小组根据完善后的方案和</w:t>
      </w:r>
      <w:r>
        <w:rPr>
          <w:rFonts w:hint="eastAsia"/>
        </w:rPr>
        <w:t>安宁市发展和改革局</w:t>
      </w:r>
      <w:r>
        <w:t>的要求，按照评价工作流程，分为准备阶段</w:t>
      </w:r>
      <w:r>
        <w:rPr>
          <w:rFonts w:hint="eastAsia"/>
        </w:rPr>
        <w:t>和</w:t>
      </w:r>
      <w:r>
        <w:t>实施阶段</w:t>
      </w:r>
      <w:r>
        <w:rPr>
          <w:rFonts w:hint="eastAsia"/>
        </w:rPr>
        <w:t>两</w:t>
      </w:r>
      <w:r>
        <w:t>个步骤具体实施：</w:t>
      </w:r>
    </w:p>
    <w:p>
      <w:pPr>
        <w:pStyle w:val="5"/>
        <w:ind w:firstLine="640"/>
        <w:rPr>
          <w:rFonts w:ascii="Times New Roman" w:hAnsi="Times New Roman" w:cs="Times New Roman"/>
        </w:rPr>
      </w:pPr>
      <w:r>
        <w:rPr>
          <w:rFonts w:ascii="Times New Roman" w:hAnsi="Times New Roman" w:cs="Times New Roman"/>
        </w:rPr>
        <w:t>1．准备阶段</w:t>
      </w:r>
    </w:p>
    <w:p>
      <w:pPr>
        <w:spacing w:line="276" w:lineRule="auto"/>
        <w:ind w:left="-178" w:firstLine="640"/>
      </w:pPr>
      <w:r>
        <w:t>2023年12月4日前，组建项目绩效评价小组，拟定项目绩效评价实施方案，设计绩效评价指标框架。</w:t>
      </w:r>
    </w:p>
    <w:p>
      <w:pPr>
        <w:pStyle w:val="5"/>
        <w:ind w:right="320" w:firstLine="640"/>
        <w:rPr>
          <w:rFonts w:ascii="Times New Roman" w:hAnsi="Times New Roman" w:cs="Times New Roman"/>
        </w:rPr>
      </w:pPr>
      <w:r>
        <w:rPr>
          <w:rFonts w:ascii="Times New Roman" w:hAnsi="Times New Roman" w:cs="Times New Roman"/>
        </w:rPr>
        <w:t>2．实施阶段</w:t>
      </w:r>
    </w:p>
    <w:p>
      <w:pPr>
        <w:ind w:firstLine="640"/>
      </w:pPr>
      <w:r>
        <w:t>（1）下发绩效评价实施方案。根据绩效评价实施方案，对开展绩效评价进行具体部署，分组、分工与各被评价部门、单位和项目部初步接触沟通。</w:t>
      </w:r>
    </w:p>
    <w:p>
      <w:pPr>
        <w:ind w:firstLine="640"/>
      </w:pPr>
      <w:r>
        <w:t>（2）收集整理资料。包括收集项目立项、可研、初设等情况，项目制度制定与执行情况，资金收支情况项目实施目标和2022年度目标的执行情况等资料，项目建设单位、实施单位及其他相关人员的满意度等资料。</w:t>
      </w:r>
    </w:p>
    <w:p>
      <w:pPr>
        <w:ind w:firstLine="640"/>
      </w:pPr>
      <w:r>
        <w:t>（3）开展实地调查。确认当年项目支出的绩效目标；整理总结该项目适用、在用的相关管理制度；分析项目实施的具体情况，确定当年项目支出的评价重点。</w:t>
      </w:r>
    </w:p>
    <w:p>
      <w:pPr>
        <w:ind w:firstLine="640"/>
      </w:pPr>
      <w:r>
        <w:t>（4）绩效评价。按项目决策，目标设定情况；预算下达及项目实施过程情况；项目支出目标任务完成情况；预计效益和群体满意度情况四个阶段，构建指标体系。</w:t>
      </w:r>
    </w:p>
    <w:p>
      <w:pPr>
        <w:pStyle w:val="3"/>
        <w:ind w:firstLine="643"/>
        <w:rPr>
          <w:rStyle w:val="33"/>
          <w:rFonts w:ascii="Times New Roman" w:hAnsi="Times New Roman" w:cs="Times New Roman"/>
          <w:b/>
          <w:bCs/>
        </w:rPr>
      </w:pPr>
      <w:bookmarkStart w:id="43" w:name="_Toc154395803"/>
      <w:r>
        <w:rPr>
          <w:rStyle w:val="33"/>
          <w:rFonts w:ascii="Times New Roman" w:hAnsi="Times New Roman" w:cs="Times New Roman"/>
          <w:b/>
          <w:bCs/>
        </w:rPr>
        <w:t>三、绩效评价结论</w:t>
      </w:r>
      <w:bookmarkEnd w:id="42"/>
      <w:bookmarkEnd w:id="43"/>
    </w:p>
    <w:p>
      <w:pPr>
        <w:pStyle w:val="4"/>
        <w:ind w:firstLine="640"/>
      </w:pPr>
      <w:bookmarkStart w:id="44" w:name="_Toc154395804"/>
      <w:r>
        <w:t>（一）</w:t>
      </w:r>
      <w:bookmarkStart w:id="45" w:name="_Hlk148472821"/>
      <w:r>
        <w:t>绩效评价综合结论</w:t>
      </w:r>
      <w:bookmarkEnd w:id="44"/>
      <w:bookmarkEnd w:id="45"/>
    </w:p>
    <w:p>
      <w:pPr>
        <w:ind w:firstLine="640"/>
      </w:pPr>
      <w:r>
        <w:rPr>
          <w:rFonts w:hint="eastAsia"/>
        </w:rPr>
        <w:t>安宁市发展和改革局2022年度支持中石油云南石化扩销增产消费券专项资金</w:t>
      </w:r>
      <w:r>
        <w:t>项目专项资金绩效评价得分</w:t>
      </w:r>
      <w:r>
        <w:rPr>
          <w:rFonts w:hint="eastAsia"/>
        </w:rPr>
        <w:t>8</w:t>
      </w:r>
      <w:r>
        <w:t>3</w:t>
      </w:r>
      <w:r>
        <w:rPr>
          <w:rFonts w:hint="eastAsia"/>
        </w:rPr>
        <w:t>.</w:t>
      </w:r>
      <w:r>
        <w:t>54分，评价等级为</w:t>
      </w:r>
      <w:r>
        <w:rPr>
          <w:rFonts w:hint="eastAsia" w:ascii="仿宋_GB2312" w:hAnsi="仿宋_GB2312" w:cs="仿宋_GB2312"/>
        </w:rPr>
        <w:t>“良”</w:t>
      </w:r>
      <w:r>
        <w:t>。</w:t>
      </w:r>
    </w:p>
    <w:tbl>
      <w:tblPr>
        <w:tblStyle w:val="21"/>
        <w:tblW w:w="8296" w:type="dxa"/>
        <w:tblInd w:w="0" w:type="dxa"/>
        <w:tblLayout w:type="fixed"/>
        <w:tblCellMar>
          <w:top w:w="0" w:type="dxa"/>
          <w:left w:w="108" w:type="dxa"/>
          <w:bottom w:w="0" w:type="dxa"/>
          <w:right w:w="108" w:type="dxa"/>
        </w:tblCellMar>
      </w:tblPr>
      <w:tblGrid>
        <w:gridCol w:w="1383"/>
        <w:gridCol w:w="1384"/>
        <w:gridCol w:w="1384"/>
        <w:gridCol w:w="1384"/>
        <w:gridCol w:w="1382"/>
        <w:gridCol w:w="1379"/>
      </w:tblGrid>
      <w:tr>
        <w:tblPrEx>
          <w:tblLayout w:type="fixed"/>
          <w:tblCellMar>
            <w:top w:w="0" w:type="dxa"/>
            <w:left w:w="108" w:type="dxa"/>
            <w:bottom w:w="0" w:type="dxa"/>
            <w:right w:w="108" w:type="dxa"/>
          </w:tblCellMar>
        </w:tblPrEx>
        <w:trPr>
          <w:trHeight w:val="285" w:hRule="atLeast"/>
        </w:trPr>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项目决策</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项目过程</w:t>
            </w:r>
          </w:p>
        </w:tc>
        <w:tc>
          <w:tcPr>
            <w:tcW w:w="13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项目产出</w:t>
            </w:r>
          </w:p>
        </w:tc>
        <w:tc>
          <w:tcPr>
            <w:tcW w:w="138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项目效益</w:t>
            </w:r>
          </w:p>
        </w:tc>
        <w:tc>
          <w:tcPr>
            <w:tcW w:w="137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r>
      <w:tr>
        <w:tblPrEx>
          <w:tblLayout w:type="fixed"/>
          <w:tblCellMar>
            <w:top w:w="0" w:type="dxa"/>
            <w:left w:w="108" w:type="dxa"/>
            <w:bottom w:w="0" w:type="dxa"/>
            <w:right w:w="108" w:type="dxa"/>
          </w:tblCellMar>
        </w:tblPrEx>
        <w:trPr>
          <w:trHeight w:val="285" w:hRule="atLeast"/>
        </w:trPr>
        <w:tc>
          <w:tcPr>
            <w:tcW w:w="138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14</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26</w:t>
            </w:r>
          </w:p>
        </w:tc>
        <w:tc>
          <w:tcPr>
            <w:tcW w:w="1384"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36</w:t>
            </w:r>
          </w:p>
        </w:tc>
        <w:tc>
          <w:tcPr>
            <w:tcW w:w="1382"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24</w:t>
            </w:r>
          </w:p>
        </w:tc>
        <w:tc>
          <w:tcPr>
            <w:tcW w:w="1379"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100</w:t>
            </w:r>
          </w:p>
        </w:tc>
      </w:tr>
      <w:tr>
        <w:tblPrEx>
          <w:tblLayout w:type="fixed"/>
          <w:tblCellMar>
            <w:top w:w="0" w:type="dxa"/>
            <w:left w:w="108" w:type="dxa"/>
            <w:bottom w:w="0" w:type="dxa"/>
            <w:right w:w="108" w:type="dxa"/>
          </w:tblCellMar>
        </w:tblPrEx>
        <w:trPr>
          <w:trHeight w:val="285" w:hRule="atLeast"/>
        </w:trPr>
        <w:tc>
          <w:tcPr>
            <w:tcW w:w="138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得分</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11.5</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17</w:t>
            </w:r>
          </w:p>
        </w:tc>
        <w:tc>
          <w:tcPr>
            <w:tcW w:w="1384"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31.04</w:t>
            </w:r>
          </w:p>
        </w:tc>
        <w:tc>
          <w:tcPr>
            <w:tcW w:w="1382"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24</w:t>
            </w:r>
          </w:p>
        </w:tc>
        <w:tc>
          <w:tcPr>
            <w:tcW w:w="1379"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83.54</w:t>
            </w:r>
          </w:p>
        </w:tc>
      </w:tr>
      <w:tr>
        <w:tblPrEx>
          <w:tblLayout w:type="fixed"/>
          <w:tblCellMar>
            <w:top w:w="0" w:type="dxa"/>
            <w:left w:w="108" w:type="dxa"/>
            <w:bottom w:w="0" w:type="dxa"/>
            <w:right w:w="108" w:type="dxa"/>
          </w:tblCellMar>
        </w:tblPrEx>
        <w:trPr>
          <w:trHeight w:val="285" w:hRule="atLeast"/>
        </w:trPr>
        <w:tc>
          <w:tcPr>
            <w:tcW w:w="138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得分率</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82.14%</w:t>
            </w:r>
          </w:p>
        </w:tc>
        <w:tc>
          <w:tcPr>
            <w:tcW w:w="13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18"/>
                <w:szCs w:val="18"/>
              </w:rPr>
            </w:pPr>
            <w:r>
              <w:rPr>
                <w:rFonts w:eastAsia="等线"/>
                <w:color w:val="000000"/>
                <w:kern w:val="0"/>
                <w:sz w:val="18"/>
                <w:szCs w:val="18"/>
              </w:rPr>
              <w:t>65.38%</w:t>
            </w:r>
          </w:p>
        </w:tc>
        <w:tc>
          <w:tcPr>
            <w:tcW w:w="1384"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86.22%</w:t>
            </w:r>
          </w:p>
        </w:tc>
        <w:tc>
          <w:tcPr>
            <w:tcW w:w="1382"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100.00%</w:t>
            </w:r>
          </w:p>
        </w:tc>
        <w:tc>
          <w:tcPr>
            <w:tcW w:w="1379" w:type="dxa"/>
            <w:tcBorders>
              <w:top w:val="nil"/>
              <w:left w:val="nil"/>
              <w:bottom w:val="single" w:color="auto" w:sz="4" w:space="0"/>
              <w:right w:val="single" w:color="auto" w:sz="4" w:space="0"/>
            </w:tcBorders>
            <w:shd w:val="clear" w:color="auto" w:fill="auto"/>
            <w:noWrap/>
          </w:tcPr>
          <w:p>
            <w:pPr>
              <w:widowControl/>
              <w:spacing w:line="240" w:lineRule="auto"/>
              <w:ind w:firstLine="0" w:firstLineChars="0"/>
              <w:jc w:val="center"/>
              <w:rPr>
                <w:rFonts w:eastAsia="等线"/>
                <w:color w:val="000000"/>
                <w:kern w:val="0"/>
                <w:sz w:val="18"/>
                <w:szCs w:val="18"/>
              </w:rPr>
            </w:pPr>
            <w:r>
              <w:rPr>
                <w:sz w:val="18"/>
                <w:szCs w:val="18"/>
              </w:rPr>
              <w:t>83.54%</w:t>
            </w:r>
          </w:p>
        </w:tc>
      </w:tr>
    </w:tbl>
    <w:p>
      <w:pPr>
        <w:pStyle w:val="4"/>
        <w:ind w:firstLine="640"/>
      </w:pPr>
      <w:bookmarkStart w:id="46" w:name="_Toc154395805"/>
      <w:r>
        <w:t>（二）绩效目标实现情况</w:t>
      </w:r>
      <w:bookmarkEnd w:id="46"/>
    </w:p>
    <w:p>
      <w:pPr>
        <w:ind w:firstLine="640"/>
      </w:pPr>
      <w:r>
        <w:t>2022年度</w:t>
      </w:r>
      <w:r>
        <w:rPr>
          <w:rFonts w:hint="eastAsia"/>
        </w:rPr>
        <w:t>安宁市发展和改革局支持中石油云南石化扩销增产消费券专项资金</w:t>
      </w:r>
      <w:r>
        <w:t>项目，</w:t>
      </w:r>
      <w:r>
        <w:rPr>
          <w:rFonts w:hint="eastAsia"/>
        </w:rPr>
        <w:t>加快落实了稳经济政策措施，进一步帮助企业纾困解难，有效促进了释放石油产品的需求增长潜力，促进了石油产业恢复发展，降低了相关产品的民众消费压力。</w:t>
      </w:r>
    </w:p>
    <w:p>
      <w:pPr>
        <w:ind w:firstLine="640"/>
      </w:pPr>
      <w:r>
        <w:t>在项目决策方面，</w:t>
      </w:r>
      <w:r>
        <w:rPr>
          <w:rFonts w:hint="eastAsia"/>
        </w:rPr>
        <w:t>安宁市发展和改革局2022年度支持中石油云南石化扩销增产消费券专项资金</w:t>
      </w:r>
      <w:r>
        <w:t>项目立项符合行业发展规划和政策要求；预算内容与项目内容匹配；项目绩效目标与项目实施单位职责密切相关，可通过清晰、可衡量的绩效指标予以体现</w:t>
      </w:r>
      <w:r>
        <w:rPr>
          <w:rFonts w:hint="eastAsia"/>
        </w:rPr>
        <w:t>。</w:t>
      </w:r>
    </w:p>
    <w:p>
      <w:pPr>
        <w:ind w:firstLine="640"/>
      </w:pPr>
      <w:bookmarkStart w:id="47" w:name="_Toc23817"/>
      <w:r>
        <w:rPr>
          <w:rFonts w:hint="eastAsia"/>
        </w:rPr>
        <w:t>在项目过程方面，项目资金到位及时、使用规范，财务和业务管理制度健全，能严格执行项目相关管理规定；项目程序规范性且具备实施的条件；但在绩效自评方面，项目管理单位未开展项目自评工作。</w:t>
      </w:r>
    </w:p>
    <w:p>
      <w:pPr>
        <w:ind w:firstLine="640"/>
      </w:pPr>
      <w:r>
        <w:t>在项目产出方面，</w:t>
      </w:r>
      <w:r>
        <w:rPr>
          <w:rFonts w:hint="eastAsia"/>
        </w:rPr>
        <w:t>各类扩销增产消费券活动</w:t>
      </w:r>
      <w:r>
        <w:t>项目均已实际开展</w:t>
      </w:r>
      <w:r>
        <w:rPr>
          <w:rFonts w:hint="eastAsia"/>
        </w:rPr>
        <w:t>，</w:t>
      </w:r>
      <w:r>
        <w:t>且</w:t>
      </w:r>
      <w:r>
        <w:rPr>
          <w:rFonts w:hint="eastAsia"/>
        </w:rPr>
        <w:t>全部完成</w:t>
      </w:r>
      <w:r>
        <w:t>；但</w:t>
      </w:r>
      <w:r>
        <w:rPr>
          <w:rFonts w:hint="eastAsia"/>
        </w:rPr>
        <w:t>活动执行存在延期的情况</w:t>
      </w:r>
      <w:r>
        <w:t>。</w:t>
      </w:r>
    </w:p>
    <w:p>
      <w:pPr>
        <w:ind w:firstLine="640"/>
      </w:pPr>
      <w:r>
        <w:t>在项目效</w:t>
      </w:r>
      <w:r>
        <w:rPr>
          <w:rFonts w:hint="eastAsia"/>
        </w:rPr>
        <w:t>益</w:t>
      </w:r>
      <w:r>
        <w:t>方面，</w:t>
      </w:r>
      <w:r>
        <w:rPr>
          <w:rFonts w:hint="eastAsia"/>
        </w:rPr>
        <w:t>扩销增产消费券活动</w:t>
      </w:r>
      <w:r>
        <w:t>项目</w:t>
      </w:r>
      <w:r>
        <w:rPr>
          <w:rFonts w:hint="eastAsia"/>
        </w:rPr>
        <w:t>实现了拉动油品消费；实施企业已经完成诚信纳税；完成了相关社会就业岗位的增长；实现石化扩销增产。</w:t>
      </w:r>
    </w:p>
    <w:p>
      <w:pPr>
        <w:pStyle w:val="3"/>
        <w:ind w:firstLine="643"/>
        <w:rPr>
          <w:rFonts w:ascii="Times New Roman" w:hAnsi="Times New Roman" w:cs="Times New Roman"/>
        </w:rPr>
      </w:pPr>
      <w:bookmarkStart w:id="48" w:name="_Toc154395806"/>
      <w:r>
        <w:rPr>
          <w:rFonts w:ascii="Times New Roman" w:hAnsi="Times New Roman" w:cs="Times New Roman"/>
        </w:rPr>
        <w:t>四、绩效评价指标分析</w:t>
      </w:r>
      <w:bookmarkEnd w:id="47"/>
      <w:bookmarkEnd w:id="48"/>
    </w:p>
    <w:p>
      <w:pPr>
        <w:pStyle w:val="4"/>
        <w:ind w:firstLine="640"/>
      </w:pPr>
      <w:bookmarkStart w:id="49" w:name="_Hlk148473140"/>
      <w:bookmarkStart w:id="50" w:name="_Toc154395807"/>
      <w:r>
        <w:t>A1．项目决策情况分析</w:t>
      </w:r>
      <w:bookmarkEnd w:id="49"/>
      <w:bookmarkEnd w:id="50"/>
    </w:p>
    <w:p>
      <w:pPr>
        <w:ind w:firstLine="640"/>
      </w:pPr>
      <w:r>
        <w:t>项目决策类指标由3个二级指标，6个三级指标构成，指标分值14分，实际得分为11.5分。其中满分三级指标4个，扣分三级指标2个。各指标得分情况明细如下：</w:t>
      </w:r>
    </w:p>
    <w:tbl>
      <w:tblPr>
        <w:tblStyle w:val="21"/>
        <w:tblW w:w="8296" w:type="dxa"/>
        <w:tblInd w:w="0" w:type="dxa"/>
        <w:tblLayout w:type="fixed"/>
        <w:tblCellMar>
          <w:top w:w="0" w:type="dxa"/>
          <w:left w:w="108" w:type="dxa"/>
          <w:bottom w:w="0" w:type="dxa"/>
          <w:right w:w="108" w:type="dxa"/>
        </w:tblCellMar>
      </w:tblPr>
      <w:tblGrid>
        <w:gridCol w:w="1048"/>
        <w:gridCol w:w="1302"/>
        <w:gridCol w:w="2079"/>
        <w:gridCol w:w="1049"/>
        <w:gridCol w:w="1321"/>
        <w:gridCol w:w="1497"/>
      </w:tblGrid>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0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10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指标分值</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Layout w:type="fixed"/>
          <w:tblCellMar>
            <w:top w:w="0" w:type="dxa"/>
            <w:left w:w="108" w:type="dxa"/>
            <w:bottom w:w="0" w:type="dxa"/>
            <w:right w:w="108" w:type="dxa"/>
          </w:tblCellMar>
        </w:tblPrEx>
        <w:trPr>
          <w:trHeight w:val="285" w:hRule="atLeast"/>
        </w:trPr>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A1决策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（14分)</w:t>
            </w:r>
          </w:p>
        </w:tc>
        <w:tc>
          <w:tcPr>
            <w:tcW w:w="13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A11项目立项（4分）</w:t>
            </w: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A111立项依据充分性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依据充分</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A112立项程序规范性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程序规范</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A12绩效目标（4分）</w:t>
            </w: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A121绩效目标合理性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目标合理</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A122绩效指标明确性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个别指标设置不合理</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A13资金投入(6分)</w:t>
            </w: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A131预算编制科学性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资料不够充分</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80"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A132资金分配合理性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资金分配不及时</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pPr>
        <w:pStyle w:val="5"/>
        <w:ind w:firstLine="640"/>
        <w:rPr>
          <w:rFonts w:ascii="Times New Roman" w:hAnsi="Times New Roman" w:cs="Times New Roman"/>
        </w:rPr>
      </w:pPr>
      <w:r>
        <w:rPr>
          <w:rFonts w:ascii="Times New Roman" w:hAnsi="Times New Roman" w:cs="Times New Roman"/>
        </w:rPr>
        <w:t>A11．项目立项。指标分值4分，实际得4分。</w:t>
      </w:r>
    </w:p>
    <w:p>
      <w:pPr>
        <w:ind w:firstLine="640"/>
      </w:pPr>
      <w:r>
        <w:t>A111．立项依据充分性。指标分值2分，实际得2分。</w:t>
      </w:r>
    </w:p>
    <w:p>
      <w:pPr>
        <w:ind w:firstLine="640"/>
      </w:pPr>
      <w:r>
        <w:rPr>
          <w:szCs w:val="32"/>
        </w:rPr>
        <w:t>该指标用以反映项目立项是否符合法律法规、相关政策、发展规划以及部门职责，考核项目立项依据情况。</w:t>
      </w:r>
      <w:r>
        <w:t>得分明细如下：</w:t>
      </w:r>
    </w:p>
    <w:p>
      <w:pPr>
        <w:ind w:firstLine="640"/>
      </w:pPr>
      <w:r>
        <w:t>根据</w:t>
      </w:r>
      <w:r>
        <w:rPr>
          <w:rFonts w:hint="eastAsia"/>
        </w:rPr>
        <w:t>《昆明市财政局、昆明市商务局关于下达支持中石油云南石化扩销增产消费券资金的通知》（昆财产业〔2022〕160号）</w:t>
      </w:r>
      <w:r>
        <w:t>，项目立项符合国家法律法规、国民经济发展规划和相关政策、符合行业发展规划和政策要求且与部门职责范围相符，属于部门履职所需；根据评分标准得2分；</w:t>
      </w:r>
    </w:p>
    <w:p>
      <w:pPr>
        <w:ind w:firstLine="640"/>
      </w:pPr>
      <w:r>
        <w:t>A112．立项程序规范性。指标分值2分，实际得2分。</w:t>
      </w:r>
    </w:p>
    <w:p>
      <w:pPr>
        <w:ind w:firstLine="640"/>
      </w:pPr>
      <w:r>
        <w:t>该指标用以反映项目申请、设立过程是否符合相关要求，考核项目立项的规范情况。得分明细如下：</w:t>
      </w:r>
    </w:p>
    <w:p>
      <w:pPr>
        <w:ind w:firstLine="640"/>
      </w:pPr>
      <w:r>
        <w:t>根据各个项目</w:t>
      </w:r>
      <w:r>
        <w:rPr>
          <w:rFonts w:hint="eastAsia"/>
        </w:rPr>
        <w:t>《关于核拨支持中石油云南石化扩销增产消费券资金的申请》</w:t>
      </w:r>
      <w:r>
        <w:t>以及</w:t>
      </w:r>
      <w:r>
        <w:rPr>
          <w:rFonts w:hint="eastAsia"/>
        </w:rPr>
        <w:t>《安宁市财政局公文处理笺》（收文编号1560），</w:t>
      </w:r>
      <w:r>
        <w:t>内容显示该项目按照规定的程序申请设立，审批文件、材料符合要求；根据评分标准得2分。</w:t>
      </w:r>
    </w:p>
    <w:p>
      <w:pPr>
        <w:pStyle w:val="5"/>
        <w:ind w:firstLine="640"/>
        <w:rPr>
          <w:rFonts w:ascii="Times New Roman" w:hAnsi="Times New Roman" w:cs="Times New Roman"/>
        </w:rPr>
      </w:pPr>
      <w:r>
        <w:rPr>
          <w:rFonts w:ascii="Times New Roman" w:hAnsi="Times New Roman" w:cs="Times New Roman"/>
        </w:rPr>
        <w:t>A12．绩效目标。指标分值4分，实际得3.5分。</w:t>
      </w:r>
    </w:p>
    <w:p>
      <w:pPr>
        <w:ind w:firstLine="640"/>
      </w:pPr>
      <w:r>
        <w:t>A121．绩效目标合理性。指标分值2分，实际得2分。</w:t>
      </w:r>
    </w:p>
    <w:p>
      <w:pPr>
        <w:ind w:firstLine="640"/>
      </w:pPr>
      <w:r>
        <w:t>该指标用以反映项目所设定的绩效目标是否依据充分，是否符合客观实际，考核项目绩效目标与项目实施的相符情况。得分明细如下：</w:t>
      </w:r>
    </w:p>
    <w:p>
      <w:pPr>
        <w:ind w:firstLine="640"/>
      </w:pPr>
      <w:r>
        <w:t>根据各个项目的</w:t>
      </w:r>
      <w:r>
        <w:rPr>
          <w:rFonts w:hint="eastAsia"/>
        </w:rPr>
        <w:t>《昆明市财政局、昆明市商务局关于下达支持中石油云南石化扩销增产消费券资金的通知》（昆财产业〔2022〕160号）后附《项目绩效目标评价表》</w:t>
      </w:r>
      <w:r>
        <w:t>内容显示该项目绩效目标符合国家相关法律法规、国民经济发展规划和党委政府决策，绩效目标与项目实施单位职责密切相关；根据评分标准得2分。</w:t>
      </w:r>
    </w:p>
    <w:p>
      <w:pPr>
        <w:ind w:firstLine="640"/>
      </w:pPr>
      <w:r>
        <w:t>A122．绩效指标明确性。指标分值</w:t>
      </w:r>
      <w:r>
        <w:rPr>
          <w:rFonts w:hint="eastAsia"/>
        </w:rPr>
        <w:t>2</w:t>
      </w:r>
      <w:r>
        <w:t>分，实际得1.5分。</w:t>
      </w:r>
    </w:p>
    <w:p>
      <w:pPr>
        <w:ind w:firstLine="640"/>
      </w:pPr>
      <w:r>
        <w:t>该项指标反映依据绩效目标设定的绩效指标是否清晰、细化、可衡量等，反映和考核项目绩效目标的明细化情况。</w:t>
      </w:r>
      <w:r>
        <w:rPr>
          <w:rFonts w:hint="eastAsia"/>
        </w:rPr>
        <w:t>扣</w:t>
      </w:r>
      <w:r>
        <w:t>分明细如下：</w:t>
      </w:r>
    </w:p>
    <w:p>
      <w:pPr>
        <w:ind w:firstLine="640"/>
      </w:pPr>
      <w:r>
        <w:t>根据各项目实施单位的</w:t>
      </w:r>
      <w:r>
        <w:rPr>
          <w:rFonts w:hint="eastAsia"/>
        </w:rPr>
        <w:t>《中国石油昆明公司年终专项营销方案》</w:t>
      </w:r>
      <w:r>
        <w:t>显示该项目绩效目标已细化分解为具体的绩效指标，可通过清晰、可衡量的绩效指标值予以体现</w:t>
      </w:r>
      <w:r>
        <w:rPr>
          <w:rFonts w:hint="eastAsia"/>
        </w:rPr>
        <w:t>，但“配送销售”活动在项目实际执行中由于项目调整未能实施，存在个别项目指标设置不合理，</w:t>
      </w:r>
      <w:r>
        <w:t>根据评分标准</w:t>
      </w:r>
      <w:r>
        <w:rPr>
          <w:rFonts w:hint="eastAsia"/>
        </w:rPr>
        <w:t>扣</w:t>
      </w:r>
      <w:r>
        <w:t>0.5</w:t>
      </w:r>
      <w:r>
        <w:rPr>
          <w:rFonts w:hint="eastAsia"/>
        </w:rPr>
        <w:t>分，</w:t>
      </w:r>
      <w:r>
        <w:t>得1.5分</w:t>
      </w:r>
      <w:r>
        <w:rPr>
          <w:rFonts w:hint="eastAsia"/>
        </w:rPr>
        <w:t>。</w:t>
      </w:r>
    </w:p>
    <w:p>
      <w:pPr>
        <w:pStyle w:val="5"/>
        <w:ind w:firstLine="640"/>
        <w:rPr>
          <w:rFonts w:ascii="Times New Roman" w:hAnsi="Times New Roman" w:cs="Times New Roman"/>
        </w:rPr>
      </w:pPr>
      <w:r>
        <w:rPr>
          <w:rFonts w:ascii="Times New Roman" w:hAnsi="Times New Roman" w:cs="Times New Roman"/>
        </w:rPr>
        <w:t>A13．资金投入。指标分值6分，实际得</w:t>
      </w:r>
      <w:r>
        <w:rPr>
          <w:rFonts w:hint="eastAsia" w:ascii="Times New Roman" w:hAnsi="Times New Roman" w:cs="Times New Roman"/>
        </w:rPr>
        <w:t>4</w:t>
      </w:r>
      <w:r>
        <w:rPr>
          <w:rFonts w:ascii="Times New Roman" w:hAnsi="Times New Roman" w:cs="Times New Roman"/>
        </w:rPr>
        <w:t>分。</w:t>
      </w:r>
    </w:p>
    <w:p>
      <w:pPr>
        <w:ind w:firstLine="640"/>
      </w:pPr>
      <w:r>
        <w:t>A131．预算编制科学性。指标分值3分，实际得3分。</w:t>
      </w:r>
    </w:p>
    <w:p>
      <w:pPr>
        <w:ind w:firstLine="640"/>
      </w:pPr>
      <w:r>
        <w:t>该项指标用以反映项目预算编制是否经过科学论证、有明确标准，资金额度与年度目标是否相适应，考核项目预算编制的科学性、合理性。得分明细如下：</w:t>
      </w:r>
    </w:p>
    <w:p>
      <w:pPr>
        <w:ind w:firstLine="640"/>
      </w:pPr>
      <w:r>
        <w:t>根据《安宁市财政局关于批复2022年部门预算的通知》内容显示项目预算编制已经过科学论证，预算内容与项目内容相匹配，预算额度测算依据充分，按照标准编制，项目投入的资金量与工作任务相匹配；根据评分标准得3分。</w:t>
      </w:r>
    </w:p>
    <w:p>
      <w:pPr>
        <w:ind w:firstLine="640"/>
      </w:pPr>
      <w:r>
        <w:t>A132．资金分配合理性。指标分值3分，实际得1分。</w:t>
      </w:r>
    </w:p>
    <w:p>
      <w:pPr>
        <w:ind w:firstLine="640"/>
      </w:pPr>
      <w:r>
        <w:t>该项指标用以反映项目预算资金分配是否有测算依据，与补助单位或地方实际是否相适应，考核项目预算资金分配的科学性、合理性情况。</w:t>
      </w:r>
      <w:r>
        <w:rPr>
          <w:rFonts w:hint="eastAsia"/>
        </w:rPr>
        <w:t>扣</w:t>
      </w:r>
      <w:r>
        <w:t>分明细如下</w:t>
      </w:r>
      <w:r>
        <w:rPr>
          <w:szCs w:val="32"/>
        </w:rPr>
        <w:t>：</w:t>
      </w:r>
    </w:p>
    <w:p>
      <w:pPr>
        <w:ind w:firstLine="640"/>
      </w:pPr>
      <w:r>
        <w:rPr>
          <w:rFonts w:hint="eastAsia"/>
        </w:rPr>
        <w:t>预算资金根据相关通知要求，合理分配拨付资金至项目管理单位及实施单位，但存在未能及时拨付预算资金，导致资金分配时间与《中国石油昆明公司年终专项营销方案》的活动时间冲突，导致活动执行延期的情况，根据评分标准扣2分，得1分。</w:t>
      </w:r>
    </w:p>
    <w:p>
      <w:pPr>
        <w:pStyle w:val="4"/>
        <w:ind w:firstLine="640"/>
      </w:pPr>
      <w:bookmarkStart w:id="51" w:name="_Toc154395808"/>
      <w:r>
        <w:t>B2．项目过程情况分析</w:t>
      </w:r>
      <w:bookmarkEnd w:id="51"/>
    </w:p>
    <w:p>
      <w:pPr>
        <w:ind w:firstLine="640"/>
      </w:pPr>
      <w:r>
        <w:t>项目过程类指标由2个二级指标，7个三级指标构成，指标分值26分，实际得分为17分。其中满分三级指标3个，扣分三级指标4个。各指标得分情况明细如下：</w:t>
      </w:r>
    </w:p>
    <w:tbl>
      <w:tblPr>
        <w:tblStyle w:val="21"/>
        <w:tblW w:w="8296" w:type="dxa"/>
        <w:tblInd w:w="0" w:type="dxa"/>
        <w:tblLayout w:type="fixed"/>
        <w:tblCellMar>
          <w:top w:w="0" w:type="dxa"/>
          <w:left w:w="108" w:type="dxa"/>
          <w:bottom w:w="0" w:type="dxa"/>
          <w:right w:w="108" w:type="dxa"/>
        </w:tblCellMar>
      </w:tblPr>
      <w:tblGrid>
        <w:gridCol w:w="1048"/>
        <w:gridCol w:w="1302"/>
        <w:gridCol w:w="2079"/>
        <w:gridCol w:w="1049"/>
        <w:gridCol w:w="1321"/>
        <w:gridCol w:w="1497"/>
      </w:tblGrid>
      <w:tr>
        <w:tblPrEx>
          <w:tblLayout w:type="fixed"/>
          <w:tblCellMar>
            <w:top w:w="0" w:type="dxa"/>
            <w:left w:w="108" w:type="dxa"/>
            <w:bottom w:w="0" w:type="dxa"/>
            <w:right w:w="108" w:type="dxa"/>
          </w:tblCellMar>
        </w:tblPrEx>
        <w:trPr>
          <w:trHeight w:val="285" w:hRule="atLeast"/>
          <w:tblHeader/>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0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10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指标分值</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Layout w:type="fixed"/>
          <w:tblCellMar>
            <w:top w:w="0" w:type="dxa"/>
            <w:left w:w="108" w:type="dxa"/>
            <w:bottom w:w="0" w:type="dxa"/>
            <w:right w:w="108" w:type="dxa"/>
          </w:tblCellMar>
        </w:tblPrEx>
        <w:trPr>
          <w:trHeight w:val="480" w:hRule="atLeast"/>
        </w:trPr>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B2过程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（26分)</w:t>
            </w:r>
          </w:p>
        </w:tc>
        <w:tc>
          <w:tcPr>
            <w:tcW w:w="13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B21资金管理（12分）</w:t>
            </w: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B211资金到位率</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资金到位率100%</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80"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B212预算执行率</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预算执行率100%</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B213资金使用合规性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未见异常</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B22组织实施(14分）</w:t>
            </w:r>
          </w:p>
        </w:tc>
        <w:tc>
          <w:tcPr>
            <w:tcW w:w="207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B221项目库建设管理</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不完善</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B222绩效自评</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部分完成</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B223管理制度健全性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制度不够完善</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285" w:hRule="atLeast"/>
        </w:trPr>
        <w:tc>
          <w:tcPr>
            <w:tcW w:w="104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207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B224制度执行有效性</w:t>
            </w:r>
          </w:p>
        </w:tc>
        <w:tc>
          <w:tcPr>
            <w:tcW w:w="104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部分有效</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bl>
    <w:p>
      <w:pPr>
        <w:pStyle w:val="5"/>
        <w:ind w:firstLine="640"/>
        <w:rPr>
          <w:rFonts w:ascii="Times New Roman" w:hAnsi="Times New Roman" w:cs="Times New Roman"/>
        </w:rPr>
      </w:pPr>
      <w:r>
        <w:rPr>
          <w:rFonts w:ascii="Times New Roman" w:hAnsi="Times New Roman" w:cs="Times New Roman"/>
        </w:rPr>
        <w:t>B21．资金管理。指标分值12分，实际得12分。</w:t>
      </w:r>
    </w:p>
    <w:p>
      <w:pPr>
        <w:ind w:firstLine="640"/>
      </w:pPr>
      <w:r>
        <w:t>B211．资金到位率。指标分值3分，实际得3分。</w:t>
      </w:r>
    </w:p>
    <w:p>
      <w:pPr>
        <w:ind w:firstLine="640"/>
      </w:pPr>
      <w:r>
        <w:t>该项指标用以反映资金落实情况对项目实施的总体保障程度。得分明细如下：</w:t>
      </w:r>
    </w:p>
    <w:p>
      <w:pPr>
        <w:ind w:firstLine="640"/>
      </w:pPr>
      <w:r>
        <w:t>根据安宁市财政局根据资金下达文件，下达2022年度</w:t>
      </w:r>
      <w:r>
        <w:rPr>
          <w:rFonts w:hint="eastAsia"/>
        </w:rPr>
        <w:t>支持中石油云南石化扩销增产消费券专项资金3</w:t>
      </w:r>
      <w:r>
        <w:t>0</w:t>
      </w:r>
      <w:r>
        <w:rPr>
          <w:rFonts w:hint="eastAsia"/>
        </w:rPr>
        <w:t>,</w:t>
      </w:r>
      <w:r>
        <w:t>0</w:t>
      </w:r>
      <w:r>
        <w:rPr>
          <w:rFonts w:hint="eastAsia"/>
        </w:rPr>
        <w:t>00,000.00</w:t>
      </w:r>
      <w:r>
        <w:t>元</w:t>
      </w:r>
      <w:r>
        <w:rPr>
          <w:rFonts w:hint="eastAsia"/>
        </w:rPr>
        <w:t>，资金已全部到位，</w:t>
      </w:r>
      <w:r>
        <w:t>资金到位率</w:t>
      </w:r>
      <w:r>
        <w:rPr>
          <w:rFonts w:hint="eastAsia"/>
        </w:rPr>
        <w:t>为</w:t>
      </w:r>
      <w:r>
        <w:t>100%，根据评分标准得3分。</w:t>
      </w:r>
    </w:p>
    <w:p>
      <w:pPr>
        <w:ind w:firstLine="640"/>
      </w:pPr>
      <w:r>
        <w:t>B212．预算执行率。指标分值6分，实际得6分。</w:t>
      </w:r>
    </w:p>
    <w:p>
      <w:pPr>
        <w:ind w:firstLine="640"/>
      </w:pPr>
      <w:r>
        <w:t>该项指标用以反映项目预算资金是否按照计划执行，考核项目预算执行情况。得分明细如下：</w:t>
      </w:r>
    </w:p>
    <w:p>
      <w:pPr>
        <w:ind w:firstLine="640"/>
      </w:pPr>
      <w:r>
        <w:t>根据资金下达文件以及各项目单位收款凭证，项目下达</w:t>
      </w:r>
      <w:r>
        <w:rPr>
          <w:rFonts w:hint="eastAsia"/>
        </w:rPr>
        <w:t>专项</w:t>
      </w:r>
      <w:r>
        <w:t>资金</w:t>
      </w:r>
      <w:bookmarkStart w:id="52" w:name="_Hlk154069126"/>
      <w:r>
        <w:rPr>
          <w:rFonts w:hint="eastAsia"/>
        </w:rPr>
        <w:t>3</w:t>
      </w:r>
      <w:r>
        <w:t>0</w:t>
      </w:r>
      <w:r>
        <w:rPr>
          <w:rFonts w:hint="eastAsia"/>
        </w:rPr>
        <w:t>,</w:t>
      </w:r>
      <w:r>
        <w:t>0</w:t>
      </w:r>
      <w:r>
        <w:rPr>
          <w:rFonts w:hint="eastAsia"/>
        </w:rPr>
        <w:t>00,000.00</w:t>
      </w:r>
      <w:r>
        <w:t>元</w:t>
      </w:r>
      <w:bookmarkEnd w:id="52"/>
      <w:r>
        <w:t>，2022年度</w:t>
      </w:r>
      <w:r>
        <w:rPr>
          <w:rFonts w:hint="eastAsia"/>
        </w:rPr>
        <w:t>项目管理单位将预算资金全额拨付至项目实施单位，</w:t>
      </w:r>
      <w:r>
        <w:t>资金预算执行率</w:t>
      </w:r>
      <w:r>
        <w:rPr>
          <w:rFonts w:hint="eastAsia"/>
        </w:rPr>
        <w:t>为</w:t>
      </w:r>
      <w:r>
        <w:t>100%，根据评分标准得6分。</w:t>
      </w:r>
    </w:p>
    <w:p>
      <w:pPr>
        <w:ind w:firstLine="640"/>
      </w:pPr>
      <w:r>
        <w:t>B213．资金使用合规性。指标分值3分，实际得3分。</w:t>
      </w:r>
    </w:p>
    <w:p>
      <w:pPr>
        <w:ind w:firstLine="640"/>
      </w:pPr>
      <w:r>
        <w:t>该项指标用以反映项目资金使用是否符合相关的财务管理制度规定，考核项目资金的规范运行情况。得分明细如下：</w:t>
      </w:r>
    </w:p>
    <w:p>
      <w:pPr>
        <w:ind w:firstLine="640"/>
      </w:pPr>
      <w:r>
        <w:t>通过检查资金支出相关凭证、流程规范相关资料，资金符合预算批复的用途，项目资金使用符合国家财经法规和财务管理制度规定以及有关专项资金管理办法的规定，资金的拨付有完整的审批程序和手续，</w:t>
      </w:r>
      <w:r>
        <w:rPr>
          <w:rFonts w:hint="eastAsia"/>
        </w:rPr>
        <w:t>未发现不符合资金使用规范的情况，</w:t>
      </w:r>
      <w:r>
        <w:t>根据评分标准得3分。</w:t>
      </w:r>
    </w:p>
    <w:p>
      <w:pPr>
        <w:pStyle w:val="5"/>
        <w:ind w:firstLine="640"/>
        <w:rPr>
          <w:rFonts w:ascii="Times New Roman" w:hAnsi="Times New Roman" w:cs="Times New Roman"/>
        </w:rPr>
      </w:pPr>
      <w:r>
        <w:rPr>
          <w:rFonts w:ascii="Times New Roman" w:hAnsi="Times New Roman" w:cs="Times New Roman"/>
        </w:rPr>
        <w:t>B22．组织实施。指标分值14分，实际得5分。</w:t>
      </w:r>
    </w:p>
    <w:p>
      <w:pPr>
        <w:ind w:firstLine="640"/>
      </w:pPr>
      <w:r>
        <w:rPr>
          <w:szCs w:val="32"/>
        </w:rPr>
        <w:t>B221．项目库建设管理。</w:t>
      </w:r>
      <w:r>
        <w:t>指标分值3分，实际得0分。</w:t>
      </w:r>
    </w:p>
    <w:p>
      <w:pPr>
        <w:ind w:firstLine="640"/>
      </w:pPr>
      <w:r>
        <w:t>该项指标用以反映补助项目库建设情况，考核项目入库的及时充分、程序规范性和具备实施的条件。</w:t>
      </w:r>
      <w:r>
        <w:rPr>
          <w:rFonts w:hint="eastAsia"/>
        </w:rPr>
        <w:t>扣</w:t>
      </w:r>
      <w:r>
        <w:t>分明细如下：</w:t>
      </w:r>
    </w:p>
    <w:p>
      <w:pPr>
        <w:ind w:firstLine="640"/>
      </w:pPr>
      <w:r>
        <w:rPr>
          <w:rFonts w:hint="eastAsia"/>
        </w:rPr>
        <w:t>未见安宁市发展与改革局支持中石油云南石化扩销增产消费券专项资金相关的项目库建设，根据评分标准扣3分。</w:t>
      </w:r>
    </w:p>
    <w:p>
      <w:pPr>
        <w:ind w:firstLine="640"/>
      </w:pPr>
      <w:r>
        <w:t>B222．绩效自评。指标分值6分，实际得2分。</w:t>
      </w:r>
    </w:p>
    <w:p>
      <w:pPr>
        <w:ind w:firstLine="640"/>
      </w:pPr>
      <w:r>
        <w:t>该项指标用以反映项目完成的自我评价情况。</w:t>
      </w:r>
      <w:r>
        <w:rPr>
          <w:rFonts w:hint="eastAsia"/>
        </w:rPr>
        <w:t>扣</w:t>
      </w:r>
      <w:r>
        <w:t>分明细如下：</w:t>
      </w:r>
    </w:p>
    <w:p>
      <w:pPr>
        <w:ind w:firstLine="640"/>
      </w:pPr>
      <w:r>
        <w:rPr>
          <w:rFonts w:hint="eastAsia"/>
        </w:rPr>
        <w:t>项目实施单位编制了《项目绩效目标自评表》，但未见</w:t>
      </w:r>
      <w:r>
        <w:t>项目</w:t>
      </w:r>
      <w:r>
        <w:rPr>
          <w:rFonts w:hint="eastAsia"/>
        </w:rPr>
        <w:t>管理</w:t>
      </w:r>
      <w:r>
        <w:t>单位</w:t>
      </w:r>
      <w:r>
        <w:rPr>
          <w:rFonts w:hint="eastAsia"/>
        </w:rPr>
        <w:t>开展自评工作的相关资料，</w:t>
      </w:r>
      <w:r>
        <w:t>根据评分标准扣4分，得2分。</w:t>
      </w:r>
    </w:p>
    <w:p>
      <w:pPr>
        <w:ind w:firstLine="640"/>
      </w:pPr>
      <w:r>
        <w:t>B223．管理制度健全性。指标分值2分，实际得1分。</w:t>
      </w:r>
    </w:p>
    <w:p>
      <w:pPr>
        <w:ind w:firstLine="640"/>
      </w:pPr>
      <w:r>
        <w:t>该指标用以反映项目实施单位的财务和业务管理制度是否健全，考核财务和业务管理制度对项目顺利实施的保障情况。得分明细如下：</w:t>
      </w:r>
    </w:p>
    <w:p>
      <w:pPr>
        <w:ind w:firstLine="640"/>
      </w:pPr>
      <w:r>
        <w:t>通过检查项目</w:t>
      </w:r>
      <w:r>
        <w:rPr>
          <w:rFonts w:hint="eastAsia"/>
        </w:rPr>
        <w:t>管理</w:t>
      </w:r>
      <w:r>
        <w:t>单位</w:t>
      </w:r>
      <w:r>
        <w:rPr>
          <w:rFonts w:hint="eastAsia"/>
        </w:rPr>
        <w:t>各项</w:t>
      </w:r>
      <w:r>
        <w:t>管理制度，发现单位已制定相应的财务管理制度，财务管理制度合法、合规、完整</w:t>
      </w:r>
      <w:r>
        <w:rPr>
          <w:rFonts w:hint="eastAsia"/>
        </w:rPr>
        <w:t>，但未见</w:t>
      </w:r>
      <w:r>
        <w:t>项目</w:t>
      </w:r>
      <w:r>
        <w:rPr>
          <w:rFonts w:hint="eastAsia"/>
        </w:rPr>
        <w:t>管理</w:t>
      </w:r>
      <w:r>
        <w:t>单位</w:t>
      </w:r>
      <w:r>
        <w:rPr>
          <w:rFonts w:hint="eastAsia"/>
        </w:rPr>
        <w:t>相关项目管理制度，</w:t>
      </w:r>
      <w:r>
        <w:t>根据评分标准</w:t>
      </w:r>
      <w:r>
        <w:rPr>
          <w:rFonts w:hint="eastAsia"/>
        </w:rPr>
        <w:t>扣1分，</w:t>
      </w:r>
      <w:r>
        <w:t>得1分。</w:t>
      </w:r>
    </w:p>
    <w:p>
      <w:pPr>
        <w:ind w:firstLine="640"/>
      </w:pPr>
      <w:r>
        <w:t>B224．制度执行有效性。指标分值3分，实际得2分。</w:t>
      </w:r>
    </w:p>
    <w:p>
      <w:pPr>
        <w:ind w:firstLine="640"/>
      </w:pPr>
      <w:r>
        <w:t>该指标用以反映项目实施是否符合相关管理规定，考核项目管理制度的有效执行情况。</w:t>
      </w:r>
      <w:r>
        <w:rPr>
          <w:rFonts w:hint="eastAsia"/>
        </w:rPr>
        <w:t>扣</w:t>
      </w:r>
      <w:r>
        <w:t>分明细如下：</w:t>
      </w:r>
    </w:p>
    <w:p>
      <w:pPr>
        <w:ind w:firstLine="640"/>
      </w:pPr>
      <w:r>
        <w:t>通过对项目实施单位管理制度及日常工作情况资料的检查</w:t>
      </w:r>
      <w:r>
        <w:rPr>
          <w:rFonts w:hint="eastAsia"/>
        </w:rPr>
        <w:t>，未</w:t>
      </w:r>
      <w:r>
        <w:t>发现</w:t>
      </w:r>
      <w:r>
        <w:rPr>
          <w:rFonts w:hint="eastAsia"/>
        </w:rPr>
        <w:t>支持中石油云南石化扩销增产消费券专项资金</w:t>
      </w:r>
      <w:r>
        <w:t>各项目</w:t>
      </w:r>
      <w:r>
        <w:rPr>
          <w:rFonts w:hint="eastAsia"/>
        </w:rPr>
        <w:t>不符合</w:t>
      </w:r>
      <w:r>
        <w:t>相关法律法规和业务管理规定</w:t>
      </w:r>
      <w:r>
        <w:rPr>
          <w:rFonts w:hint="eastAsia"/>
        </w:rPr>
        <w:t>的情况，但未见项目管理单位开展项目的档案管理工作，</w:t>
      </w:r>
      <w:r>
        <w:t>根据评分标准</w:t>
      </w:r>
      <w:r>
        <w:rPr>
          <w:rFonts w:hint="eastAsia"/>
        </w:rPr>
        <w:t>扣1分，</w:t>
      </w:r>
      <w:r>
        <w:t>得</w:t>
      </w:r>
      <w:r>
        <w:rPr>
          <w:rFonts w:hint="eastAsia"/>
        </w:rPr>
        <w:t>2</w:t>
      </w:r>
      <w:r>
        <w:t>分。</w:t>
      </w:r>
    </w:p>
    <w:p>
      <w:pPr>
        <w:pStyle w:val="4"/>
        <w:ind w:firstLine="640"/>
      </w:pPr>
      <w:bookmarkStart w:id="53" w:name="_Toc154395809"/>
      <w:r>
        <w:t>C3．项目产出情况分析</w:t>
      </w:r>
      <w:bookmarkEnd w:id="53"/>
    </w:p>
    <w:p>
      <w:pPr>
        <w:ind w:firstLine="640"/>
      </w:pPr>
      <w:r>
        <w:t>项目</w:t>
      </w:r>
      <w:r>
        <w:rPr>
          <w:rFonts w:hint="eastAsia"/>
        </w:rPr>
        <w:t>产出</w:t>
      </w:r>
      <w:r>
        <w:t>类指标由4个二级指标，4个三级指标构成，指标分值36分，实际得分为31.04分。其中满分三级指标3个，扣分三级指标1个。各指标得分情况明细如下：</w:t>
      </w:r>
    </w:p>
    <w:tbl>
      <w:tblPr>
        <w:tblStyle w:val="21"/>
        <w:tblW w:w="8296" w:type="dxa"/>
        <w:tblInd w:w="0" w:type="dxa"/>
        <w:tblLayout w:type="fixed"/>
        <w:tblCellMar>
          <w:top w:w="0" w:type="dxa"/>
          <w:left w:w="108" w:type="dxa"/>
          <w:bottom w:w="0" w:type="dxa"/>
          <w:right w:w="108" w:type="dxa"/>
        </w:tblCellMar>
      </w:tblPr>
      <w:tblGrid>
        <w:gridCol w:w="1078"/>
        <w:gridCol w:w="1510"/>
        <w:gridCol w:w="2266"/>
        <w:gridCol w:w="906"/>
        <w:gridCol w:w="1180"/>
        <w:gridCol w:w="1356"/>
      </w:tblGrid>
      <w:tr>
        <w:tblPrEx>
          <w:tblLayout w:type="fixed"/>
          <w:tblCellMar>
            <w:top w:w="0" w:type="dxa"/>
            <w:left w:w="108" w:type="dxa"/>
            <w:bottom w:w="0" w:type="dxa"/>
            <w:right w:w="108" w:type="dxa"/>
          </w:tblCellMar>
        </w:tblPrEx>
        <w:trPr>
          <w:trHeight w:val="285" w:hRule="atLeast"/>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2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指标分值</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Layout w:type="fixed"/>
          <w:tblCellMar>
            <w:top w:w="0" w:type="dxa"/>
            <w:left w:w="108" w:type="dxa"/>
            <w:bottom w:w="0" w:type="dxa"/>
            <w:right w:w="108" w:type="dxa"/>
          </w:tblCellMar>
        </w:tblPrEx>
        <w:trPr>
          <w:trHeight w:val="480" w:hRule="atLeast"/>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C3产出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(36分)</w:t>
            </w:r>
          </w:p>
        </w:tc>
        <w:tc>
          <w:tcPr>
            <w:tcW w:w="15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C31产出数量(9分）</w:t>
            </w:r>
          </w:p>
        </w:tc>
        <w:tc>
          <w:tcPr>
            <w:tcW w:w="22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C311实际完成率</w:t>
            </w: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完成</w:t>
            </w:r>
          </w:p>
        </w:tc>
        <w:tc>
          <w:tcPr>
            <w:tcW w:w="135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C32产出质量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22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C321质量达标率</w:t>
            </w: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质量达标</w:t>
            </w:r>
          </w:p>
        </w:tc>
        <w:tc>
          <w:tcPr>
            <w:tcW w:w="135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Layout w:type="fixed"/>
          <w:tblCellMar>
            <w:top w:w="0" w:type="dxa"/>
            <w:left w:w="108" w:type="dxa"/>
            <w:bottom w:w="0" w:type="dxa"/>
            <w:right w:w="108" w:type="dxa"/>
          </w:tblCellMar>
        </w:tblPrEx>
        <w:trPr>
          <w:trHeight w:val="480" w:hRule="atLeast"/>
        </w:trPr>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C33产出时效(8分)</w:t>
            </w:r>
          </w:p>
        </w:tc>
        <w:tc>
          <w:tcPr>
            <w:tcW w:w="226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C331完成及时性</w:t>
            </w: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1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不够及时</w:t>
            </w:r>
          </w:p>
        </w:tc>
        <w:tc>
          <w:tcPr>
            <w:tcW w:w="135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3.04</w:t>
            </w:r>
          </w:p>
        </w:tc>
      </w:tr>
      <w:tr>
        <w:tblPrEx>
          <w:tblLayout w:type="fixed"/>
          <w:tblCellMar>
            <w:top w:w="0" w:type="dxa"/>
            <w:left w:w="108" w:type="dxa"/>
            <w:bottom w:w="0" w:type="dxa"/>
            <w:right w:w="108" w:type="dxa"/>
          </w:tblCellMar>
        </w:tblPrEx>
        <w:trPr>
          <w:trHeight w:val="480" w:hRule="atLeast"/>
        </w:trPr>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color w:val="000000"/>
                <w:kern w:val="0"/>
                <w:sz w:val="20"/>
                <w:szCs w:val="20"/>
              </w:rPr>
            </w:pPr>
          </w:p>
        </w:tc>
        <w:tc>
          <w:tcPr>
            <w:tcW w:w="15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C34产出成本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（9分）</w:t>
            </w:r>
          </w:p>
        </w:tc>
        <w:tc>
          <w:tcPr>
            <w:tcW w:w="226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C341企业资金配比情况</w:t>
            </w: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配比资金到位</w:t>
            </w:r>
          </w:p>
        </w:tc>
        <w:tc>
          <w:tcPr>
            <w:tcW w:w="135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bl>
    <w:p>
      <w:pPr>
        <w:pStyle w:val="5"/>
        <w:ind w:firstLine="640"/>
        <w:rPr>
          <w:rFonts w:ascii="Times New Roman" w:hAnsi="Times New Roman" w:cs="Times New Roman"/>
        </w:rPr>
      </w:pPr>
      <w:r>
        <w:rPr>
          <w:rFonts w:ascii="Times New Roman" w:hAnsi="Times New Roman" w:cs="Times New Roman"/>
        </w:rPr>
        <w:t>C31．产出数量。指标分值9分，实际得9分。</w:t>
      </w:r>
    </w:p>
    <w:p>
      <w:pPr>
        <w:ind w:firstLine="640"/>
      </w:pPr>
      <w:r>
        <w:t>C311．实际完成率。指标分值9分，实际得9分。</w:t>
      </w:r>
    </w:p>
    <w:p>
      <w:pPr>
        <w:ind w:firstLine="640"/>
      </w:pPr>
      <w:r>
        <w:t>该项指标以项目实施的实际产出数与计划产出数的比率，用以反映和考核项目产出数量目标的实现程度。</w:t>
      </w:r>
      <w:r>
        <w:rPr>
          <w:rFonts w:hint="eastAsia"/>
        </w:rPr>
        <w:t>得</w:t>
      </w:r>
      <w:r>
        <w:t>分明细如下：</w:t>
      </w:r>
    </w:p>
    <w:p>
      <w:pPr>
        <w:ind w:firstLine="640"/>
      </w:pPr>
      <w:r>
        <w:t>根据</w:t>
      </w:r>
      <w:r>
        <w:rPr>
          <w:rFonts w:hint="eastAsia"/>
        </w:rPr>
        <w:t>《支持中石油云南石化扩销增产消费券专项资金使用情况表》加油站主题营销活动</w:t>
      </w:r>
      <w:r>
        <w:t>实际完成率</w:t>
      </w:r>
      <w:r>
        <w:rPr>
          <w:rFonts w:hint="eastAsia"/>
        </w:rPr>
        <w:t>为</w:t>
      </w:r>
      <w:r>
        <w:t>100%</w:t>
      </w:r>
      <w:r>
        <w:rPr>
          <w:rFonts w:hint="eastAsia"/>
        </w:rPr>
        <w:t>；新客户专属礼包活动实际完成率为</w:t>
      </w:r>
      <w:r>
        <w:t>100%</w:t>
      </w:r>
      <w:r>
        <w:rPr>
          <w:rFonts w:hint="eastAsia"/>
        </w:rPr>
        <w:t>；年终客户回馈有礼活动实际完成率，</w:t>
      </w:r>
      <w:r>
        <w:t>根据评分标准</w:t>
      </w:r>
      <w:r>
        <w:rPr>
          <w:rFonts w:hint="eastAsia"/>
        </w:rPr>
        <w:t>各项活动各得3分，合计得9分。</w:t>
      </w:r>
    </w:p>
    <w:p>
      <w:pPr>
        <w:pStyle w:val="5"/>
        <w:ind w:firstLine="640"/>
        <w:rPr>
          <w:rFonts w:ascii="Times New Roman" w:hAnsi="Times New Roman" w:cs="Times New Roman"/>
        </w:rPr>
      </w:pPr>
      <w:r>
        <w:rPr>
          <w:rFonts w:ascii="Times New Roman" w:hAnsi="Times New Roman" w:cs="Times New Roman"/>
        </w:rPr>
        <w:t>C32．产出质量。指标分值10分，实际得10分。</w:t>
      </w:r>
    </w:p>
    <w:p>
      <w:pPr>
        <w:ind w:firstLine="640"/>
      </w:pPr>
      <w:r>
        <w:t>C321．质量达标率。</w:t>
      </w:r>
      <w:r>
        <w:rPr>
          <w:rFonts w:hint="eastAsia"/>
        </w:rPr>
        <w:t>指</w:t>
      </w:r>
      <w:r>
        <w:t>标分值10分，实际得10分。</w:t>
      </w:r>
    </w:p>
    <w:p>
      <w:pPr>
        <w:ind w:firstLine="640"/>
      </w:pPr>
      <w:r>
        <w:t>该指标以项目完成的质量达标产出数与实际产出数的比率，用以反映和考核项目产出质量目标的实现程度。得分明细如下：</w:t>
      </w:r>
    </w:p>
    <w:p>
      <w:pPr>
        <w:ind w:firstLine="640"/>
      </w:pPr>
      <w:r>
        <w:t>根据</w:t>
      </w:r>
      <w:r>
        <w:rPr>
          <w:rFonts w:hint="eastAsia"/>
        </w:rPr>
        <w:t>项目实施单位编制的《项目绩效目标评价表》，新服务客户质量达标率1</w:t>
      </w:r>
      <w:r>
        <w:t>00</w:t>
      </w:r>
      <w:r>
        <w:rPr>
          <w:rFonts w:hint="eastAsia"/>
        </w:rPr>
        <w:t>%；拉动油品消费质量达标率1</w:t>
      </w:r>
      <w:r>
        <w:t>00</w:t>
      </w:r>
      <w:r>
        <w:rPr>
          <w:rFonts w:hint="eastAsia"/>
        </w:rPr>
        <w:t>%；企业诚信纳税质量达标率1</w:t>
      </w:r>
      <w:r>
        <w:t>00</w:t>
      </w:r>
      <w:r>
        <w:rPr>
          <w:rFonts w:hint="eastAsia"/>
        </w:rPr>
        <w:t>%；增加企业就业岗位质量达标率1</w:t>
      </w:r>
      <w:r>
        <w:t>00</w:t>
      </w:r>
      <w:r>
        <w:rPr>
          <w:rFonts w:hint="eastAsia"/>
        </w:rPr>
        <w:t>%，</w:t>
      </w:r>
      <w:r>
        <w:t>根据评分标准</w:t>
      </w:r>
      <w:r>
        <w:rPr>
          <w:rFonts w:hint="eastAsia"/>
        </w:rPr>
        <w:t>各项指标各得</w:t>
      </w:r>
      <w:r>
        <w:t>2.5</w:t>
      </w:r>
      <w:r>
        <w:rPr>
          <w:rFonts w:hint="eastAsia"/>
        </w:rPr>
        <w:t>分，合计得1</w:t>
      </w:r>
      <w:r>
        <w:t>0</w:t>
      </w:r>
      <w:r>
        <w:rPr>
          <w:rFonts w:hint="eastAsia"/>
        </w:rPr>
        <w:t>分。</w:t>
      </w:r>
    </w:p>
    <w:p>
      <w:pPr>
        <w:pStyle w:val="5"/>
        <w:ind w:firstLine="640"/>
        <w:rPr>
          <w:rFonts w:ascii="Times New Roman" w:hAnsi="Times New Roman" w:cs="Times New Roman"/>
        </w:rPr>
      </w:pPr>
      <w:r>
        <w:rPr>
          <w:rFonts w:ascii="Times New Roman" w:hAnsi="Times New Roman" w:cs="Times New Roman"/>
        </w:rPr>
        <w:t>C33．产出时效。指标分值9分，实际得3.04分。</w:t>
      </w:r>
    </w:p>
    <w:p>
      <w:pPr>
        <w:ind w:firstLine="640"/>
      </w:pPr>
      <w:r>
        <w:t>C331．完成及时性。指标分值9分，实际得3.04分。</w:t>
      </w:r>
    </w:p>
    <w:p>
      <w:pPr>
        <w:ind w:firstLine="640"/>
      </w:pPr>
      <w:r>
        <w:t>该项指标以项目实际完成时间与计划完成时间的比较，</w:t>
      </w:r>
      <w:r>
        <w:rPr>
          <w:rFonts w:hint="eastAsia"/>
        </w:rPr>
        <w:t>用以反映和考核项目产出时效目标的实现程度，</w:t>
      </w:r>
      <w:r>
        <w:t>扣分明细如下：</w:t>
      </w:r>
    </w:p>
    <w:p>
      <w:pPr>
        <w:ind w:firstLine="640"/>
      </w:pPr>
      <w:r>
        <w:t>根据</w:t>
      </w:r>
      <w:r>
        <w:rPr>
          <w:rFonts w:hint="eastAsia"/>
        </w:rPr>
        <w:t>《支持中石油云南石化扩销增产消费券专项资金使用情况表》2</w:t>
      </w:r>
      <w:r>
        <w:t>022</w:t>
      </w:r>
      <w:r>
        <w:rPr>
          <w:rFonts w:hint="eastAsia"/>
        </w:rPr>
        <w:t>年度内使用政府专项资金合计</w:t>
      </w:r>
      <w:r>
        <w:t>5,701,808.72</w:t>
      </w:r>
      <w:r>
        <w:rPr>
          <w:rFonts w:hint="eastAsia"/>
        </w:rPr>
        <w:t>元。根据《昆明市财政局、昆明市商务局关于下达支持中石油云南石化扩销增产消费券资金的通知》（昆财产业〔2022〕160号）后附《项目绩效目标评价表》，项目实施期为2</w:t>
      </w:r>
      <w:r>
        <w:t>022</w:t>
      </w:r>
      <w:r>
        <w:rPr>
          <w:rFonts w:hint="eastAsia"/>
        </w:rPr>
        <w:t>年1</w:t>
      </w:r>
      <w:r>
        <w:t>1</w:t>
      </w:r>
      <w:r>
        <w:rPr>
          <w:rFonts w:hint="eastAsia"/>
        </w:rPr>
        <w:t>月1</w:t>
      </w:r>
      <w:r>
        <w:t>5</w:t>
      </w:r>
      <w:r>
        <w:rPr>
          <w:rFonts w:hint="eastAsia"/>
        </w:rPr>
        <w:t>日至2</w:t>
      </w:r>
      <w:r>
        <w:t>023</w:t>
      </w:r>
      <w:r>
        <w:rPr>
          <w:rFonts w:hint="eastAsia"/>
        </w:rPr>
        <w:t>年2月2</w:t>
      </w:r>
      <w:r>
        <w:t>8</w:t>
      </w:r>
      <w:r>
        <w:rPr>
          <w:rFonts w:hint="eastAsia"/>
        </w:rPr>
        <w:t>日；项目实际执行期间为2</w:t>
      </w:r>
      <w:r>
        <w:t>022</w:t>
      </w:r>
      <w:r>
        <w:rPr>
          <w:rFonts w:hint="eastAsia"/>
        </w:rPr>
        <w:t>年1</w:t>
      </w:r>
      <w:r>
        <w:t>2</w:t>
      </w:r>
      <w:r>
        <w:rPr>
          <w:rFonts w:hint="eastAsia"/>
        </w:rPr>
        <w:t>月1日至2</w:t>
      </w:r>
      <w:r>
        <w:t>023</w:t>
      </w:r>
      <w:r>
        <w:rPr>
          <w:rFonts w:hint="eastAsia"/>
        </w:rPr>
        <w:t>年3月3</w:t>
      </w:r>
      <w:r>
        <w:t>1</w:t>
      </w:r>
      <w:r>
        <w:rPr>
          <w:rFonts w:hint="eastAsia"/>
        </w:rPr>
        <w:t>日。在2022年内完成的财政专项资金的使用比率=2022年度使用金额</w:t>
      </w:r>
      <w:r>
        <w:t>5,701,808.72</w:t>
      </w:r>
      <w:r>
        <w:rPr>
          <w:rFonts w:hint="eastAsia"/>
        </w:rPr>
        <w:t>元/预计在2022年需要完成的财政专项资金15</w:t>
      </w:r>
      <w:r>
        <w:t>,</w:t>
      </w:r>
      <w:r>
        <w:rPr>
          <w:rFonts w:hint="eastAsia"/>
        </w:rPr>
        <w:t>000</w:t>
      </w:r>
      <w:r>
        <w:t>,</w:t>
      </w:r>
      <w:r>
        <w:rPr>
          <w:rFonts w:hint="eastAsia"/>
        </w:rPr>
        <w:t>000</w:t>
      </w:r>
      <w:r>
        <w:t>.00</w:t>
      </w:r>
      <w:r>
        <w:rPr>
          <w:rFonts w:hint="eastAsia"/>
        </w:rPr>
        <w:t>元=38.02%，项目完成及时性得分=38.02%*8分=3.04分，</w:t>
      </w:r>
      <w:r>
        <w:t>根据评分标准</w:t>
      </w:r>
      <w:r>
        <w:rPr>
          <w:rFonts w:hint="eastAsia"/>
        </w:rPr>
        <w:t>得3.04分。</w:t>
      </w:r>
    </w:p>
    <w:p>
      <w:pPr>
        <w:pStyle w:val="5"/>
        <w:ind w:firstLine="640"/>
        <w:rPr>
          <w:rFonts w:ascii="Times New Roman" w:hAnsi="Times New Roman" w:cs="Times New Roman"/>
        </w:rPr>
      </w:pPr>
      <w:r>
        <w:rPr>
          <w:rFonts w:ascii="Times New Roman" w:hAnsi="Times New Roman" w:cs="Times New Roman"/>
        </w:rPr>
        <w:t>C3</w:t>
      </w:r>
      <w:r>
        <w:rPr>
          <w:rFonts w:hint="eastAsia" w:ascii="Times New Roman" w:hAnsi="Times New Roman" w:cs="Times New Roman"/>
        </w:rPr>
        <w:t>4</w:t>
      </w:r>
      <w:r>
        <w:rPr>
          <w:rFonts w:ascii="Times New Roman" w:hAnsi="Times New Roman" w:cs="Times New Roman"/>
        </w:rPr>
        <w:t>．产出成本。指标分值9分，实际得9分。</w:t>
      </w:r>
    </w:p>
    <w:p>
      <w:pPr>
        <w:ind w:firstLine="640"/>
      </w:pPr>
      <w:r>
        <w:t>C3</w:t>
      </w:r>
      <w:r>
        <w:rPr>
          <w:rFonts w:hint="eastAsia"/>
        </w:rPr>
        <w:t>4</w:t>
      </w:r>
      <w:r>
        <w:t>1．</w:t>
      </w:r>
      <w:r>
        <w:rPr>
          <w:rFonts w:hint="eastAsia"/>
        </w:rPr>
        <w:t>企业资金配比情况</w:t>
      </w:r>
      <w:r>
        <w:t>。指标分值9分，实际得9分。</w:t>
      </w:r>
    </w:p>
    <w:p>
      <w:pPr>
        <w:ind w:firstLine="640"/>
      </w:pPr>
      <w:r>
        <w:t>该项指标</w:t>
      </w:r>
      <w:r>
        <w:rPr>
          <w:rFonts w:hint="eastAsia"/>
        </w:rPr>
        <w:t>用以反映除政府专项资金以外，企业对项目的支持力度</w:t>
      </w:r>
      <w:r>
        <w:t>。</w:t>
      </w:r>
      <w:r>
        <w:rPr>
          <w:rFonts w:hint="eastAsia"/>
        </w:rPr>
        <w:t>按照项目通知要求，项目实施企业做到资金1:1配比工作，企业资金配比率=（企业配比资金合计/财政专项资金）×100%。得</w:t>
      </w:r>
      <w:r>
        <w:t>分明细如下：</w:t>
      </w:r>
    </w:p>
    <w:p>
      <w:pPr>
        <w:ind w:firstLine="640"/>
      </w:pPr>
      <w:r>
        <w:rPr>
          <w:rFonts w:hint="eastAsia"/>
        </w:rPr>
        <w:t>根据《支持中石油云南石化扩销增产消费券专项资金使用情况表》财政拨付的专项资金30,000,000.00元，实施企业自筹配比资金合计</w:t>
      </w:r>
      <w:r>
        <w:t>56,901,823.91</w:t>
      </w:r>
      <w:r>
        <w:rPr>
          <w:rFonts w:hint="eastAsia"/>
        </w:rPr>
        <w:t>元，企业资金配比率为</w:t>
      </w:r>
      <w:r>
        <w:t>189.67%。根据评分标准得9分。</w:t>
      </w:r>
    </w:p>
    <w:p>
      <w:pPr>
        <w:pStyle w:val="4"/>
        <w:ind w:firstLine="640"/>
      </w:pPr>
      <w:bookmarkStart w:id="54" w:name="_Toc154395810"/>
      <w:r>
        <w:t>D4．项目效益情况分析</w:t>
      </w:r>
      <w:bookmarkEnd w:id="54"/>
    </w:p>
    <w:p>
      <w:pPr>
        <w:ind w:firstLine="640"/>
      </w:pPr>
      <w:r>
        <w:t>项目效益类指标由2个二级指标，4个三级指标构成，指标分值24分，实际得分为24分。其中满分三级指标4个，扣分三级指标0个。各指标得分情况明细如下：</w:t>
      </w:r>
    </w:p>
    <w:tbl>
      <w:tblPr>
        <w:tblStyle w:val="21"/>
        <w:tblW w:w="8296" w:type="dxa"/>
        <w:tblInd w:w="0" w:type="dxa"/>
        <w:tblLayout w:type="fixed"/>
        <w:tblCellMar>
          <w:top w:w="0" w:type="dxa"/>
          <w:left w:w="108" w:type="dxa"/>
          <w:bottom w:w="0" w:type="dxa"/>
          <w:right w:w="108" w:type="dxa"/>
        </w:tblCellMar>
      </w:tblPr>
      <w:tblGrid>
        <w:gridCol w:w="1049"/>
        <w:gridCol w:w="1498"/>
        <w:gridCol w:w="1702"/>
        <w:gridCol w:w="1229"/>
        <w:gridCol w:w="1321"/>
        <w:gridCol w:w="1497"/>
      </w:tblGrid>
      <w:tr>
        <w:tblPrEx>
          <w:tblLayout w:type="fixed"/>
          <w:tblCellMar>
            <w:top w:w="0" w:type="dxa"/>
            <w:left w:w="108" w:type="dxa"/>
            <w:bottom w:w="0" w:type="dxa"/>
            <w:right w:w="108" w:type="dxa"/>
          </w:tblCellMar>
        </w:tblPrEx>
        <w:trPr>
          <w:trHeight w:val="285"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指标分值</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20"/>
                <w:szCs w:val="20"/>
              </w:rPr>
            </w:pPr>
            <w:r>
              <w:rPr>
                <w:rFonts w:hint="eastAsia" w:ascii="宋体" w:hAnsi="宋体" w:eastAsia="宋体" w:cs="宋体"/>
                <w:b/>
                <w:bCs/>
                <w:kern w:val="0"/>
                <w:sz w:val="20"/>
                <w:szCs w:val="20"/>
              </w:rPr>
              <w:t>得分</w:t>
            </w:r>
          </w:p>
        </w:tc>
      </w:tr>
      <w:tr>
        <w:tblPrEx>
          <w:tblLayout w:type="fixed"/>
          <w:tblCellMar>
            <w:top w:w="0" w:type="dxa"/>
            <w:left w:w="108" w:type="dxa"/>
            <w:bottom w:w="0" w:type="dxa"/>
            <w:right w:w="108" w:type="dxa"/>
          </w:tblCellMar>
        </w:tblPrEx>
        <w:trPr>
          <w:trHeight w:val="285" w:hRule="atLeast"/>
        </w:trPr>
        <w:tc>
          <w:tcPr>
            <w:tcW w:w="10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(24分)</w:t>
            </w:r>
          </w:p>
        </w:tc>
        <w:tc>
          <w:tcPr>
            <w:tcW w:w="14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D41项目效益（18分）</w:t>
            </w:r>
          </w:p>
        </w:tc>
        <w:tc>
          <w:tcPr>
            <w:tcW w:w="17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D411社会效益</w:t>
            </w:r>
          </w:p>
        </w:tc>
        <w:tc>
          <w:tcPr>
            <w:tcW w:w="1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效益提升</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Layout w:type="fixed"/>
          <w:tblCellMar>
            <w:top w:w="0" w:type="dxa"/>
            <w:left w:w="108" w:type="dxa"/>
            <w:bottom w:w="0" w:type="dxa"/>
            <w:right w:w="108" w:type="dxa"/>
          </w:tblCellMar>
        </w:tblPrEx>
        <w:trPr>
          <w:trHeight w:val="285" w:hRule="atLeast"/>
        </w:trPr>
        <w:tc>
          <w:tcPr>
            <w:tcW w:w="104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7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D412经济效益</w:t>
            </w:r>
          </w:p>
        </w:tc>
        <w:tc>
          <w:tcPr>
            <w:tcW w:w="1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效益提升</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Layout w:type="fixed"/>
          <w:tblCellMar>
            <w:top w:w="0" w:type="dxa"/>
            <w:left w:w="108" w:type="dxa"/>
            <w:bottom w:w="0" w:type="dxa"/>
            <w:right w:w="108" w:type="dxa"/>
          </w:tblCellMar>
        </w:tblPrEx>
        <w:trPr>
          <w:trHeight w:val="480" w:hRule="atLeast"/>
        </w:trPr>
        <w:tc>
          <w:tcPr>
            <w:tcW w:w="104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7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D413可持续发展</w:t>
            </w:r>
          </w:p>
        </w:tc>
        <w:tc>
          <w:tcPr>
            <w:tcW w:w="1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效益提升</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Layout w:type="fixed"/>
          <w:tblCellMar>
            <w:top w:w="0" w:type="dxa"/>
            <w:left w:w="108" w:type="dxa"/>
            <w:bottom w:w="0" w:type="dxa"/>
            <w:right w:w="108" w:type="dxa"/>
          </w:tblCellMar>
        </w:tblPrEx>
        <w:trPr>
          <w:trHeight w:val="480" w:hRule="atLeast"/>
        </w:trPr>
        <w:tc>
          <w:tcPr>
            <w:tcW w:w="104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eastAsia="宋体" w:cs="宋体"/>
                <w:kern w:val="0"/>
                <w:sz w:val="20"/>
                <w:szCs w:val="20"/>
              </w:rPr>
            </w:pPr>
          </w:p>
        </w:tc>
        <w:tc>
          <w:tcPr>
            <w:tcW w:w="1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0"/>
                <w:szCs w:val="20"/>
              </w:rPr>
            </w:pPr>
            <w:r>
              <w:rPr>
                <w:rFonts w:hint="eastAsia" w:ascii="宋体" w:hAnsi="宋体" w:eastAsia="宋体" w:cs="宋体"/>
                <w:kern w:val="0"/>
                <w:sz w:val="20"/>
                <w:szCs w:val="20"/>
              </w:rPr>
              <w:t>D42社会满意度（6分）</w:t>
            </w:r>
          </w:p>
        </w:tc>
        <w:tc>
          <w:tcPr>
            <w:tcW w:w="17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kern w:val="0"/>
                <w:sz w:val="20"/>
                <w:szCs w:val="20"/>
              </w:rPr>
            </w:pPr>
            <w:r>
              <w:rPr>
                <w:rFonts w:hint="eastAsia" w:ascii="宋体" w:hAnsi="宋体" w:eastAsia="宋体" w:cs="宋体"/>
                <w:kern w:val="0"/>
                <w:sz w:val="20"/>
                <w:szCs w:val="20"/>
              </w:rPr>
              <w:t>D421服务对象满意度</w:t>
            </w:r>
          </w:p>
        </w:tc>
        <w:tc>
          <w:tcPr>
            <w:tcW w:w="1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满意</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bl>
    <w:p>
      <w:pPr>
        <w:pStyle w:val="5"/>
        <w:ind w:firstLine="640"/>
        <w:rPr>
          <w:rFonts w:ascii="Times New Roman" w:hAnsi="Times New Roman" w:cs="Times New Roman"/>
        </w:rPr>
      </w:pPr>
      <w:r>
        <w:rPr>
          <w:rFonts w:ascii="Times New Roman" w:hAnsi="Times New Roman" w:cs="Times New Roman"/>
        </w:rPr>
        <w:t>D41．项目效益。指标分值18分，实际得18分。</w:t>
      </w:r>
    </w:p>
    <w:p>
      <w:pPr>
        <w:ind w:firstLine="640"/>
      </w:pPr>
      <w:r>
        <w:t>D411．社会效益。指标分值6分，实际得6分。</w:t>
      </w:r>
    </w:p>
    <w:p>
      <w:pPr>
        <w:ind w:firstLine="640"/>
      </w:pPr>
      <w:r>
        <w:t>该项目指标用以反映项目实施对社会发展所带来的直接或间接影响情况。得分明细如下：</w:t>
      </w:r>
    </w:p>
    <w:p>
      <w:pPr>
        <w:ind w:firstLine="640"/>
      </w:pPr>
      <w:r>
        <w:rPr>
          <w:rFonts w:hint="eastAsia"/>
        </w:rPr>
        <w:t>根据项目实施单位中国石油天然气股份有限公司云南昆明销售分公司会计凭证和《项目绩效目标子自评表》，该企业已经实现专项资金活动内容按规定诚信纳税；相关行业就业岗位增加95人，大于绩效指标要求的2</w:t>
      </w:r>
      <w:r>
        <w:t>0</w:t>
      </w:r>
      <w:r>
        <w:rPr>
          <w:rFonts w:hint="eastAsia"/>
        </w:rPr>
        <w:t>人。</w:t>
      </w:r>
      <w:r>
        <w:t>根据评分标准得6分。</w:t>
      </w:r>
    </w:p>
    <w:p>
      <w:pPr>
        <w:ind w:firstLine="640"/>
      </w:pPr>
      <w:r>
        <w:t>D412．经济效益。指标分值6分，实际得6分。</w:t>
      </w:r>
    </w:p>
    <w:p>
      <w:pPr>
        <w:ind w:firstLine="640"/>
      </w:pPr>
      <w:r>
        <w:t>该项目指标用以反映项目实施对经济发展所带来的直接或间接影响情况。得分明细如下：</w:t>
      </w:r>
    </w:p>
    <w:p>
      <w:pPr>
        <w:ind w:firstLine="640"/>
      </w:pPr>
      <w:r>
        <w:rPr>
          <w:rFonts w:hint="eastAsia"/>
        </w:rPr>
        <w:t>根据《昆明市财政局、昆明市商务局关于下达支持中石油云南石化扩销增产消费券资金的通知》（昆财产业〔2022〕160号）及附件的要求，该专项资金的</w:t>
      </w:r>
      <w:r>
        <w:t>经济效益</w:t>
      </w:r>
      <w:r>
        <w:rPr>
          <w:rFonts w:hint="eastAsia"/>
        </w:rPr>
        <w:t>指标为拉动油品消费2亿元。项目实施单位中国石油天然气股份有限公司云南昆明销售分公司提供数据显示，活动项目完成后实际拉动消费合计8.97亿元，</w:t>
      </w:r>
      <w:r>
        <w:t>根据评分标准得6分。</w:t>
      </w:r>
    </w:p>
    <w:p>
      <w:pPr>
        <w:ind w:firstLine="640"/>
      </w:pPr>
      <w:r>
        <w:t>D413．可持续发展。指标分值6分，实际得6分。</w:t>
      </w:r>
    </w:p>
    <w:p>
      <w:pPr>
        <w:ind w:firstLine="640"/>
      </w:pPr>
      <w:r>
        <w:t>该项目指标用以反映项目后续运行及成效发挥的可持续影响情况。得分明细如下：</w:t>
      </w:r>
    </w:p>
    <w:p>
      <w:pPr>
        <w:pStyle w:val="8"/>
        <w:ind w:firstLine="640"/>
      </w:pPr>
      <w:r>
        <w:rPr>
          <w:rFonts w:hint="eastAsia"/>
        </w:rPr>
        <w:t>根据项目实施单位中国石油天然气股份有限公司云南昆明销售分公司提供《关于昆明市政府专项促销资金使用情况的说明》内容，支持中石油云南石化扩销增产消费券专项资金所投入活动项目实现了对安宁市石化产品的扩销增产，</w:t>
      </w:r>
      <w:r>
        <w:t>根据评分标准得6分。</w:t>
      </w:r>
    </w:p>
    <w:p>
      <w:pPr>
        <w:pStyle w:val="5"/>
        <w:ind w:firstLine="640"/>
        <w:rPr>
          <w:rFonts w:ascii="Times New Roman" w:hAnsi="Times New Roman" w:cs="Times New Roman"/>
        </w:rPr>
      </w:pPr>
      <w:r>
        <w:rPr>
          <w:rFonts w:ascii="Times New Roman" w:hAnsi="Times New Roman" w:cs="Times New Roman"/>
        </w:rPr>
        <w:t>D42．社会满意度。指标分值6分，实际得6分。</w:t>
      </w:r>
    </w:p>
    <w:p>
      <w:pPr>
        <w:ind w:firstLine="640"/>
      </w:pPr>
      <w:r>
        <w:t>D421．服务对象满意度。指标分值6分，实际得6分。</w:t>
      </w:r>
    </w:p>
    <w:p>
      <w:pPr>
        <w:ind w:firstLine="640"/>
      </w:pPr>
      <w:bookmarkStart w:id="55" w:name="_Toc6792"/>
      <w:r>
        <w:t>该指标</w:t>
      </w:r>
      <w:r>
        <w:rPr>
          <w:rFonts w:hint="eastAsia"/>
        </w:rPr>
        <w:t>通过第三方问卷调查结果，了解相关对象对于项目开展的满意度。</w:t>
      </w:r>
    </w:p>
    <w:p>
      <w:pPr>
        <w:ind w:firstLine="640"/>
      </w:pPr>
      <w:r>
        <w:rPr>
          <w:rFonts w:hint="eastAsia"/>
        </w:rPr>
        <w:t>根据项目实施企业出具的《云南加油站顾客满意度项目分析报告》，</w:t>
      </w:r>
      <w:r>
        <w:t>本次</w:t>
      </w:r>
      <w:r>
        <w:rPr>
          <w:rFonts w:hint="eastAsia"/>
        </w:rPr>
        <w:t>满意度</w:t>
      </w:r>
      <w:r>
        <w:t>问卷调查</w:t>
      </w:r>
      <w:r>
        <w:rPr>
          <w:rFonts w:hint="eastAsia"/>
        </w:rPr>
        <w:t>昆明市</w:t>
      </w:r>
      <w:r>
        <w:t>实际发放问卷</w:t>
      </w:r>
      <w:r>
        <w:rPr>
          <w:rFonts w:hint="eastAsia"/>
        </w:rPr>
        <w:t>4</w:t>
      </w:r>
      <w:r>
        <w:t>90份，</w:t>
      </w:r>
      <w:r>
        <w:rPr>
          <w:rFonts w:hint="eastAsia"/>
        </w:rPr>
        <w:t>调查对象为中国石油云南销售公司加油站接受服务的顾客，调查时间为2</w:t>
      </w:r>
      <w:r>
        <w:t>023</w:t>
      </w:r>
      <w:r>
        <w:rPr>
          <w:rFonts w:hint="eastAsia"/>
        </w:rPr>
        <w:t>年4-</w:t>
      </w:r>
      <w:r>
        <w:t>6</w:t>
      </w:r>
      <w:r>
        <w:rPr>
          <w:rFonts w:hint="eastAsia"/>
        </w:rPr>
        <w:t>月，昆明市油品优惠促销满意度为9</w:t>
      </w:r>
      <w:r>
        <w:t>4.49</w:t>
      </w:r>
      <w:r>
        <w:rPr>
          <w:rFonts w:hint="eastAsia"/>
        </w:rPr>
        <w:t>分，总体满意度9</w:t>
      </w:r>
      <w:r>
        <w:t>6.76</w:t>
      </w:r>
      <w:r>
        <w:rPr>
          <w:rFonts w:hint="eastAsia"/>
        </w:rPr>
        <w:t>分。</w:t>
      </w:r>
    </w:p>
    <w:p>
      <w:pPr>
        <w:ind w:firstLine="640"/>
      </w:pPr>
      <w:r>
        <w:t>满意度评分过程。根据</w:t>
      </w:r>
      <w:r>
        <w:rPr>
          <w:rFonts w:hint="eastAsia"/>
        </w:rPr>
        <w:t>以上第三方</w:t>
      </w:r>
      <w:r>
        <w:t>调查问卷</w:t>
      </w:r>
      <w:r>
        <w:rPr>
          <w:rFonts w:hint="eastAsia"/>
        </w:rPr>
        <w:t>结果，</w:t>
      </w:r>
      <w:r>
        <w:t>综合满意度</w:t>
      </w:r>
      <w:r>
        <w:rPr>
          <w:rFonts w:hint="eastAsia" w:ascii="仿宋_GB2312" w:hAnsi="仿宋_GB2312" w:cs="仿宋_GB2312"/>
        </w:rPr>
        <w:t>≥</w:t>
      </w:r>
      <w:r>
        <w:t>90%，得6分</w:t>
      </w:r>
      <w:r>
        <w:rPr>
          <w:rFonts w:hint="eastAsia"/>
        </w:rPr>
        <w:t>；</w:t>
      </w:r>
      <w:r>
        <w:t>满意度</w:t>
      </w:r>
      <w:r>
        <w:rPr>
          <w:rFonts w:hint="eastAsia"/>
        </w:rPr>
        <w:t>每降低5%，扣1分，扣完为止</w:t>
      </w:r>
      <w:r>
        <w:t>。经统计，综合满意度为95.63%，根据评分标准得6分。</w:t>
      </w:r>
    </w:p>
    <w:p>
      <w:pPr>
        <w:pStyle w:val="3"/>
        <w:ind w:firstLine="643"/>
        <w:rPr>
          <w:rFonts w:ascii="Times New Roman" w:hAnsi="Times New Roman" w:cs="Times New Roman"/>
        </w:rPr>
      </w:pPr>
      <w:bookmarkStart w:id="56" w:name="_Toc154395811"/>
      <w:r>
        <w:rPr>
          <w:rFonts w:ascii="Times New Roman" w:hAnsi="Times New Roman" w:cs="Times New Roman"/>
        </w:rPr>
        <w:t>五、主要经验及做法、存在的问题及原因分析</w:t>
      </w:r>
      <w:bookmarkEnd w:id="55"/>
      <w:bookmarkEnd w:id="56"/>
    </w:p>
    <w:p>
      <w:pPr>
        <w:pStyle w:val="4"/>
        <w:ind w:firstLine="640"/>
      </w:pPr>
      <w:bookmarkStart w:id="57" w:name="_Toc154395812"/>
      <w:r>
        <w:t>（一）项目</w:t>
      </w:r>
      <w:bookmarkStart w:id="58" w:name="_Hlk148475113"/>
      <w:r>
        <w:t>主要经验及做法</w:t>
      </w:r>
      <w:bookmarkEnd w:id="57"/>
      <w:bookmarkEnd w:id="58"/>
    </w:p>
    <w:p>
      <w:pPr>
        <w:ind w:firstLine="640"/>
      </w:pPr>
      <w:r>
        <w:rPr>
          <w:rFonts w:hint="eastAsia"/>
        </w:rPr>
        <w:t>项目实施企业按照上级专项资金配比要求，加大活动投入，实现石化扩销增产等目标。</w:t>
      </w:r>
    </w:p>
    <w:p>
      <w:pPr>
        <w:ind w:firstLine="640"/>
      </w:pPr>
      <w:r>
        <w:rPr>
          <w:rFonts w:hint="eastAsia"/>
        </w:rPr>
        <w:t>按照昆明市商务局、昆明市财政局2022年11月17日联合下达的《关于下达支持中石油云南石化扩销增产消费券资金的通知》（昆财产业〔2022〕160号）要求，扶持中国石油云南石化扩销增产资金3000万元企业做好资金1:1配套投入，用于昆明地区成品油消费，目标是实现新服务客户1.48万户，拉动油品消费2亿元，增加就业岗位20人以上。</w:t>
      </w:r>
    </w:p>
    <w:p>
      <w:pPr>
        <w:ind w:firstLine="640"/>
      </w:pPr>
      <w:r>
        <w:rPr>
          <w:rFonts w:hint="eastAsia"/>
        </w:rPr>
        <w:t>项目实施企业中国石油天然气股份有限公司云南昆明销售分公司按照《中国石油昆明公司年终专项营销方案》内容实施该促销活动，实际投入活动项目配比资金</w:t>
      </w:r>
      <w:r>
        <w:t>56,901,823.91</w:t>
      </w:r>
      <w:r>
        <w:rPr>
          <w:rFonts w:hint="eastAsia"/>
        </w:rPr>
        <w:t>元，较目标要求增加投入</w:t>
      </w:r>
      <w:r>
        <w:t>26,901,823.91</w:t>
      </w:r>
      <w:r>
        <w:rPr>
          <w:rFonts w:hint="eastAsia"/>
        </w:rPr>
        <w:t>元；实现新增会员客户10.82万户，较目标要求增加</w:t>
      </w:r>
      <w:r>
        <w:t>9.34</w:t>
      </w:r>
      <w:r>
        <w:rPr>
          <w:rFonts w:hint="eastAsia"/>
        </w:rPr>
        <w:t>万户；实现零售总额增长8.97亿元，较目标要求增加6.97亿元；增加社会就业岗位95人，较目标增加75人；根据第三方顾客满意度问卷调查结果，昆明市油品优惠促销满意度为94.49%。从专项资金使用结果和促销活动执行效果反映，该项目石化扩销增产等目标基本实现。</w:t>
      </w:r>
    </w:p>
    <w:p>
      <w:pPr>
        <w:pStyle w:val="4"/>
        <w:ind w:firstLine="640"/>
      </w:pPr>
      <w:bookmarkStart w:id="59" w:name="_Toc154395813"/>
      <w:r>
        <w:t>（二）存在的主要问题及原因分析</w:t>
      </w:r>
      <w:bookmarkEnd w:id="59"/>
    </w:p>
    <w:p>
      <w:pPr>
        <w:ind w:firstLine="640"/>
      </w:pPr>
      <w:bookmarkStart w:id="60" w:name="_Toc2903"/>
      <w:bookmarkStart w:id="68" w:name="_GoBack"/>
      <w:r>
        <w:rPr>
          <w:rFonts w:hint="eastAsia"/>
        </w:rPr>
        <w:t>1</w:t>
      </w:r>
      <w:r>
        <w:t>．</w:t>
      </w:r>
      <w:r>
        <w:rPr>
          <w:rFonts w:hint="eastAsia"/>
        </w:rPr>
        <w:t>具体实施方案内的个别活动因资金分配等原因，未能实际执行。</w:t>
      </w:r>
    </w:p>
    <w:p>
      <w:pPr>
        <w:ind w:firstLine="640"/>
      </w:pPr>
      <w:r>
        <w:rPr>
          <w:rFonts w:hint="eastAsia"/>
        </w:rPr>
        <w:t>根据项目实施企业编制的《中国石油昆明公司年终专项营销方案》内容，预计将“配送销售”纳入支持中石油云南石化扩销增产消费券专项资金的活动项目中，预计费用130万元，拉动消费1300万元。但在实际执行过程中，因专项资金和配比资金分配等原因，未能在本项目内实际执行。</w:t>
      </w:r>
    </w:p>
    <w:bookmarkEnd w:id="68"/>
    <w:p>
      <w:pPr>
        <w:ind w:firstLine="640"/>
      </w:pPr>
      <w:r>
        <w:rPr>
          <w:rFonts w:hint="eastAsia"/>
        </w:rPr>
        <w:t>2</w:t>
      </w:r>
      <w:r>
        <w:t>．</w:t>
      </w:r>
      <w:r>
        <w:rPr>
          <w:rFonts w:hint="eastAsia"/>
        </w:rPr>
        <w:t>项目执行过程中，整体推进缓慢，导致活动项目延期完成。</w:t>
      </w:r>
    </w:p>
    <w:p>
      <w:pPr>
        <w:ind w:firstLine="640"/>
      </w:pPr>
      <w:r>
        <w:rPr>
          <w:rFonts w:hint="eastAsia"/>
        </w:rPr>
        <w:t>根据《昆明市财政局、昆明市商务局关于下达支持中石油云南石化扩销增产消费券资金的通知》（昆财产业〔2022〕160号）后附《项目绩效目标评价表》，项目实施期为2022年11月15日至2023年2月28日；根据项目实施企业《关于昆明市政府专项促销资金使用情况的说明》及《项目绩效目标自评表》，项目实际执行期间为2022年12月1日至2023年3月31日。由于项目前期工作推进不够及时，导致项目实现执行期间未能按照下达通知的期间执行。</w:t>
      </w:r>
    </w:p>
    <w:p>
      <w:pPr>
        <w:ind w:firstLine="640"/>
      </w:pPr>
      <w:r>
        <w:t>3．</w:t>
      </w:r>
      <w:r>
        <w:rPr>
          <w:rFonts w:hint="eastAsia"/>
        </w:rPr>
        <w:t>项目管理单位未能及时建立项目档案管理。</w:t>
      </w:r>
    </w:p>
    <w:p>
      <w:pPr>
        <w:ind w:firstLine="640"/>
      </w:pPr>
      <w:r>
        <w:rPr>
          <w:rFonts w:hint="eastAsia"/>
        </w:rPr>
        <w:t>因活动范围较广，活动实际延期等，项目管理单位暂未能建立较为完整的项目档案。支持中石油云南石化扩销增产消费券专项资金的具体使用情况，在评价期间，由项目实施企业重新收集、整理才能完整体现。由于项目档案资料缺失，导致项目管理单位不能全面掌握项目专项资金的具体使用情况。</w:t>
      </w:r>
    </w:p>
    <w:p>
      <w:pPr>
        <w:pStyle w:val="3"/>
        <w:ind w:firstLine="643"/>
        <w:rPr>
          <w:rFonts w:ascii="Times New Roman" w:hAnsi="Times New Roman" w:cs="Times New Roman"/>
        </w:rPr>
      </w:pPr>
      <w:bookmarkStart w:id="61" w:name="_Toc154395814"/>
      <w:r>
        <w:rPr>
          <w:rFonts w:ascii="Times New Roman" w:hAnsi="Times New Roman" w:cs="Times New Roman"/>
        </w:rPr>
        <w:t>六、相关建议和措施</w:t>
      </w:r>
      <w:bookmarkEnd w:id="60"/>
      <w:bookmarkEnd w:id="61"/>
    </w:p>
    <w:p>
      <w:pPr>
        <w:pStyle w:val="4"/>
        <w:ind w:firstLine="640"/>
      </w:pPr>
      <w:bookmarkStart w:id="62" w:name="_Toc154395815"/>
      <w:bookmarkStart w:id="63" w:name="_Toc9205"/>
      <w:bookmarkStart w:id="64" w:name="_Hlk148475156"/>
      <w:r>
        <w:t>（一）</w:t>
      </w:r>
      <w:r>
        <w:rPr>
          <w:rFonts w:hint="eastAsia"/>
        </w:rPr>
        <w:t>合理规划、分配和及时使用政府专项资金。</w:t>
      </w:r>
      <w:bookmarkEnd w:id="62"/>
    </w:p>
    <w:p>
      <w:pPr>
        <w:ind w:firstLine="640"/>
      </w:pPr>
      <w:r>
        <w:rPr>
          <w:rFonts w:hint="eastAsia"/>
        </w:rPr>
        <w:t>建议项目管理单位与项目实施企业在专项资金申请初期，一起完成项目工作计划或实施方案，包括资金拨付时间；资金使用范围；项目完成时间和项目成果提交等事项均建议列入实施方案，并严格按照方案执行。避免项目管理单位与项目实施企业由于缺乏沟通，导致实际执行与实施方案产生偏差的情况。</w:t>
      </w:r>
    </w:p>
    <w:p>
      <w:pPr>
        <w:pStyle w:val="4"/>
        <w:ind w:firstLine="640"/>
      </w:pPr>
      <w:bookmarkStart w:id="65" w:name="_Toc154395816"/>
      <w:r>
        <w:rPr>
          <w:rFonts w:hint="eastAsia"/>
        </w:rPr>
        <w:t>（二）建议项目实施企业对政府专项资金进行专账管理。</w:t>
      </w:r>
      <w:bookmarkEnd w:id="65"/>
    </w:p>
    <w:p>
      <w:pPr>
        <w:ind w:firstLine="640"/>
      </w:pPr>
      <w:r>
        <w:rPr>
          <w:rFonts w:hint="eastAsia"/>
        </w:rPr>
        <w:t>建设项目实施企业在政府专项资金的使用过程中，为专项资金设立独立账套或科目进行核算，并编制独立会计凭证及附件，明确专项资金的独立现金流及具体使用事项，为政府专项资金的“专款专用”要求提供准确及可靠的依据。</w:t>
      </w:r>
    </w:p>
    <w:p>
      <w:pPr>
        <w:pStyle w:val="4"/>
        <w:ind w:firstLine="640"/>
      </w:pPr>
      <w:bookmarkStart w:id="66" w:name="_Toc154395817"/>
      <w:r>
        <w:t>（</w:t>
      </w:r>
      <w:r>
        <w:rPr>
          <w:rFonts w:hint="eastAsia"/>
        </w:rPr>
        <w:t>三</w:t>
      </w:r>
      <w:r>
        <w:t>）</w:t>
      </w:r>
      <w:r>
        <w:rPr>
          <w:rFonts w:hint="eastAsia"/>
        </w:rPr>
        <w:t>项目管理单位加强对财政专项资金使用的过程管理，做好绩效评价自评工作。</w:t>
      </w:r>
      <w:bookmarkEnd w:id="66"/>
    </w:p>
    <w:p>
      <w:pPr>
        <w:ind w:firstLine="640"/>
      </w:pPr>
      <w:r>
        <w:rPr>
          <w:rFonts w:hint="eastAsia"/>
        </w:rPr>
        <w:t>建议项目管理单位按照《安宁市预算绩效管理暂行办法》，加强对重点预算项目的全过程管理，完成绩效评价的自评工作，完善项目资料的收集和档案管理，掌握项目的具体进度和实施情况，监督项目实施单位按照相关要求按时、按质、按量完成项目。</w:t>
      </w:r>
    </w:p>
    <w:p>
      <w:pPr>
        <w:pStyle w:val="3"/>
        <w:ind w:firstLine="643"/>
        <w:rPr>
          <w:rFonts w:ascii="Times New Roman" w:hAnsi="Times New Roman" w:cs="Times New Roman"/>
        </w:rPr>
      </w:pPr>
      <w:bookmarkStart w:id="67" w:name="_Toc154395818"/>
      <w:r>
        <w:rPr>
          <w:rFonts w:ascii="Times New Roman" w:hAnsi="Times New Roman" w:cs="Times New Roman"/>
        </w:rPr>
        <w:t>七、其</w:t>
      </w:r>
      <w:r>
        <w:rPr>
          <w:rFonts w:hint="eastAsia" w:ascii="Times New Roman" w:hAnsi="Times New Roman" w:cs="Times New Roman"/>
        </w:rPr>
        <w:t>他</w:t>
      </w:r>
      <w:r>
        <w:rPr>
          <w:rFonts w:ascii="Times New Roman" w:hAnsi="Times New Roman" w:cs="Times New Roman"/>
        </w:rPr>
        <w:t>需要说明的</w:t>
      </w:r>
      <w:bookmarkEnd w:id="63"/>
      <w:r>
        <w:rPr>
          <w:rFonts w:hint="eastAsia" w:ascii="Times New Roman" w:hAnsi="Times New Roman" w:cs="Times New Roman"/>
        </w:rPr>
        <w:t>事项</w:t>
      </w:r>
      <w:bookmarkEnd w:id="67"/>
    </w:p>
    <w:bookmarkEnd w:id="64"/>
    <w:p>
      <w:pPr>
        <w:ind w:firstLine="640"/>
      </w:pPr>
      <w:r>
        <w:t>无</w:t>
      </w:r>
      <w:r>
        <w:rPr>
          <w:rFonts w:hint="eastAsia"/>
        </w:rPr>
        <w:t>。</w:t>
      </w:r>
    </w:p>
    <w:p>
      <w:pPr>
        <w:ind w:firstLine="640"/>
      </w:pPr>
    </w:p>
    <w:p>
      <w:pPr>
        <w:ind w:firstLine="640"/>
        <w:rPr>
          <w:rFonts w:ascii="仿宋_GB2312"/>
        </w:rPr>
      </w:pPr>
      <w:r>
        <w:rPr>
          <w:rFonts w:hint="eastAsia" w:ascii="仿宋_GB2312"/>
        </w:rPr>
        <w:t>附件：</w:t>
      </w:r>
    </w:p>
    <w:p>
      <w:pPr>
        <w:ind w:firstLine="640"/>
        <w:jc w:val="left"/>
      </w:pPr>
      <w:r>
        <w:t>1．</w:t>
      </w:r>
      <w:r>
        <w:rPr>
          <w:rFonts w:hint="eastAsia"/>
        </w:rPr>
        <w:t>安宁市发展和改革局2022年度支持中石油云南石化扩销增产消费券专项资金绩效评价指标体系及评分</w:t>
      </w:r>
    </w:p>
    <w:p>
      <w:pPr>
        <w:spacing w:line="276" w:lineRule="auto"/>
        <w:ind w:left="-178" w:firstLine="640"/>
        <w:jc w:val="right"/>
      </w:pPr>
    </w:p>
    <w:p>
      <w:pPr>
        <w:spacing w:line="276" w:lineRule="auto"/>
        <w:ind w:left="-178" w:firstLine="640"/>
        <w:jc w:val="right"/>
      </w:pPr>
    </w:p>
    <w:p>
      <w:pPr>
        <w:snapToGrid w:val="0"/>
        <w:spacing w:line="600" w:lineRule="exact"/>
        <w:ind w:firstLine="697" w:firstLineChars="249"/>
        <w:rPr>
          <w:rFonts w:ascii="仿宋_GB2312" w:hAnsi="仿宋_GB2312" w:cs="仿宋_GB2312"/>
          <w:sz w:val="28"/>
          <w:szCs w:val="28"/>
        </w:rPr>
      </w:pPr>
      <w:r>
        <w:rPr>
          <w:rFonts w:hint="eastAsia" w:ascii="仿宋_GB2312" w:hAnsi="仿宋_GB2312" w:cs="仿宋_GB2312"/>
          <w:sz w:val="28"/>
          <w:szCs w:val="28"/>
        </w:rPr>
        <w:t>昆明正宇会计师事务所</w:t>
      </w:r>
      <w:r>
        <w:rPr>
          <w:rFonts w:hint="eastAsia" w:ascii="仿宋_GB2312" w:hAnsi="仿宋_GB2312" w:cs="仿宋_GB2312"/>
          <w:sz w:val="28"/>
          <w:szCs w:val="28"/>
        </w:rPr>
        <w:tab/>
      </w:r>
      <w:r>
        <w:rPr>
          <w:rFonts w:hint="eastAsia" w:ascii="仿宋_GB2312" w:hAnsi="仿宋_GB2312" w:cs="仿宋_GB2312"/>
          <w:sz w:val="28"/>
          <w:szCs w:val="28"/>
        </w:rPr>
        <w:t xml:space="preserve">       中国注册会计师：</w:t>
      </w:r>
    </w:p>
    <w:p>
      <w:pPr>
        <w:snapToGrid w:val="0"/>
        <w:spacing w:line="600" w:lineRule="exact"/>
        <w:ind w:firstLine="1528" w:firstLineChars="546"/>
        <w:rPr>
          <w:rFonts w:ascii="仿宋_GB2312" w:hAnsi="仿宋_GB2312" w:cs="仿宋_GB2312"/>
          <w:sz w:val="28"/>
          <w:szCs w:val="28"/>
        </w:rPr>
      </w:pPr>
      <w:r>
        <w:rPr>
          <w:rFonts w:hint="eastAsia" w:ascii="仿宋_GB2312" w:hAnsi="仿宋_GB2312" w:cs="仿宋_GB2312"/>
          <w:sz w:val="28"/>
          <w:szCs w:val="28"/>
        </w:rPr>
        <w:t>有限公司</w:t>
      </w:r>
    </w:p>
    <w:p>
      <w:pPr>
        <w:snapToGrid w:val="0"/>
        <w:spacing w:line="600" w:lineRule="exact"/>
        <w:ind w:firstLine="4712" w:firstLineChars="1683"/>
        <w:rPr>
          <w:rFonts w:ascii="仿宋_GB2312" w:hAnsi="仿宋_GB2312" w:cs="仿宋_GB2312"/>
          <w:sz w:val="28"/>
          <w:szCs w:val="28"/>
        </w:rPr>
      </w:pPr>
      <w:r>
        <w:rPr>
          <w:rFonts w:hint="eastAsia" w:ascii="仿宋_GB2312" w:hAnsi="仿宋_GB2312" w:cs="仿宋_GB2312"/>
          <w:sz w:val="28"/>
          <w:szCs w:val="28"/>
        </w:rPr>
        <w:t>中国注册会计师：</w:t>
      </w:r>
    </w:p>
    <w:p>
      <w:pPr>
        <w:snapToGrid w:val="0"/>
        <w:spacing w:line="600" w:lineRule="exact"/>
        <w:ind w:firstLine="4760" w:firstLineChars="1700"/>
        <w:rPr>
          <w:rFonts w:ascii="仿宋_GB2312" w:hAnsi="仿宋_GB2312" w:cs="仿宋_GB2312"/>
          <w:sz w:val="28"/>
          <w:szCs w:val="28"/>
        </w:rPr>
      </w:pPr>
    </w:p>
    <w:p>
      <w:pPr>
        <w:snapToGrid w:val="0"/>
        <w:spacing w:line="600" w:lineRule="exact"/>
        <w:ind w:firstLine="1400" w:firstLineChars="500"/>
        <w:rPr>
          <w:rFonts w:ascii="仿宋_GB2312" w:hAnsi="仿宋_GB2312" w:cs="仿宋_GB2312"/>
          <w:sz w:val="28"/>
          <w:szCs w:val="28"/>
        </w:rPr>
      </w:pPr>
      <w:r>
        <w:rPr>
          <w:rFonts w:hint="eastAsia" w:ascii="仿宋_GB2312" w:hAnsi="仿宋_GB2312" w:cs="仿宋_GB2312"/>
          <w:sz w:val="28"/>
          <w:szCs w:val="28"/>
        </w:rPr>
        <w:t>中国·昆明</w:t>
      </w:r>
      <w:r>
        <w:rPr>
          <w:rFonts w:hint="eastAsia" w:ascii="仿宋_GB2312" w:hAnsi="仿宋_GB2312" w:cs="仿宋_GB2312"/>
          <w:sz w:val="28"/>
          <w:szCs w:val="28"/>
        </w:rPr>
        <w:tab/>
      </w:r>
      <w:r>
        <w:rPr>
          <w:rFonts w:hint="eastAsia" w:ascii="仿宋_GB2312" w:hAnsi="仿宋_GB2312" w:cs="仿宋_GB2312"/>
          <w:sz w:val="28"/>
          <w:szCs w:val="28"/>
        </w:rPr>
        <w:t xml:space="preserve">         二○二三年十二月二十五日</w:t>
      </w:r>
    </w:p>
    <w:p>
      <w:pPr>
        <w:ind w:firstLine="0" w:firstLineChars="0"/>
        <w:jc w:val="left"/>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341410"/>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posOffset>2171700</wp:posOffset>
              </wp:positionH>
              <wp:positionV relativeFrom="paragraph">
                <wp:posOffset>-1270</wp:posOffset>
              </wp:positionV>
              <wp:extent cx="1158240" cy="1828800"/>
              <wp:effectExtent l="0" t="0" r="3810" b="10160"/>
              <wp:wrapNone/>
              <wp:docPr id="6" name="文本框 6"/>
              <wp:cNvGraphicFramePr/>
              <a:graphic xmlns:a="http://schemas.openxmlformats.org/drawingml/2006/main">
                <a:graphicData uri="http://schemas.microsoft.com/office/word/2010/wordprocessingShape">
                  <wps:wsp>
                    <wps:cNvSpPr txBox="1"/>
                    <wps:spPr>
                      <a:xfrm>
                        <a:off x="0" y="0"/>
                        <a:ext cx="1158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rPr>
                              <w:rFonts w:ascii="宋体" w:hAnsi="宋体" w:eastAsia="宋体"/>
                            </w:rPr>
                          </w:pPr>
                          <w:r>
                            <w:rPr>
                              <w:rFonts w:hint="eastAsia" w:ascii="宋体" w:hAnsi="宋体" w:eastAsia="宋体"/>
                            </w:rPr>
                            <w:t xml:space="preserve">摘要 </w:t>
                          </w:r>
                          <w:r>
                            <w:rPr>
                              <w:rFonts w:ascii="宋体" w:hAnsi="宋体" w:eastAsia="宋体"/>
                            </w:rPr>
                            <w:t xml:space="preserve">第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1pt;margin-top:-0.1pt;height:144pt;width:91.2pt;mso-position-horizontal-relative:margin;z-index:251661312;mso-width-relative:page;mso-height-relative:page;" filled="f" stroked="f" coordsize="21600,21600" o:gfxdata="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xj3z2AAAAAkBAAAPAAAA&#10;AAAAAAEAIAAAACIAAABkcnMvZG93bnJldi54bWxQSwECFAAUAAAACACHTuJArICyDxUCAAAJBAAA&#10;DgAAAAAAAAABACAAAAAnAQAAZHJzL2Uyb0RvYy54bWxQSwUGAAAAAAYABgBZAQAArgUAAAAA&#10;">
              <v:fill on="f" focussize="0,0"/>
              <v:stroke on="f" weight="0.5pt"/>
              <v:imagedata o:title=""/>
              <o:lock v:ext="edit" aspectratio="f"/>
              <v:textbox inset="0mm,0mm,0mm,0mm" style="mso-fit-shape-to-text:t;">
                <w:txbxContent>
                  <w:p>
                    <w:pPr>
                      <w:pStyle w:val="12"/>
                      <w:ind w:firstLine="360"/>
                      <w:rPr>
                        <w:rFonts w:ascii="宋体" w:hAnsi="宋体" w:eastAsia="宋体"/>
                      </w:rPr>
                    </w:pPr>
                    <w:r>
                      <w:rPr>
                        <w:rFonts w:hint="eastAsia" w:ascii="宋体" w:hAnsi="宋体" w:eastAsia="宋体"/>
                      </w:rPr>
                      <w:t xml:space="preserve">摘要 </w:t>
                    </w:r>
                    <w:r>
                      <w:rPr>
                        <w:rFonts w:ascii="宋体" w:hAnsi="宋体" w:eastAsia="宋体"/>
                      </w:rPr>
                      <w:t xml:space="preserve">第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posOffset>2171700</wp:posOffset>
              </wp:positionH>
              <wp:positionV relativeFrom="paragraph">
                <wp:posOffset>-1270</wp:posOffset>
              </wp:positionV>
              <wp:extent cx="1158240" cy="182880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158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rPr>
                              <w:rFonts w:ascii="宋体" w:hAnsi="宋体" w:eastAsia="宋体"/>
                            </w:rPr>
                          </w:pPr>
                          <w:r>
                            <w:rPr>
                              <w:rFonts w:hint="eastAsia" w:ascii="宋体" w:hAnsi="宋体" w:eastAsia="宋体"/>
                            </w:rPr>
                            <w:t xml:space="preserve">正文 </w:t>
                          </w:r>
                          <w:r>
                            <w:rPr>
                              <w:rFonts w:ascii="宋体" w:hAnsi="宋体" w:eastAsia="宋体"/>
                            </w:rPr>
                            <w:t xml:space="preserve">第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1pt;margin-top:-0.1pt;height:144pt;width:91.2pt;mso-position-horizontal-relative:margin;z-index:251662336;mso-width-relative:page;mso-height-relative:page;" filled="f" stroked="f" coordsize="21600,21600" o:gfxdata="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cY989gAAAAJAQAADwAA&#10;AAAAAAABACAAAAAiAAAAZHJzL2Rvd25yZXYueG1sUEsBAhQAFAAAAAgAh07iQI7MF30WAgAACQQA&#10;AA4AAAAAAAAAAQAgAAAAJwEAAGRycy9lMm9Eb2MueG1sUEsFBgAAAAAGAAYAWQEAAK8FAAAAAA==&#10;">
              <v:fill on="f" focussize="0,0"/>
              <v:stroke on="f" weight="0.5pt"/>
              <v:imagedata o:title=""/>
              <o:lock v:ext="edit" aspectratio="f"/>
              <v:textbox inset="0mm,0mm,0mm,0mm" style="mso-fit-shape-to-text:t;">
                <w:txbxContent>
                  <w:p>
                    <w:pPr>
                      <w:pStyle w:val="12"/>
                      <w:ind w:firstLine="360"/>
                      <w:rPr>
                        <w:rFonts w:ascii="宋体" w:hAnsi="宋体" w:eastAsia="宋体"/>
                      </w:rPr>
                    </w:pPr>
                    <w:r>
                      <w:rPr>
                        <w:rFonts w:hint="eastAsia" w:ascii="宋体" w:hAnsi="宋体" w:eastAsia="宋体"/>
                      </w:rPr>
                      <w:t xml:space="preserve">正文 </w:t>
                    </w:r>
                    <w:r>
                      <w:rPr>
                        <w:rFonts w:ascii="宋体" w:hAnsi="宋体" w:eastAsia="宋体"/>
                      </w:rPr>
                      <w:t xml:space="preserve">第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2022年度支持中石油云南石化扩销增产消费券专项资金项目支出绩效评价报告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2F5D"/>
    <w:multiLevelType w:val="multilevel"/>
    <w:tmpl w:val="31122F5D"/>
    <w:lvl w:ilvl="0" w:tentative="0">
      <w:start w:val="1"/>
      <w:numFmt w:val="chineseCountingThousand"/>
      <w:pStyle w:val="2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4ZTMzYzIyODFlYzc0N2EzZDRhMDI5NzI1MzgyNDUifQ=="/>
  </w:docVars>
  <w:rsids>
    <w:rsidRoot w:val="001C0412"/>
    <w:rsid w:val="00001D27"/>
    <w:rsid w:val="00002E7C"/>
    <w:rsid w:val="000048F5"/>
    <w:rsid w:val="000103AD"/>
    <w:rsid w:val="00011EEF"/>
    <w:rsid w:val="00012540"/>
    <w:rsid w:val="0001310E"/>
    <w:rsid w:val="000174C7"/>
    <w:rsid w:val="0002622D"/>
    <w:rsid w:val="000265DE"/>
    <w:rsid w:val="00032964"/>
    <w:rsid w:val="000329AA"/>
    <w:rsid w:val="000348A4"/>
    <w:rsid w:val="00053756"/>
    <w:rsid w:val="00056463"/>
    <w:rsid w:val="00057183"/>
    <w:rsid w:val="0006770A"/>
    <w:rsid w:val="00074F4C"/>
    <w:rsid w:val="00075B0F"/>
    <w:rsid w:val="000772F2"/>
    <w:rsid w:val="000A1B48"/>
    <w:rsid w:val="000A2078"/>
    <w:rsid w:val="000A29A5"/>
    <w:rsid w:val="000C17FF"/>
    <w:rsid w:val="000C4AE5"/>
    <w:rsid w:val="000D2286"/>
    <w:rsid w:val="000D7CA5"/>
    <w:rsid w:val="000D7F10"/>
    <w:rsid w:val="000F2876"/>
    <w:rsid w:val="001044BE"/>
    <w:rsid w:val="00106B33"/>
    <w:rsid w:val="00106C3B"/>
    <w:rsid w:val="00112F26"/>
    <w:rsid w:val="00116AB7"/>
    <w:rsid w:val="00123127"/>
    <w:rsid w:val="001343AE"/>
    <w:rsid w:val="00135A22"/>
    <w:rsid w:val="00142BAB"/>
    <w:rsid w:val="001445F0"/>
    <w:rsid w:val="001448D4"/>
    <w:rsid w:val="00146C13"/>
    <w:rsid w:val="001536E8"/>
    <w:rsid w:val="00154E13"/>
    <w:rsid w:val="001645AA"/>
    <w:rsid w:val="00165D78"/>
    <w:rsid w:val="001721AF"/>
    <w:rsid w:val="00182A6D"/>
    <w:rsid w:val="001833AD"/>
    <w:rsid w:val="00185216"/>
    <w:rsid w:val="00185D09"/>
    <w:rsid w:val="00192200"/>
    <w:rsid w:val="001932F7"/>
    <w:rsid w:val="00195C18"/>
    <w:rsid w:val="001A0015"/>
    <w:rsid w:val="001A270A"/>
    <w:rsid w:val="001A726C"/>
    <w:rsid w:val="001B217B"/>
    <w:rsid w:val="001B2849"/>
    <w:rsid w:val="001B2A49"/>
    <w:rsid w:val="001B51DB"/>
    <w:rsid w:val="001C0412"/>
    <w:rsid w:val="001C22AA"/>
    <w:rsid w:val="001D5A6E"/>
    <w:rsid w:val="001E15D7"/>
    <w:rsid w:val="001E3141"/>
    <w:rsid w:val="001E4F24"/>
    <w:rsid w:val="001F35FA"/>
    <w:rsid w:val="001F73FC"/>
    <w:rsid w:val="00201C27"/>
    <w:rsid w:val="002163F2"/>
    <w:rsid w:val="00216520"/>
    <w:rsid w:val="00221982"/>
    <w:rsid w:val="00225A27"/>
    <w:rsid w:val="00240102"/>
    <w:rsid w:val="002419AD"/>
    <w:rsid w:val="00241BA6"/>
    <w:rsid w:val="002448A8"/>
    <w:rsid w:val="00246315"/>
    <w:rsid w:val="0024786C"/>
    <w:rsid w:val="00247B21"/>
    <w:rsid w:val="00253808"/>
    <w:rsid w:val="0025712E"/>
    <w:rsid w:val="00265823"/>
    <w:rsid w:val="0026638B"/>
    <w:rsid w:val="00276A8A"/>
    <w:rsid w:val="00281CF5"/>
    <w:rsid w:val="0028222F"/>
    <w:rsid w:val="0028665F"/>
    <w:rsid w:val="0029081E"/>
    <w:rsid w:val="00290DB4"/>
    <w:rsid w:val="002951B8"/>
    <w:rsid w:val="002A005E"/>
    <w:rsid w:val="002A0EC3"/>
    <w:rsid w:val="002B2156"/>
    <w:rsid w:val="002B6BCF"/>
    <w:rsid w:val="002C1462"/>
    <w:rsid w:val="002C228A"/>
    <w:rsid w:val="002D307E"/>
    <w:rsid w:val="002D5B3C"/>
    <w:rsid w:val="002D78FF"/>
    <w:rsid w:val="002E0C62"/>
    <w:rsid w:val="002E3826"/>
    <w:rsid w:val="002E4799"/>
    <w:rsid w:val="002F126D"/>
    <w:rsid w:val="002F19D0"/>
    <w:rsid w:val="002F22EA"/>
    <w:rsid w:val="00300BBF"/>
    <w:rsid w:val="003258A8"/>
    <w:rsid w:val="00331B72"/>
    <w:rsid w:val="00331EE1"/>
    <w:rsid w:val="00332E04"/>
    <w:rsid w:val="00341B62"/>
    <w:rsid w:val="00344542"/>
    <w:rsid w:val="0035416A"/>
    <w:rsid w:val="00365218"/>
    <w:rsid w:val="00365FBF"/>
    <w:rsid w:val="00370008"/>
    <w:rsid w:val="0037030B"/>
    <w:rsid w:val="00375D4F"/>
    <w:rsid w:val="003763D3"/>
    <w:rsid w:val="00376875"/>
    <w:rsid w:val="003812B4"/>
    <w:rsid w:val="00382F5E"/>
    <w:rsid w:val="0039751A"/>
    <w:rsid w:val="003A1434"/>
    <w:rsid w:val="003A65D8"/>
    <w:rsid w:val="003B5C05"/>
    <w:rsid w:val="003C0B2F"/>
    <w:rsid w:val="003C60B5"/>
    <w:rsid w:val="003D31EC"/>
    <w:rsid w:val="003D5A01"/>
    <w:rsid w:val="003D67D9"/>
    <w:rsid w:val="003E02E0"/>
    <w:rsid w:val="003E0378"/>
    <w:rsid w:val="003E75F2"/>
    <w:rsid w:val="003F53A0"/>
    <w:rsid w:val="00401FD8"/>
    <w:rsid w:val="004024E9"/>
    <w:rsid w:val="004038CE"/>
    <w:rsid w:val="00406D0F"/>
    <w:rsid w:val="00411E58"/>
    <w:rsid w:val="00413A19"/>
    <w:rsid w:val="004143E5"/>
    <w:rsid w:val="0041544B"/>
    <w:rsid w:val="00415915"/>
    <w:rsid w:val="00416841"/>
    <w:rsid w:val="00422615"/>
    <w:rsid w:val="00433B01"/>
    <w:rsid w:val="00436CD6"/>
    <w:rsid w:val="00440E08"/>
    <w:rsid w:val="00444494"/>
    <w:rsid w:val="0045658E"/>
    <w:rsid w:val="00456A21"/>
    <w:rsid w:val="00457AE1"/>
    <w:rsid w:val="004615BD"/>
    <w:rsid w:val="0046201E"/>
    <w:rsid w:val="00462FB9"/>
    <w:rsid w:val="004645E4"/>
    <w:rsid w:val="00473738"/>
    <w:rsid w:val="004824EF"/>
    <w:rsid w:val="00485177"/>
    <w:rsid w:val="00485AE9"/>
    <w:rsid w:val="00492F88"/>
    <w:rsid w:val="004A16C8"/>
    <w:rsid w:val="004C1935"/>
    <w:rsid w:val="004C3713"/>
    <w:rsid w:val="004C7785"/>
    <w:rsid w:val="004D120C"/>
    <w:rsid w:val="004D388D"/>
    <w:rsid w:val="004D65E1"/>
    <w:rsid w:val="004E3677"/>
    <w:rsid w:val="004E44B3"/>
    <w:rsid w:val="004E4BFC"/>
    <w:rsid w:val="004E62E1"/>
    <w:rsid w:val="004F469E"/>
    <w:rsid w:val="004F602B"/>
    <w:rsid w:val="004F6CB4"/>
    <w:rsid w:val="004F702B"/>
    <w:rsid w:val="00500DC5"/>
    <w:rsid w:val="00501BBC"/>
    <w:rsid w:val="00503263"/>
    <w:rsid w:val="005058DB"/>
    <w:rsid w:val="00510BCA"/>
    <w:rsid w:val="00512FD3"/>
    <w:rsid w:val="0051446D"/>
    <w:rsid w:val="005173E3"/>
    <w:rsid w:val="00520B76"/>
    <w:rsid w:val="0052309E"/>
    <w:rsid w:val="00542605"/>
    <w:rsid w:val="00553244"/>
    <w:rsid w:val="00554081"/>
    <w:rsid w:val="00554996"/>
    <w:rsid w:val="00554AC8"/>
    <w:rsid w:val="00560777"/>
    <w:rsid w:val="00562153"/>
    <w:rsid w:val="00567A58"/>
    <w:rsid w:val="00574035"/>
    <w:rsid w:val="00576BF9"/>
    <w:rsid w:val="00581548"/>
    <w:rsid w:val="00581DAA"/>
    <w:rsid w:val="005A068D"/>
    <w:rsid w:val="005A1D9E"/>
    <w:rsid w:val="005A5EFD"/>
    <w:rsid w:val="005A6DBF"/>
    <w:rsid w:val="005B05A9"/>
    <w:rsid w:val="005B0E67"/>
    <w:rsid w:val="005B11FC"/>
    <w:rsid w:val="005B3357"/>
    <w:rsid w:val="005B34D7"/>
    <w:rsid w:val="005B3B48"/>
    <w:rsid w:val="005B3C5F"/>
    <w:rsid w:val="005C02EB"/>
    <w:rsid w:val="005C3373"/>
    <w:rsid w:val="005D7896"/>
    <w:rsid w:val="005E017D"/>
    <w:rsid w:val="005E1654"/>
    <w:rsid w:val="005E1E02"/>
    <w:rsid w:val="005E405D"/>
    <w:rsid w:val="005F0610"/>
    <w:rsid w:val="005F06C3"/>
    <w:rsid w:val="005F0E2D"/>
    <w:rsid w:val="005F481F"/>
    <w:rsid w:val="0060190A"/>
    <w:rsid w:val="006024A3"/>
    <w:rsid w:val="006031A8"/>
    <w:rsid w:val="006076BC"/>
    <w:rsid w:val="00611737"/>
    <w:rsid w:val="006226EF"/>
    <w:rsid w:val="006230EF"/>
    <w:rsid w:val="006239EB"/>
    <w:rsid w:val="0062678D"/>
    <w:rsid w:val="00627186"/>
    <w:rsid w:val="00630B6A"/>
    <w:rsid w:val="0063223C"/>
    <w:rsid w:val="0063247B"/>
    <w:rsid w:val="0063466D"/>
    <w:rsid w:val="0064145A"/>
    <w:rsid w:val="0065334E"/>
    <w:rsid w:val="00661BEC"/>
    <w:rsid w:val="0067099D"/>
    <w:rsid w:val="00674CAC"/>
    <w:rsid w:val="00677C3B"/>
    <w:rsid w:val="00683DB2"/>
    <w:rsid w:val="0069382C"/>
    <w:rsid w:val="00693C7C"/>
    <w:rsid w:val="00693E5F"/>
    <w:rsid w:val="00694A3C"/>
    <w:rsid w:val="006958F4"/>
    <w:rsid w:val="006A286D"/>
    <w:rsid w:val="006A58B6"/>
    <w:rsid w:val="006A5993"/>
    <w:rsid w:val="006B0566"/>
    <w:rsid w:val="006B2257"/>
    <w:rsid w:val="006B54CE"/>
    <w:rsid w:val="006B7315"/>
    <w:rsid w:val="006C5C66"/>
    <w:rsid w:val="006C5D3C"/>
    <w:rsid w:val="006C616A"/>
    <w:rsid w:val="006D0ACB"/>
    <w:rsid w:val="006D1DE3"/>
    <w:rsid w:val="006D48CF"/>
    <w:rsid w:val="006D547F"/>
    <w:rsid w:val="006E09AC"/>
    <w:rsid w:val="006E4DA5"/>
    <w:rsid w:val="006F1278"/>
    <w:rsid w:val="00701F4E"/>
    <w:rsid w:val="007039D3"/>
    <w:rsid w:val="00704406"/>
    <w:rsid w:val="00705347"/>
    <w:rsid w:val="007175E9"/>
    <w:rsid w:val="007267B0"/>
    <w:rsid w:val="00732F14"/>
    <w:rsid w:val="00733D13"/>
    <w:rsid w:val="00733DED"/>
    <w:rsid w:val="007346CA"/>
    <w:rsid w:val="007372F7"/>
    <w:rsid w:val="0074309A"/>
    <w:rsid w:val="00744174"/>
    <w:rsid w:val="0074566F"/>
    <w:rsid w:val="007513EA"/>
    <w:rsid w:val="00754AAC"/>
    <w:rsid w:val="00762825"/>
    <w:rsid w:val="00762BEA"/>
    <w:rsid w:val="00762E26"/>
    <w:rsid w:val="00767298"/>
    <w:rsid w:val="0077101F"/>
    <w:rsid w:val="00773899"/>
    <w:rsid w:val="00773F5D"/>
    <w:rsid w:val="00774426"/>
    <w:rsid w:val="00785361"/>
    <w:rsid w:val="00793A34"/>
    <w:rsid w:val="00797A7D"/>
    <w:rsid w:val="007A2BB1"/>
    <w:rsid w:val="007A4004"/>
    <w:rsid w:val="007A75FF"/>
    <w:rsid w:val="007A7776"/>
    <w:rsid w:val="007A7A73"/>
    <w:rsid w:val="007B05A7"/>
    <w:rsid w:val="007B2875"/>
    <w:rsid w:val="007B518C"/>
    <w:rsid w:val="007D79D1"/>
    <w:rsid w:val="007F0A97"/>
    <w:rsid w:val="007F233A"/>
    <w:rsid w:val="007F3120"/>
    <w:rsid w:val="007F6E30"/>
    <w:rsid w:val="00804CEC"/>
    <w:rsid w:val="008062CD"/>
    <w:rsid w:val="008103DF"/>
    <w:rsid w:val="00812ED7"/>
    <w:rsid w:val="00813A49"/>
    <w:rsid w:val="00813AAE"/>
    <w:rsid w:val="0082009E"/>
    <w:rsid w:val="008203A2"/>
    <w:rsid w:val="008233A0"/>
    <w:rsid w:val="0082368B"/>
    <w:rsid w:val="0083391E"/>
    <w:rsid w:val="008366D3"/>
    <w:rsid w:val="008378D9"/>
    <w:rsid w:val="0084212B"/>
    <w:rsid w:val="008449E5"/>
    <w:rsid w:val="00845F7D"/>
    <w:rsid w:val="0086568F"/>
    <w:rsid w:val="008719AC"/>
    <w:rsid w:val="00872C5A"/>
    <w:rsid w:val="0087345F"/>
    <w:rsid w:val="0087542B"/>
    <w:rsid w:val="0087597A"/>
    <w:rsid w:val="00875B00"/>
    <w:rsid w:val="008879C5"/>
    <w:rsid w:val="008929DA"/>
    <w:rsid w:val="00896EDF"/>
    <w:rsid w:val="008A4A3B"/>
    <w:rsid w:val="008B0BB6"/>
    <w:rsid w:val="008C08F5"/>
    <w:rsid w:val="008C2DD3"/>
    <w:rsid w:val="008C560B"/>
    <w:rsid w:val="008C771D"/>
    <w:rsid w:val="008D119E"/>
    <w:rsid w:val="008D16B1"/>
    <w:rsid w:val="008D2EFA"/>
    <w:rsid w:val="008E00B1"/>
    <w:rsid w:val="008E1BA8"/>
    <w:rsid w:val="008E2014"/>
    <w:rsid w:val="008E22DF"/>
    <w:rsid w:val="008E4A14"/>
    <w:rsid w:val="008E5AB1"/>
    <w:rsid w:val="008E76B4"/>
    <w:rsid w:val="009000A4"/>
    <w:rsid w:val="00902B83"/>
    <w:rsid w:val="00920036"/>
    <w:rsid w:val="0092386B"/>
    <w:rsid w:val="009241AB"/>
    <w:rsid w:val="0093279D"/>
    <w:rsid w:val="00934A27"/>
    <w:rsid w:val="00937C68"/>
    <w:rsid w:val="00941079"/>
    <w:rsid w:val="009473CF"/>
    <w:rsid w:val="009527D6"/>
    <w:rsid w:val="00961498"/>
    <w:rsid w:val="0096520E"/>
    <w:rsid w:val="00966960"/>
    <w:rsid w:val="00970A6E"/>
    <w:rsid w:val="0097618D"/>
    <w:rsid w:val="00976D65"/>
    <w:rsid w:val="00980A31"/>
    <w:rsid w:val="00982A2B"/>
    <w:rsid w:val="009A3121"/>
    <w:rsid w:val="009A60CB"/>
    <w:rsid w:val="009B0C59"/>
    <w:rsid w:val="009B1588"/>
    <w:rsid w:val="009C1D86"/>
    <w:rsid w:val="009C7AB4"/>
    <w:rsid w:val="009D0B18"/>
    <w:rsid w:val="009D63F2"/>
    <w:rsid w:val="009E0A15"/>
    <w:rsid w:val="009E3020"/>
    <w:rsid w:val="009E3437"/>
    <w:rsid w:val="009E4EF0"/>
    <w:rsid w:val="009E5BA3"/>
    <w:rsid w:val="009E712D"/>
    <w:rsid w:val="009F303D"/>
    <w:rsid w:val="009F3A9E"/>
    <w:rsid w:val="00A103B0"/>
    <w:rsid w:val="00A11FC2"/>
    <w:rsid w:val="00A13E1E"/>
    <w:rsid w:val="00A22138"/>
    <w:rsid w:val="00A31E0E"/>
    <w:rsid w:val="00A41125"/>
    <w:rsid w:val="00A46C16"/>
    <w:rsid w:val="00A6139A"/>
    <w:rsid w:val="00A634CB"/>
    <w:rsid w:val="00A66729"/>
    <w:rsid w:val="00A72C2B"/>
    <w:rsid w:val="00A749AE"/>
    <w:rsid w:val="00A74C31"/>
    <w:rsid w:val="00A74D27"/>
    <w:rsid w:val="00A80E58"/>
    <w:rsid w:val="00A81BDC"/>
    <w:rsid w:val="00A81BF0"/>
    <w:rsid w:val="00A9614C"/>
    <w:rsid w:val="00A978F7"/>
    <w:rsid w:val="00A97A45"/>
    <w:rsid w:val="00AB4DF5"/>
    <w:rsid w:val="00AB5A2F"/>
    <w:rsid w:val="00AB766A"/>
    <w:rsid w:val="00AB77B2"/>
    <w:rsid w:val="00AC2D58"/>
    <w:rsid w:val="00AC392D"/>
    <w:rsid w:val="00AC4456"/>
    <w:rsid w:val="00AC722C"/>
    <w:rsid w:val="00AD3F4E"/>
    <w:rsid w:val="00AD6D84"/>
    <w:rsid w:val="00AE1256"/>
    <w:rsid w:val="00AE1651"/>
    <w:rsid w:val="00AE6C87"/>
    <w:rsid w:val="00AE7FAD"/>
    <w:rsid w:val="00AF2B82"/>
    <w:rsid w:val="00AF4F38"/>
    <w:rsid w:val="00AF571E"/>
    <w:rsid w:val="00B00B00"/>
    <w:rsid w:val="00B00C2C"/>
    <w:rsid w:val="00B01517"/>
    <w:rsid w:val="00B02942"/>
    <w:rsid w:val="00B0434B"/>
    <w:rsid w:val="00B11DEC"/>
    <w:rsid w:val="00B15664"/>
    <w:rsid w:val="00B36124"/>
    <w:rsid w:val="00B441AA"/>
    <w:rsid w:val="00B45BC9"/>
    <w:rsid w:val="00B50BF6"/>
    <w:rsid w:val="00B52F3F"/>
    <w:rsid w:val="00B66A05"/>
    <w:rsid w:val="00B67933"/>
    <w:rsid w:val="00B738E6"/>
    <w:rsid w:val="00B7554F"/>
    <w:rsid w:val="00B82947"/>
    <w:rsid w:val="00B909D0"/>
    <w:rsid w:val="00B914D1"/>
    <w:rsid w:val="00B920C2"/>
    <w:rsid w:val="00B92B7D"/>
    <w:rsid w:val="00BA3930"/>
    <w:rsid w:val="00BA498A"/>
    <w:rsid w:val="00BA7F96"/>
    <w:rsid w:val="00BB2126"/>
    <w:rsid w:val="00BB3552"/>
    <w:rsid w:val="00BC17DA"/>
    <w:rsid w:val="00BC4816"/>
    <w:rsid w:val="00BC4B16"/>
    <w:rsid w:val="00BC6C72"/>
    <w:rsid w:val="00BD1513"/>
    <w:rsid w:val="00BD2F5D"/>
    <w:rsid w:val="00BD3D8B"/>
    <w:rsid w:val="00BD5A62"/>
    <w:rsid w:val="00BD63CC"/>
    <w:rsid w:val="00BE1072"/>
    <w:rsid w:val="00BE2843"/>
    <w:rsid w:val="00BE3023"/>
    <w:rsid w:val="00BE3FC9"/>
    <w:rsid w:val="00BE4BD0"/>
    <w:rsid w:val="00BF2843"/>
    <w:rsid w:val="00C13D35"/>
    <w:rsid w:val="00C146B5"/>
    <w:rsid w:val="00C219BA"/>
    <w:rsid w:val="00C258A1"/>
    <w:rsid w:val="00C35A90"/>
    <w:rsid w:val="00C419E3"/>
    <w:rsid w:val="00C41BC7"/>
    <w:rsid w:val="00C43F77"/>
    <w:rsid w:val="00C44652"/>
    <w:rsid w:val="00C450E1"/>
    <w:rsid w:val="00C500DF"/>
    <w:rsid w:val="00C54F31"/>
    <w:rsid w:val="00C555D1"/>
    <w:rsid w:val="00C62A6B"/>
    <w:rsid w:val="00C6361E"/>
    <w:rsid w:val="00C670F6"/>
    <w:rsid w:val="00C71AA3"/>
    <w:rsid w:val="00C84ACA"/>
    <w:rsid w:val="00C8722D"/>
    <w:rsid w:val="00C9063F"/>
    <w:rsid w:val="00C92217"/>
    <w:rsid w:val="00C96EED"/>
    <w:rsid w:val="00C971BF"/>
    <w:rsid w:val="00CA7DF7"/>
    <w:rsid w:val="00CB58C1"/>
    <w:rsid w:val="00CD26C8"/>
    <w:rsid w:val="00CD670D"/>
    <w:rsid w:val="00CE05E9"/>
    <w:rsid w:val="00CE3701"/>
    <w:rsid w:val="00CE6E7A"/>
    <w:rsid w:val="00D06CDC"/>
    <w:rsid w:val="00D07F0E"/>
    <w:rsid w:val="00D11BB8"/>
    <w:rsid w:val="00D1594D"/>
    <w:rsid w:val="00D218E9"/>
    <w:rsid w:val="00D405AF"/>
    <w:rsid w:val="00D4198F"/>
    <w:rsid w:val="00D50E1A"/>
    <w:rsid w:val="00D612EB"/>
    <w:rsid w:val="00D65A44"/>
    <w:rsid w:val="00D6725B"/>
    <w:rsid w:val="00D733DF"/>
    <w:rsid w:val="00D738BC"/>
    <w:rsid w:val="00D73CD0"/>
    <w:rsid w:val="00D7636E"/>
    <w:rsid w:val="00D81CD8"/>
    <w:rsid w:val="00D85149"/>
    <w:rsid w:val="00D86384"/>
    <w:rsid w:val="00D86650"/>
    <w:rsid w:val="00D86912"/>
    <w:rsid w:val="00DA0441"/>
    <w:rsid w:val="00DB2744"/>
    <w:rsid w:val="00DB4789"/>
    <w:rsid w:val="00DB7171"/>
    <w:rsid w:val="00DB7D67"/>
    <w:rsid w:val="00DC7F7F"/>
    <w:rsid w:val="00DD2FD6"/>
    <w:rsid w:val="00DD33A5"/>
    <w:rsid w:val="00DE0688"/>
    <w:rsid w:val="00DE2225"/>
    <w:rsid w:val="00DE5548"/>
    <w:rsid w:val="00DF1E7C"/>
    <w:rsid w:val="00DF2049"/>
    <w:rsid w:val="00DF6044"/>
    <w:rsid w:val="00E01A69"/>
    <w:rsid w:val="00E01B9D"/>
    <w:rsid w:val="00E04CAC"/>
    <w:rsid w:val="00E0682F"/>
    <w:rsid w:val="00E122EE"/>
    <w:rsid w:val="00E148BE"/>
    <w:rsid w:val="00E1526E"/>
    <w:rsid w:val="00E15C4B"/>
    <w:rsid w:val="00E16B22"/>
    <w:rsid w:val="00E201CF"/>
    <w:rsid w:val="00E21280"/>
    <w:rsid w:val="00E230F0"/>
    <w:rsid w:val="00E263B7"/>
    <w:rsid w:val="00E41615"/>
    <w:rsid w:val="00E41F7E"/>
    <w:rsid w:val="00E53633"/>
    <w:rsid w:val="00E54DFD"/>
    <w:rsid w:val="00E65267"/>
    <w:rsid w:val="00E66922"/>
    <w:rsid w:val="00E70320"/>
    <w:rsid w:val="00E80050"/>
    <w:rsid w:val="00E81116"/>
    <w:rsid w:val="00E942A4"/>
    <w:rsid w:val="00EA0381"/>
    <w:rsid w:val="00EA2E36"/>
    <w:rsid w:val="00EA443D"/>
    <w:rsid w:val="00EB25B9"/>
    <w:rsid w:val="00EB3205"/>
    <w:rsid w:val="00EC157F"/>
    <w:rsid w:val="00EC5B29"/>
    <w:rsid w:val="00EC75DF"/>
    <w:rsid w:val="00ED674B"/>
    <w:rsid w:val="00ED6F92"/>
    <w:rsid w:val="00ED77A5"/>
    <w:rsid w:val="00EE2C5D"/>
    <w:rsid w:val="00EE3E3B"/>
    <w:rsid w:val="00EF2038"/>
    <w:rsid w:val="00EF6026"/>
    <w:rsid w:val="00F172C5"/>
    <w:rsid w:val="00F21E26"/>
    <w:rsid w:val="00F41EFD"/>
    <w:rsid w:val="00F542E2"/>
    <w:rsid w:val="00F63C1E"/>
    <w:rsid w:val="00F6541B"/>
    <w:rsid w:val="00F66A05"/>
    <w:rsid w:val="00F7536A"/>
    <w:rsid w:val="00F768DA"/>
    <w:rsid w:val="00F811BE"/>
    <w:rsid w:val="00F85F00"/>
    <w:rsid w:val="00F91E59"/>
    <w:rsid w:val="00FA641D"/>
    <w:rsid w:val="00FB22EC"/>
    <w:rsid w:val="00FB66CC"/>
    <w:rsid w:val="00FC4589"/>
    <w:rsid w:val="00FE1258"/>
    <w:rsid w:val="00FE31A0"/>
    <w:rsid w:val="00FE33F3"/>
    <w:rsid w:val="00FE4DEF"/>
    <w:rsid w:val="00FF68B2"/>
    <w:rsid w:val="011C626C"/>
    <w:rsid w:val="015D1EEA"/>
    <w:rsid w:val="016A4F6C"/>
    <w:rsid w:val="02500BEF"/>
    <w:rsid w:val="03452A09"/>
    <w:rsid w:val="03AF7F30"/>
    <w:rsid w:val="040D7A92"/>
    <w:rsid w:val="049F04BE"/>
    <w:rsid w:val="04D34CDF"/>
    <w:rsid w:val="056703FD"/>
    <w:rsid w:val="057228FE"/>
    <w:rsid w:val="05866B89"/>
    <w:rsid w:val="05F45A09"/>
    <w:rsid w:val="061B2380"/>
    <w:rsid w:val="063A5463"/>
    <w:rsid w:val="0644652B"/>
    <w:rsid w:val="06740364"/>
    <w:rsid w:val="073F40B8"/>
    <w:rsid w:val="07EB71AA"/>
    <w:rsid w:val="086B75FC"/>
    <w:rsid w:val="08E13408"/>
    <w:rsid w:val="09A637BC"/>
    <w:rsid w:val="09FC4E43"/>
    <w:rsid w:val="0A257601"/>
    <w:rsid w:val="0B9E50EF"/>
    <w:rsid w:val="0C180ACF"/>
    <w:rsid w:val="0C62251E"/>
    <w:rsid w:val="0CD02D66"/>
    <w:rsid w:val="0CE61398"/>
    <w:rsid w:val="0D026C5D"/>
    <w:rsid w:val="0D06028F"/>
    <w:rsid w:val="0D5A082F"/>
    <w:rsid w:val="0DA47D15"/>
    <w:rsid w:val="0DBF06AB"/>
    <w:rsid w:val="0E287909"/>
    <w:rsid w:val="0E4B1576"/>
    <w:rsid w:val="0E6F20D1"/>
    <w:rsid w:val="0E7E0566"/>
    <w:rsid w:val="0EC0292C"/>
    <w:rsid w:val="0F8363DA"/>
    <w:rsid w:val="0F8A450D"/>
    <w:rsid w:val="0FC80D86"/>
    <w:rsid w:val="0FCC47CA"/>
    <w:rsid w:val="114415F3"/>
    <w:rsid w:val="114E5274"/>
    <w:rsid w:val="118539B9"/>
    <w:rsid w:val="119C142F"/>
    <w:rsid w:val="12333415"/>
    <w:rsid w:val="125A606E"/>
    <w:rsid w:val="14131C7C"/>
    <w:rsid w:val="14AA607F"/>
    <w:rsid w:val="14C741BE"/>
    <w:rsid w:val="14C8078D"/>
    <w:rsid w:val="15F07F9B"/>
    <w:rsid w:val="162C08A7"/>
    <w:rsid w:val="173D5A8B"/>
    <w:rsid w:val="176D5E03"/>
    <w:rsid w:val="185E7DEA"/>
    <w:rsid w:val="185F670C"/>
    <w:rsid w:val="18677F6A"/>
    <w:rsid w:val="18892E16"/>
    <w:rsid w:val="189E3CDE"/>
    <w:rsid w:val="19164569"/>
    <w:rsid w:val="198B3233"/>
    <w:rsid w:val="1B177EC2"/>
    <w:rsid w:val="1D214EDE"/>
    <w:rsid w:val="1E061FD4"/>
    <w:rsid w:val="1E1D5A5B"/>
    <w:rsid w:val="1E340C41"/>
    <w:rsid w:val="1E633DAF"/>
    <w:rsid w:val="1E7E3C6A"/>
    <w:rsid w:val="1E957931"/>
    <w:rsid w:val="1F7F698B"/>
    <w:rsid w:val="2027280B"/>
    <w:rsid w:val="20515ADA"/>
    <w:rsid w:val="20DB35F6"/>
    <w:rsid w:val="21211694"/>
    <w:rsid w:val="21C916A0"/>
    <w:rsid w:val="221768AF"/>
    <w:rsid w:val="22947723"/>
    <w:rsid w:val="22A55C69"/>
    <w:rsid w:val="23412E2C"/>
    <w:rsid w:val="2345799C"/>
    <w:rsid w:val="2369138D"/>
    <w:rsid w:val="241A77D0"/>
    <w:rsid w:val="24496DF6"/>
    <w:rsid w:val="246E38A3"/>
    <w:rsid w:val="260B672B"/>
    <w:rsid w:val="2699466E"/>
    <w:rsid w:val="26CD33F1"/>
    <w:rsid w:val="26EF1B67"/>
    <w:rsid w:val="275F0ADD"/>
    <w:rsid w:val="27877605"/>
    <w:rsid w:val="27FE6547"/>
    <w:rsid w:val="282B3397"/>
    <w:rsid w:val="299B6018"/>
    <w:rsid w:val="29DD3C5C"/>
    <w:rsid w:val="2A2102CB"/>
    <w:rsid w:val="2A3E2FB0"/>
    <w:rsid w:val="2A92783F"/>
    <w:rsid w:val="2ADB4165"/>
    <w:rsid w:val="2ADE440E"/>
    <w:rsid w:val="2AF376D5"/>
    <w:rsid w:val="2B062A32"/>
    <w:rsid w:val="2B1020EE"/>
    <w:rsid w:val="2B980A61"/>
    <w:rsid w:val="2BF54199"/>
    <w:rsid w:val="2C567FD4"/>
    <w:rsid w:val="2CCC180D"/>
    <w:rsid w:val="2CDC44F3"/>
    <w:rsid w:val="2D210770"/>
    <w:rsid w:val="2DAF434E"/>
    <w:rsid w:val="2DE33AEA"/>
    <w:rsid w:val="2E3D3AE1"/>
    <w:rsid w:val="2E8C71E7"/>
    <w:rsid w:val="2EB86D24"/>
    <w:rsid w:val="2EC13E2B"/>
    <w:rsid w:val="2ED15070"/>
    <w:rsid w:val="2F3C1703"/>
    <w:rsid w:val="2F662A91"/>
    <w:rsid w:val="2F6713A8"/>
    <w:rsid w:val="2FEF36C4"/>
    <w:rsid w:val="303D58A1"/>
    <w:rsid w:val="304C2D23"/>
    <w:rsid w:val="30780656"/>
    <w:rsid w:val="30C47C02"/>
    <w:rsid w:val="30D1551F"/>
    <w:rsid w:val="311052B7"/>
    <w:rsid w:val="324A2ACB"/>
    <w:rsid w:val="328A1CE7"/>
    <w:rsid w:val="329D4BAF"/>
    <w:rsid w:val="32D9240D"/>
    <w:rsid w:val="334E6EB9"/>
    <w:rsid w:val="3381627F"/>
    <w:rsid w:val="33F64577"/>
    <w:rsid w:val="34930017"/>
    <w:rsid w:val="34DB659F"/>
    <w:rsid w:val="357065AB"/>
    <w:rsid w:val="3608399C"/>
    <w:rsid w:val="361B20E5"/>
    <w:rsid w:val="36F54F11"/>
    <w:rsid w:val="36FA437E"/>
    <w:rsid w:val="37051049"/>
    <w:rsid w:val="371126FB"/>
    <w:rsid w:val="380840B8"/>
    <w:rsid w:val="3860029B"/>
    <w:rsid w:val="389D76B7"/>
    <w:rsid w:val="389E51DD"/>
    <w:rsid w:val="38A81BB8"/>
    <w:rsid w:val="38B85882"/>
    <w:rsid w:val="38E74176"/>
    <w:rsid w:val="3A14416C"/>
    <w:rsid w:val="3A83141F"/>
    <w:rsid w:val="3ADC237C"/>
    <w:rsid w:val="3B0E03F8"/>
    <w:rsid w:val="3BF27AEF"/>
    <w:rsid w:val="3CAD0150"/>
    <w:rsid w:val="3D4F538F"/>
    <w:rsid w:val="3D6936C6"/>
    <w:rsid w:val="3DAC5CA6"/>
    <w:rsid w:val="3E2B306F"/>
    <w:rsid w:val="3F082C0D"/>
    <w:rsid w:val="3F9B22EA"/>
    <w:rsid w:val="3FCC0881"/>
    <w:rsid w:val="3FCF2120"/>
    <w:rsid w:val="401364B0"/>
    <w:rsid w:val="401D2E8B"/>
    <w:rsid w:val="402E2A03"/>
    <w:rsid w:val="40353A25"/>
    <w:rsid w:val="404C3770"/>
    <w:rsid w:val="408E2E4C"/>
    <w:rsid w:val="40CF0715"/>
    <w:rsid w:val="415332C5"/>
    <w:rsid w:val="428B6AB9"/>
    <w:rsid w:val="42EE0B0F"/>
    <w:rsid w:val="430D6CD5"/>
    <w:rsid w:val="4365151F"/>
    <w:rsid w:val="43947557"/>
    <w:rsid w:val="440A320B"/>
    <w:rsid w:val="44BE2E8F"/>
    <w:rsid w:val="44DF2C9A"/>
    <w:rsid w:val="45036AF3"/>
    <w:rsid w:val="45766D13"/>
    <w:rsid w:val="45DA1C00"/>
    <w:rsid w:val="45EF0E26"/>
    <w:rsid w:val="468068B6"/>
    <w:rsid w:val="46EA3AC1"/>
    <w:rsid w:val="4718152F"/>
    <w:rsid w:val="48925B76"/>
    <w:rsid w:val="48A15EB5"/>
    <w:rsid w:val="49877D17"/>
    <w:rsid w:val="4B2772B4"/>
    <w:rsid w:val="4BAB1C93"/>
    <w:rsid w:val="4C415A21"/>
    <w:rsid w:val="4C417F01"/>
    <w:rsid w:val="4C9C37DC"/>
    <w:rsid w:val="4CD44C91"/>
    <w:rsid w:val="4D830915"/>
    <w:rsid w:val="4DBC3CE3"/>
    <w:rsid w:val="4DCB5E79"/>
    <w:rsid w:val="4E86045B"/>
    <w:rsid w:val="4F041104"/>
    <w:rsid w:val="4F7D76AA"/>
    <w:rsid w:val="4F9F566B"/>
    <w:rsid w:val="4FF9623B"/>
    <w:rsid w:val="50600CA0"/>
    <w:rsid w:val="51164496"/>
    <w:rsid w:val="513D1614"/>
    <w:rsid w:val="51986F62"/>
    <w:rsid w:val="520536EB"/>
    <w:rsid w:val="53151EE2"/>
    <w:rsid w:val="53445087"/>
    <w:rsid w:val="53715789"/>
    <w:rsid w:val="539B6DDD"/>
    <w:rsid w:val="53BF1192"/>
    <w:rsid w:val="54076CEA"/>
    <w:rsid w:val="54201CA8"/>
    <w:rsid w:val="5474376E"/>
    <w:rsid w:val="54EC75A4"/>
    <w:rsid w:val="55933782"/>
    <w:rsid w:val="55DD711B"/>
    <w:rsid w:val="55F84012"/>
    <w:rsid w:val="56311B78"/>
    <w:rsid w:val="56665E3A"/>
    <w:rsid w:val="567A085B"/>
    <w:rsid w:val="568E46C0"/>
    <w:rsid w:val="56C31AF6"/>
    <w:rsid w:val="56DF6C95"/>
    <w:rsid w:val="5739421C"/>
    <w:rsid w:val="57BD1909"/>
    <w:rsid w:val="5889335C"/>
    <w:rsid w:val="593957BB"/>
    <w:rsid w:val="598645F7"/>
    <w:rsid w:val="59AC5554"/>
    <w:rsid w:val="5A8C73D5"/>
    <w:rsid w:val="5AB7186B"/>
    <w:rsid w:val="5B625BC2"/>
    <w:rsid w:val="5B7E4CCE"/>
    <w:rsid w:val="5C8C341B"/>
    <w:rsid w:val="5C93067E"/>
    <w:rsid w:val="5CC446D9"/>
    <w:rsid w:val="5CD54DC2"/>
    <w:rsid w:val="5D011795"/>
    <w:rsid w:val="5DC310BE"/>
    <w:rsid w:val="5EA83CBF"/>
    <w:rsid w:val="5ED74622"/>
    <w:rsid w:val="5F423E3C"/>
    <w:rsid w:val="60011A2A"/>
    <w:rsid w:val="6001650D"/>
    <w:rsid w:val="60806DF2"/>
    <w:rsid w:val="61BF725E"/>
    <w:rsid w:val="621E68C3"/>
    <w:rsid w:val="62377985"/>
    <w:rsid w:val="6238520F"/>
    <w:rsid w:val="62606278"/>
    <w:rsid w:val="63133F4E"/>
    <w:rsid w:val="63900E5F"/>
    <w:rsid w:val="63D062E3"/>
    <w:rsid w:val="64886FDF"/>
    <w:rsid w:val="64C179D9"/>
    <w:rsid w:val="64D77029"/>
    <w:rsid w:val="656A1E1F"/>
    <w:rsid w:val="66142C83"/>
    <w:rsid w:val="664309BD"/>
    <w:rsid w:val="66807B4C"/>
    <w:rsid w:val="668F4233"/>
    <w:rsid w:val="66CD4D5B"/>
    <w:rsid w:val="66E4311C"/>
    <w:rsid w:val="670F5D14"/>
    <w:rsid w:val="671F5DC3"/>
    <w:rsid w:val="67557FF0"/>
    <w:rsid w:val="675B22B6"/>
    <w:rsid w:val="67950273"/>
    <w:rsid w:val="67AF792B"/>
    <w:rsid w:val="68060432"/>
    <w:rsid w:val="68581159"/>
    <w:rsid w:val="68DE0B5A"/>
    <w:rsid w:val="69D94F79"/>
    <w:rsid w:val="69F86FD8"/>
    <w:rsid w:val="6A886C65"/>
    <w:rsid w:val="6BA918D4"/>
    <w:rsid w:val="6BA94C1E"/>
    <w:rsid w:val="6BD662CC"/>
    <w:rsid w:val="6BD96CF4"/>
    <w:rsid w:val="6C517BA5"/>
    <w:rsid w:val="6C8D2FC3"/>
    <w:rsid w:val="6D192AA9"/>
    <w:rsid w:val="6D714693"/>
    <w:rsid w:val="6DBC258E"/>
    <w:rsid w:val="6DD54C21"/>
    <w:rsid w:val="6E3F209B"/>
    <w:rsid w:val="6E6B4E4B"/>
    <w:rsid w:val="6EF773B9"/>
    <w:rsid w:val="6F806E0F"/>
    <w:rsid w:val="6FED119C"/>
    <w:rsid w:val="70364233"/>
    <w:rsid w:val="70996E06"/>
    <w:rsid w:val="70B97215"/>
    <w:rsid w:val="70CB2340"/>
    <w:rsid w:val="70E909E4"/>
    <w:rsid w:val="70F528AA"/>
    <w:rsid w:val="71153C9A"/>
    <w:rsid w:val="71341D27"/>
    <w:rsid w:val="715C248F"/>
    <w:rsid w:val="7161057A"/>
    <w:rsid w:val="716B13F9"/>
    <w:rsid w:val="71F2007C"/>
    <w:rsid w:val="71F8725C"/>
    <w:rsid w:val="723D0FE7"/>
    <w:rsid w:val="724177ED"/>
    <w:rsid w:val="72524AFD"/>
    <w:rsid w:val="727306D2"/>
    <w:rsid w:val="728B2665"/>
    <w:rsid w:val="7309433B"/>
    <w:rsid w:val="73152FF4"/>
    <w:rsid w:val="732E6B82"/>
    <w:rsid w:val="73B83C68"/>
    <w:rsid w:val="73DD4830"/>
    <w:rsid w:val="73FC0A2E"/>
    <w:rsid w:val="75866ED0"/>
    <w:rsid w:val="76AD049C"/>
    <w:rsid w:val="77590BBB"/>
    <w:rsid w:val="77BE217C"/>
    <w:rsid w:val="78436C2C"/>
    <w:rsid w:val="78806557"/>
    <w:rsid w:val="78843793"/>
    <w:rsid w:val="78BE5E78"/>
    <w:rsid w:val="797F77F0"/>
    <w:rsid w:val="79C16C4F"/>
    <w:rsid w:val="7B44018B"/>
    <w:rsid w:val="7C2C5EC4"/>
    <w:rsid w:val="7C334F8F"/>
    <w:rsid w:val="7CA511CA"/>
    <w:rsid w:val="7CB2612E"/>
    <w:rsid w:val="7CF14DF2"/>
    <w:rsid w:val="7CF14EA8"/>
    <w:rsid w:val="7D980CB9"/>
    <w:rsid w:val="7D985324"/>
    <w:rsid w:val="7DA056F0"/>
    <w:rsid w:val="7DDD4E68"/>
    <w:rsid w:val="7E4159BB"/>
    <w:rsid w:val="7EA352C0"/>
    <w:rsid w:val="7EA6798F"/>
    <w:rsid w:val="7ED71E7C"/>
    <w:rsid w:val="7F2A3C3B"/>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eastAsia="方正小标宋简体"/>
      <w:b/>
      <w:bCs/>
      <w:kern w:val="44"/>
      <w:sz w:val="36"/>
      <w:szCs w:val="44"/>
    </w:rPr>
  </w:style>
  <w:style w:type="paragraph" w:styleId="3">
    <w:name w:val="heading 2"/>
    <w:basedOn w:val="1"/>
    <w:next w:val="1"/>
    <w:link w:val="33"/>
    <w:unhideWhenUsed/>
    <w:qFormat/>
    <w:uiPriority w:val="9"/>
    <w:pPr>
      <w:keepNext/>
      <w:keepLines/>
      <w:spacing w:before="240" w:after="260"/>
      <w:outlineLvl w:val="1"/>
    </w:pPr>
    <w:rPr>
      <w:rFonts w:eastAsia="楷体_GB2312" w:asciiTheme="majorHAnsi" w:hAnsiTheme="majorHAnsi" w:cstheme="majorBidi"/>
      <w:b/>
      <w:bCs/>
      <w:szCs w:val="32"/>
    </w:rPr>
  </w:style>
  <w:style w:type="paragraph" w:styleId="4">
    <w:name w:val="heading 3"/>
    <w:basedOn w:val="1"/>
    <w:next w:val="1"/>
    <w:link w:val="34"/>
    <w:unhideWhenUsed/>
    <w:qFormat/>
    <w:uiPriority w:val="9"/>
    <w:pPr>
      <w:keepNext/>
      <w:keepLines/>
      <w:spacing w:before="240" w:after="240"/>
      <w:outlineLvl w:val="2"/>
    </w:pPr>
    <w:rPr>
      <w:bCs/>
      <w:szCs w:val="32"/>
    </w:rPr>
  </w:style>
  <w:style w:type="paragraph" w:styleId="5">
    <w:name w:val="heading 4"/>
    <w:basedOn w:val="1"/>
    <w:next w:val="1"/>
    <w:link w:val="35"/>
    <w:unhideWhenUsed/>
    <w:qFormat/>
    <w:uiPriority w:val="9"/>
    <w:pPr>
      <w:keepNext/>
      <w:keepLines/>
      <w:spacing w:before="120" w:after="120"/>
      <w:outlineLvl w:val="3"/>
    </w:pPr>
    <w:rPr>
      <w:rFonts w:asciiTheme="majorHAnsi" w:hAnsiTheme="majorHAnsi" w:cstheme="majorBidi"/>
      <w:bCs/>
      <w:szCs w:val="28"/>
    </w:rPr>
  </w:style>
  <w:style w:type="paragraph" w:styleId="6">
    <w:name w:val="heading 5"/>
    <w:basedOn w:val="1"/>
    <w:next w:val="1"/>
    <w:unhideWhenUsed/>
    <w:qFormat/>
    <w:uiPriority w:val="9"/>
    <w:pPr>
      <w:keepNext/>
      <w:keepLines/>
      <w:spacing w:before="280" w:after="290"/>
      <w:outlineLvl w:val="4"/>
    </w:pPr>
  </w:style>
  <w:style w:type="character" w:default="1" w:styleId="22">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7">
    <w:name w:val="annotation text"/>
    <w:basedOn w:val="1"/>
    <w:link w:val="36"/>
    <w:semiHidden/>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widowControl/>
      <w:spacing w:before="100" w:beforeAutospacing="1" w:after="100" w:afterAutospacing="1"/>
      <w:jc w:val="left"/>
    </w:pPr>
    <w:rPr>
      <w:rFonts w:ascii="宋体" w:hAnsi="宋体"/>
      <w:kern w:val="0"/>
      <w:sz w:val="24"/>
    </w:rPr>
  </w:style>
  <w:style w:type="paragraph" w:styleId="10">
    <w:name w:val="toc 3"/>
    <w:basedOn w:val="1"/>
    <w:next w:val="1"/>
    <w:unhideWhenUsed/>
    <w:qFormat/>
    <w:uiPriority w:val="39"/>
    <w:pPr>
      <w:ind w:left="640" w:leftChars="200" w:firstLine="0" w:firstLineChars="0"/>
    </w:pPr>
  </w:style>
  <w:style w:type="paragraph" w:styleId="11">
    <w:name w:val="Plain Text"/>
    <w:basedOn w:val="1"/>
    <w:next w:val="1"/>
    <w:unhideWhenUsed/>
    <w:qFormat/>
    <w:uiPriority w:val="99"/>
    <w:rPr>
      <w:rFonts w:hAnsi="Courier New"/>
      <w:kern w:val="0"/>
      <w:sz w:val="20"/>
      <w:szCs w:val="21"/>
      <w:lang w:val="zh-CN"/>
    </w:rPr>
  </w:style>
  <w:style w:type="paragraph" w:styleId="12">
    <w:name w:val="footer"/>
    <w:basedOn w:val="1"/>
    <w:link w:val="30"/>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spacing w:line="240" w:lineRule="auto"/>
      <w:ind w:firstLine="0" w:firstLineChars="0"/>
      <w:jc w:val="left"/>
    </w:pPr>
    <w:rPr>
      <w:sz w:val="18"/>
      <w:szCs w:val="18"/>
    </w:rPr>
  </w:style>
  <w:style w:type="paragraph" w:styleId="14">
    <w:name w:val="toc 1"/>
    <w:basedOn w:val="1"/>
    <w:next w:val="1"/>
    <w:unhideWhenUsed/>
    <w:qFormat/>
    <w:uiPriority w:val="39"/>
    <w:pPr>
      <w:ind w:firstLine="0" w:firstLineChars="0"/>
    </w:pPr>
  </w:style>
  <w:style w:type="paragraph" w:styleId="15">
    <w:name w:val="toc 2"/>
    <w:basedOn w:val="1"/>
    <w:next w:val="1"/>
    <w:unhideWhenUsed/>
    <w:qFormat/>
    <w:uiPriority w:val="39"/>
    <w:pPr>
      <w:ind w:left="320" w:leftChars="100" w:firstLine="0" w:firstLineChars="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7">
    <w:name w:val="Normal (Web)"/>
    <w:basedOn w:val="1"/>
    <w:semiHidden/>
    <w:unhideWhenUsed/>
    <w:qFormat/>
    <w:uiPriority w:val="99"/>
    <w:pPr>
      <w:spacing w:beforeAutospacing="1" w:afterAutospacing="1"/>
      <w:jc w:val="left"/>
    </w:pPr>
    <w:rPr>
      <w:kern w:val="0"/>
      <w:sz w:val="24"/>
    </w:rPr>
  </w:style>
  <w:style w:type="paragraph" w:styleId="18">
    <w:name w:val="Title"/>
    <w:basedOn w:val="1"/>
    <w:link w:val="31"/>
    <w:qFormat/>
    <w:uiPriority w:val="0"/>
    <w:pPr>
      <w:spacing w:line="240" w:lineRule="auto"/>
      <w:ind w:left="-37" w:leftChars="-37" w:right="-109" w:rightChars="-39" w:hanging="104" w:hangingChars="20"/>
      <w:jc w:val="center"/>
    </w:pPr>
    <w:rPr>
      <w:rFonts w:eastAsia="宋体"/>
      <w:sz w:val="52"/>
    </w:rPr>
  </w:style>
  <w:style w:type="paragraph" w:styleId="19">
    <w:name w:val="annotation subject"/>
    <w:basedOn w:val="7"/>
    <w:next w:val="7"/>
    <w:link w:val="37"/>
    <w:semiHidden/>
    <w:unhideWhenUsed/>
    <w:qFormat/>
    <w:uiPriority w:val="99"/>
    <w:rPr>
      <w:b/>
      <w:bCs/>
    </w:rPr>
  </w:style>
  <w:style w:type="paragraph" w:styleId="20">
    <w:name w:val="Body Text First Indent 2"/>
    <w:basedOn w:val="9"/>
    <w:qFormat/>
    <w:uiPriority w:val="0"/>
    <w:pPr>
      <w:ind w:firstLine="420"/>
    </w:pPr>
  </w:style>
  <w:style w:type="character" w:styleId="23">
    <w:name w:val="Strong"/>
    <w:basedOn w:val="22"/>
    <w:qFormat/>
    <w:uiPriority w:val="22"/>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paragraph" w:customStyle="1" w:styleId="26">
    <w:name w:val="实施方案正文"/>
    <w:basedOn w:val="27"/>
    <w:qFormat/>
    <w:uiPriority w:val="0"/>
    <w:pPr>
      <w:ind w:firstLine="566" w:firstLineChars="202"/>
    </w:pPr>
    <w:rPr>
      <w:szCs w:val="28"/>
    </w:rPr>
  </w:style>
  <w:style w:type="paragraph" w:customStyle="1" w:styleId="27">
    <w:name w:val="正文 New"/>
    <w:next w:val="26"/>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customStyle="1" w:styleId="28">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9">
    <w:name w:val="页眉 字符"/>
    <w:basedOn w:val="22"/>
    <w:link w:val="13"/>
    <w:qFormat/>
    <w:uiPriority w:val="99"/>
    <w:rPr>
      <w:rFonts w:eastAsia="仿宋_GB2312"/>
      <w:kern w:val="2"/>
      <w:sz w:val="18"/>
      <w:szCs w:val="18"/>
    </w:rPr>
  </w:style>
  <w:style w:type="character" w:customStyle="1" w:styleId="30">
    <w:name w:val="页脚 字符"/>
    <w:basedOn w:val="22"/>
    <w:link w:val="12"/>
    <w:qFormat/>
    <w:uiPriority w:val="99"/>
    <w:rPr>
      <w:sz w:val="18"/>
      <w:szCs w:val="18"/>
    </w:rPr>
  </w:style>
  <w:style w:type="character" w:customStyle="1" w:styleId="31">
    <w:name w:val="标题 字符"/>
    <w:basedOn w:val="22"/>
    <w:link w:val="18"/>
    <w:qFormat/>
    <w:uiPriority w:val="0"/>
    <w:rPr>
      <w:rFonts w:ascii="Times New Roman" w:hAnsi="Times New Roman" w:eastAsia="宋体" w:cs="Times New Roman"/>
      <w:sz w:val="52"/>
      <w:szCs w:val="24"/>
    </w:rPr>
  </w:style>
  <w:style w:type="character" w:customStyle="1" w:styleId="32">
    <w:name w:val="标题 1 字符"/>
    <w:basedOn w:val="22"/>
    <w:link w:val="2"/>
    <w:qFormat/>
    <w:uiPriority w:val="9"/>
    <w:rPr>
      <w:rFonts w:ascii="Times New Roman" w:hAnsi="Times New Roman" w:eastAsia="方正小标宋简体" w:cs="Times New Roman"/>
      <w:b/>
      <w:bCs/>
      <w:kern w:val="44"/>
      <w:sz w:val="36"/>
      <w:szCs w:val="44"/>
    </w:rPr>
  </w:style>
  <w:style w:type="character" w:customStyle="1" w:styleId="33">
    <w:name w:val="标题 2 字符"/>
    <w:basedOn w:val="22"/>
    <w:link w:val="3"/>
    <w:qFormat/>
    <w:uiPriority w:val="9"/>
    <w:rPr>
      <w:rFonts w:eastAsia="楷体_GB2312" w:asciiTheme="majorHAnsi" w:hAnsiTheme="majorHAnsi" w:cstheme="majorBidi"/>
      <w:b/>
      <w:bCs/>
      <w:sz w:val="32"/>
      <w:szCs w:val="32"/>
    </w:rPr>
  </w:style>
  <w:style w:type="character" w:customStyle="1" w:styleId="34">
    <w:name w:val="标题 3 字符"/>
    <w:basedOn w:val="22"/>
    <w:link w:val="4"/>
    <w:qFormat/>
    <w:uiPriority w:val="9"/>
    <w:rPr>
      <w:rFonts w:ascii="Times New Roman" w:hAnsi="Times New Roman" w:eastAsia="仿宋_GB2312" w:cs="Times New Roman"/>
      <w:bCs/>
      <w:sz w:val="32"/>
      <w:szCs w:val="32"/>
    </w:rPr>
  </w:style>
  <w:style w:type="character" w:customStyle="1" w:styleId="35">
    <w:name w:val="标题 4 字符"/>
    <w:basedOn w:val="22"/>
    <w:link w:val="5"/>
    <w:qFormat/>
    <w:uiPriority w:val="9"/>
    <w:rPr>
      <w:rFonts w:eastAsia="仿宋_GB2312" w:asciiTheme="majorHAnsi" w:hAnsiTheme="majorHAnsi" w:cstheme="majorBidi"/>
      <w:bCs/>
      <w:sz w:val="32"/>
      <w:szCs w:val="28"/>
    </w:rPr>
  </w:style>
  <w:style w:type="character" w:customStyle="1" w:styleId="36">
    <w:name w:val="批注文字 字符"/>
    <w:basedOn w:val="22"/>
    <w:link w:val="7"/>
    <w:semiHidden/>
    <w:qFormat/>
    <w:uiPriority w:val="99"/>
    <w:rPr>
      <w:rFonts w:eastAsia="仿宋_GB2312"/>
      <w:kern w:val="2"/>
      <w:sz w:val="32"/>
      <w:szCs w:val="24"/>
    </w:rPr>
  </w:style>
  <w:style w:type="character" w:customStyle="1" w:styleId="37">
    <w:name w:val="批注主题 字符"/>
    <w:basedOn w:val="36"/>
    <w:link w:val="19"/>
    <w:semiHidden/>
    <w:qFormat/>
    <w:uiPriority w:val="99"/>
    <w:rPr>
      <w:rFonts w:eastAsia="仿宋_GB2312"/>
      <w:b/>
      <w:bCs/>
      <w:kern w:val="2"/>
      <w:sz w:val="32"/>
      <w:szCs w:val="24"/>
    </w:rPr>
  </w:style>
  <w:style w:type="character" w:customStyle="1" w:styleId="38">
    <w:name w:val="font11"/>
    <w:basedOn w:val="22"/>
    <w:qFormat/>
    <w:uiPriority w:val="0"/>
    <w:rPr>
      <w:rFonts w:hint="eastAsia" w:ascii="仿宋_GB2312" w:eastAsia="仿宋_GB2312" w:cs="仿宋_GB2312"/>
      <w:color w:val="000000"/>
      <w:sz w:val="20"/>
      <w:szCs w:val="20"/>
      <w:u w:val="none"/>
    </w:rPr>
  </w:style>
  <w:style w:type="character" w:customStyle="1" w:styleId="39">
    <w:name w:val="font21"/>
    <w:basedOn w:val="22"/>
    <w:qFormat/>
    <w:uiPriority w:val="0"/>
    <w:rPr>
      <w:rFonts w:hint="eastAsia" w:ascii="仿宋_GB2312" w:eastAsia="仿宋_GB2312" w:cs="仿宋_GB2312"/>
      <w:color w:val="525252"/>
      <w:sz w:val="21"/>
      <w:szCs w:val="21"/>
      <w:u w:val="none"/>
    </w:rPr>
  </w:style>
  <w:style w:type="character" w:customStyle="1" w:styleId="40">
    <w:name w:val="font31"/>
    <w:basedOn w:val="22"/>
    <w:qFormat/>
    <w:uiPriority w:val="0"/>
    <w:rPr>
      <w:rFonts w:hint="eastAsia" w:ascii="仿宋_GB2312" w:eastAsia="仿宋_GB2312" w:cs="仿宋_GB2312"/>
      <w:color w:val="000000"/>
      <w:sz w:val="21"/>
      <w:szCs w:val="21"/>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7D980-2669-47F6-9398-A46DBA9D15F3}">
  <ds:schemaRefs/>
</ds:datastoreItem>
</file>

<file path=docProps/app.xml><?xml version="1.0" encoding="utf-8"?>
<Properties xmlns="http://schemas.openxmlformats.org/officeDocument/2006/extended-properties" xmlns:vt="http://schemas.openxmlformats.org/officeDocument/2006/docPropsVTypes">
  <Template>Normal</Template>
  <Pages>38</Pages>
  <Words>3050</Words>
  <Characters>17390</Characters>
  <Lines>144</Lines>
  <Paragraphs>40</Paragraphs>
  <TotalTime>1471</TotalTime>
  <ScaleCrop>false</ScaleCrop>
  <LinksUpToDate>false</LinksUpToDate>
  <CharactersWithSpaces>20400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2023-10-15T07:48:00Z</dcterms:created>
  <dc:creator>段 蒙</dc:creator>
  <cp:lastModifiedBy>User</cp:lastModifiedBy>
  <cp:lastPrinted>2024-01-08T05:26:32Z</cp:lastPrinted>
  <dcterms:modified xsi:type="dcterms:W3CDTF">2024-01-08T05:41:45Z</dcterms:modified>
  <cp:revision>714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A96A736F12BF4CAD85E91EB5BA51ACA3_13</vt:lpwstr>
  </property>
</Properties>
</file>