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3415" w:type="dxa"/>
        <w:tblInd w:w="96" w:type="dxa"/>
        <w:tblLayout w:type="autofit"/>
        <w:tblCellMar>
          <w:top w:w="0" w:type="dxa"/>
          <w:left w:w="108" w:type="dxa"/>
          <w:bottom w:w="0" w:type="dxa"/>
          <w:right w:w="108" w:type="dxa"/>
        </w:tblCellMar>
      </w:tblPr>
      <w:tblGrid>
        <w:gridCol w:w="693"/>
        <w:gridCol w:w="1832"/>
        <w:gridCol w:w="5168"/>
        <w:gridCol w:w="2267"/>
        <w:gridCol w:w="1619"/>
        <w:gridCol w:w="1836"/>
      </w:tblGrid>
      <w:tr>
        <w:tblPrEx>
          <w:tblCellMar>
            <w:top w:w="0" w:type="dxa"/>
            <w:left w:w="108" w:type="dxa"/>
            <w:bottom w:w="0" w:type="dxa"/>
            <w:right w:w="108" w:type="dxa"/>
          </w:tblCellMar>
        </w:tblPrEx>
        <w:trPr>
          <w:trHeight w:val="444" w:hRule="atLeast"/>
        </w:trPr>
        <w:tc>
          <w:tcPr>
            <w:tcW w:w="13415" w:type="dxa"/>
            <w:gridSpan w:val="6"/>
            <w:tcBorders>
              <w:top w:val="nil"/>
              <w:left w:val="nil"/>
              <w:bottom w:val="nil"/>
              <w:right w:val="nil"/>
            </w:tcBorders>
            <w:shd w:val="clear" w:color="auto" w:fill="auto"/>
            <w:noWrap/>
            <w:vAlign w:val="center"/>
          </w:tcPr>
          <w:p>
            <w:pPr>
              <w:widowControl/>
              <w:jc w:val="left"/>
              <w:textAlignment w:val="center"/>
              <w:rPr>
                <w:rFonts w:ascii="黑体" w:hAnsi="宋体" w:eastAsia="黑体" w:cs="黑体"/>
                <w:color w:val="000000"/>
                <w:kern w:val="0"/>
                <w:sz w:val="36"/>
                <w:szCs w:val="36"/>
                <w:lang w:bidi="ar"/>
              </w:rPr>
            </w:pPr>
            <w:r>
              <w:rPr>
                <w:rFonts w:hint="eastAsia" w:ascii="仿宋_GB2312" w:hAnsi="仿宋_GB2312" w:eastAsia="仿宋_GB2312" w:cs="仿宋_GB2312"/>
                <w:color w:val="000000"/>
                <w:kern w:val="0"/>
                <w:sz w:val="32"/>
                <w:szCs w:val="32"/>
                <w:lang w:bidi="ar"/>
              </w:rPr>
              <w:t xml:space="preserve">附件2                           </w:t>
            </w:r>
            <w:r>
              <w:rPr>
                <w:rFonts w:hint="eastAsia" w:ascii="黑体" w:hAnsi="宋体" w:eastAsia="黑体" w:cs="黑体"/>
                <w:color w:val="000000"/>
                <w:kern w:val="0"/>
                <w:sz w:val="36"/>
                <w:szCs w:val="36"/>
                <w:lang w:bidi="ar"/>
              </w:rPr>
              <w:t>从轻处罚事项清单</w:t>
            </w:r>
          </w:p>
          <w:p>
            <w:pPr>
              <w:widowControl/>
              <w:jc w:val="left"/>
              <w:textAlignment w:val="center"/>
              <w:rPr>
                <w:rFonts w:ascii="黑体" w:hAnsi="宋体" w:eastAsia="黑体" w:cs="黑体"/>
                <w:color w:val="000000"/>
                <w:kern w:val="0"/>
                <w:sz w:val="36"/>
                <w:szCs w:val="36"/>
                <w:lang w:bidi="ar"/>
              </w:rPr>
            </w:pPr>
          </w:p>
        </w:tc>
      </w:tr>
      <w:tr>
        <w:tblPrEx>
          <w:tblCellMar>
            <w:top w:w="0" w:type="dxa"/>
            <w:left w:w="108" w:type="dxa"/>
            <w:bottom w:w="0" w:type="dxa"/>
            <w:right w:w="108" w:type="dxa"/>
          </w:tblCellMar>
        </w:tblPrEx>
        <w:trPr>
          <w:trHeight w:val="62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序号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行政处罚事项</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设定法律依据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适用情形</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从轻处罚法律依据</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kern w:val="0"/>
                <w:sz w:val="24"/>
                <w:lang w:bidi="ar"/>
              </w:rPr>
            </w:pPr>
            <w:r>
              <w:rPr>
                <w:rFonts w:hint="eastAsia" w:ascii="黑体" w:hAnsi="宋体" w:eastAsia="黑体" w:cs="黑体"/>
                <w:b/>
                <w:bCs/>
                <w:color w:val="000000"/>
                <w:kern w:val="0"/>
                <w:sz w:val="24"/>
                <w:lang w:bidi="ar"/>
              </w:rPr>
              <w:t>备注</w:t>
            </w:r>
          </w:p>
        </w:tc>
      </w:tr>
      <w:tr>
        <w:tblPrEx>
          <w:tblCellMar>
            <w:top w:w="0" w:type="dxa"/>
            <w:left w:w="108" w:type="dxa"/>
            <w:bottom w:w="0" w:type="dxa"/>
            <w:right w:w="108" w:type="dxa"/>
          </w:tblCellMar>
        </w:tblPrEx>
        <w:trPr>
          <w:trHeight w:val="343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的决策机构、主要负责人或者个人经营的投资人不依照《中华人民共和国安全生产法》规定保证安全生产所必需的资金投入，致使生产经营单位不具备安全生产条件的，导致发生生产安全事故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有前款违法行为，导致发生生产安全事故的，对生产经营单位的主要负责人给予撤职处分，对个人经营的投资人处二万元以上二十万元以下的罚款；构成犯罪的，依照刑法有关规定追究刑事责任。</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发生生产安全事故未造成亡人事故，主动消除或者减轻违法行为危害后果的。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819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对生产经营单位的主要负责人未履行《中华人民共和国安全生产法》规定的安全生产管理职责的处罚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《中华人民共和国安全生产法》第二十一条：生产经营单位的主要负责人对本单位安全生产工作负有下列职责:</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（一）建立健全并落实本单位全员安全生产责任制，加强安全生产标准化建设；</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（二）组织制定并实施本单位安全生产规章制度和操作规程；</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（三）组织制定并实施本单位安全生产教育和培训计划；</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（四）保证本单位安全生产投入的有效实施；</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（五）组织建立并落实安全风险分级管控和隐患排查治理双重预防工作机制，督促、检查本单位的安全生产工作，及时消除生产安全事故隐患；</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（六）组织制定并实施本单位的生产安全事故应急救援预案；</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（七）及时、如实报告生产安全事故。</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《中华人民共和国安全生产法》第九十五条：生产经营单位的主要负责人未履行本法规定的安全生产管理职责，导致发生生产安全事故的，由应急管理部门依照下列规定处以罚款:</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（一）发生一般事故的，处上一年年收入百分之四十的罚款；</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（二）发生较大事故的，处上一年年收入百分之六十的罚款；</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（三）发生重大事故的，处上一年年收入百分之八十的罚款；</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（四）发生特别重大事故的，处上一年年收入百分之一百的罚款。</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有三项以下职责未履行，主动消除或者减轻违法行为危害后果的。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686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对生产经营单位的其他负责人和安全生产管理人员未履行《中华人民共和国安全生产法》规定的安全生产管理职责的处罚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kern w:val="0"/>
                <w:sz w:val="22"/>
                <w:szCs w:val="22"/>
                <w:lang w:bidi="ar"/>
              </w:rPr>
            </w:pPr>
            <w:r>
              <w:rPr>
                <w:rFonts w:hint="eastAsia" w:ascii="黑体" w:hAnsi="黑体" w:eastAsia="黑体" w:cs="黑体"/>
                <w:color w:val="000000"/>
                <w:kern w:val="0"/>
                <w:szCs w:val="21"/>
                <w:lang w:bidi="ar"/>
              </w:rPr>
              <w:t>《中华人民共和国安全生产法》第二十五条：生产经营单位的安全生产管理机构以及安全生产管理人员履行下列职责:</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（一）组织或者参与拟订本单位安全生产规章制度、操作规程和生产安全事故应急救援预案；</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（二）组织或者参与本单位安全生产教育和培训，如实记录安全生产教育和培训情况；</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（三）组织开展危险源辨识和评估，督促落实本单位重大危险源的安全管理措施；</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（四）组织或者参与本单位应急救援演练；</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（五）检查本单位的安全生产状况，及时排查生产安全事故隐患，提出改进安全生产管理的建议；</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（六）制止和纠正违章指挥、强令冒险作业、违反操作规程的行为；</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（七）督促落实本单位安全生产整改措施。</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生产经营单位可以设置专职安全生产分管负责人，协助本单位主要负责人履行安全生产管理职责。</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有三项以下职责未履行，主动消除或者减轻违法行为危害后果的。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496"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对生产经营单位未按照规定设置安全生产管理机构或者配备安全生产管理人员、注册安全工程师的处罚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七条第一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r>
              <w:rPr>
                <w:rFonts w:hint="eastAsia" w:ascii="黑体" w:hAnsi="黑体" w:eastAsia="黑体" w:cs="黑体"/>
                <w:color w:val="000000"/>
                <w:kern w:val="0"/>
                <w:sz w:val="22"/>
                <w:szCs w:val="22"/>
                <w:lang w:bidi="ar"/>
              </w:rPr>
              <w:br w:type="textWrapping"/>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三年内未发生安全生产责任事故，主动消除违法行为危害后果，且在限期内改正的。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566"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对未按照规定对从业人员、被派遣劳动者、实习学生进行安全生产教育和培训，或者未按照规定如实告知有关的安全生产事项的处罚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七条第三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云南省安全生产条例》第五十二条第一款：生产经营单位违反本条例第十五条、第十八条、第二十二条规定的，责令限期改正，可以处1万元以上5万元以下的罚款；逾期未改正的，责令停产停业整顿，并处5万元以上10万元以下的罚款，对其直接负责的主管人员和其他直接责任人员处1万元以上2万元以下的罚款。</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未按照规定进行安全生产教育和培训或者未按照规定如实告知有关的安全生产事项的从业人员、被派遣劳动者、实习学生在4人以下，主动消除违法行为的。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187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对生产经营单位未如实记录安全生产教育和培训情况的处罚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 xml:space="preserve">《中华人民共和国安全生产法》第九十七条第四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三年内未发生安全生产责任事故，主动消除违法行为危害后果，且在限期内改正的。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1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对生产经营单位未按照规定制定生产安全事故应急救援预案或者未定期组织演练的处罚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七条第六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三年内未发生安全生产责任事故，主动消除违法行为危害后果，且在限期内改正的。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70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对特种作业人员未按照规定经专门的安全作业培训并取得相应资格，上岗作业的处罚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七条第七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有3人以下特种作业人员未按照规定经专门的安全作业培训并取得相应资格，上岗作业，主动消除违法行为的。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31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对未按照规定对矿山、金属冶炼建设项目或者用于生产、储存、装卸危险物品的建设项目进行安全评价的处罚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八条第一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1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1</w:t>
            </w:r>
            <w:r>
              <w:rPr>
                <w:rFonts w:hint="default" w:ascii="黑体" w:hAnsi="黑体" w:eastAsia="黑体" w:cs="黑体"/>
                <w:color w:val="000000"/>
                <w:kern w:val="0"/>
                <w:sz w:val="22"/>
                <w:szCs w:val="22"/>
                <w:lang w:bidi="ar"/>
              </w:rPr>
              <w:t>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对未对安全设备进行经常性维护、保养和定期检测的处罚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九条第三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496"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11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对关闭、破坏直接关系生产安全的监控、报警、防护、救生设备、设施，或者篡改、隐瞒、销毁其相关数据、信息的处罚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九条第四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从业人员在50人以下的非高危生产经营单位关闭、破坏，主动消除违法行为的。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496"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12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对未为从业人员提供符合国家标准或者行业标准的劳动防护用品的处罚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九条第五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31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13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对危险物品的容器、运输工具，以及涉及人身安全、危险性较大的海洋石油开采特种设备和矿山井下特种设备未经具有专业资质的机构检测、检验合格，取得安全使用证或者安全标志，投入使用的处罚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九条第六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危险物品的容器、运输工具，以及涉及人身安全、危险性较大的海洋石油开采特种设备和矿山井下特种设备未经具有专业资质的机构检测、检验合格，取得安全使用证或者安全标志，投入使用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投入使用的期限在三个月以下，主动消除违法行为的。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1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14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对使用应当淘汰的危及生产安全的工艺、设备的处罚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九条第七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使用1种（台、套）应当淘汰的危及生产安全的工艺或者设备，主动消除违法行为的。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9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15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对餐饮等行业的生产经营单位使用燃气未安装可燃气体报警装置的处罚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九十九条第八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八）餐饮等行业的生产经营单位使用燃气未安装可燃气体报警装置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使用燃气未安装可燃气体报警装置在三个月以下，主动消除违法行为的。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80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16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对生产、经营、运输、储存、使用危险物品或者处置废弃危险物品，未建立专门安全管理制度、未采取可靠的安全措施的处罚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一条第一项：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　</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496"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17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对重大危险源未登记建档，未进行定期检测、评估、监控，未制定应急预案，或者未告知应急措施的处罚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一条第二项：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重大危险源有未登记建档，或者未进行评估、监控，或者未制定应急预案三种情形之一，主动消除违法行为的。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80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18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对进行爆破、吊装、动火、临时用电以及国务院应急管理部门会同国务院有关部门规定的其他危险作业，未安排专门人员进行现场安全管理的处罚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一条第三项：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危险作业时，落实安全措施不完善，主动消除违法行为的。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496"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19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对生产经营单位未建立安全风险分级管控制度或者未按照安全风险分级采取相应管控措施的处罚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一条第四项：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496"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对未建立事故隐患排查治理制度，或者重大事故隐患排查治理情况未按照规定报告的处罚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一条第五项：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从业人员在100人以下的非高危生产经营单位或从业人员在50人以下的高危生产经营单位，未建立事故隐患排查治理制度，主动消除违法行为的。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60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对生产经营单位未采取措施消除事故隐患的处罚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未消除事故隐患有3项以下（重大事故隐患除外），主动消除违法行为的。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80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对生产经营单位将生产经营项目、场所、设备发包或者出租给不具备安全生产条件或者相应资质的单位或者个人的处罚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没有违法所得或违法所得在5万元以下，主动消除违法行为的。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6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w:t>
            </w:r>
            <w:r>
              <w:rPr>
                <w:rFonts w:hint="eastAsia" w:ascii="黑体" w:hAnsi="黑体" w:eastAsia="黑体" w:cs="黑体"/>
                <w:color w:val="000000"/>
                <w:kern w:val="0"/>
                <w:sz w:val="22"/>
                <w:szCs w:val="22"/>
                <w:lang w:bidi="ar"/>
              </w:rPr>
              <w:t>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374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对矿山、金属冶炼建设项目和用于生产、储存、装卸危险物品的建设项目的施工单位未按照规定对施工项目进行安全管理和施工单位倒卖、出租、出借、挂靠或者以其他形式非法转让施工资质的</w:t>
            </w:r>
            <w:bookmarkStart w:id="0" w:name="_GoBack"/>
            <w:bookmarkEnd w:id="0"/>
            <w:r>
              <w:rPr>
                <w:rFonts w:hint="eastAsia" w:ascii="黑体" w:hAnsi="黑体" w:eastAsia="黑体" w:cs="黑体"/>
                <w:color w:val="000000"/>
                <w:kern w:val="0"/>
                <w:sz w:val="22"/>
                <w:szCs w:val="22"/>
                <w:lang w:bidi="ar"/>
              </w:rPr>
              <w:t>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三条第三款：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建设项目投资额在500万元以下、或违法所得在5万元以下，主动消除违法行为的。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99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w:t>
            </w:r>
            <w:r>
              <w:rPr>
                <w:rFonts w:hint="eastAsia" w:ascii="黑体" w:hAnsi="黑体" w:eastAsia="黑体" w:cs="黑体"/>
                <w:color w:val="000000"/>
                <w:kern w:val="0"/>
                <w:sz w:val="22"/>
                <w:szCs w:val="22"/>
                <w:lang w:bidi="ar"/>
              </w:rPr>
              <w:t>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对两个以上生产经营单位在同一作业区域内进行可能危及对方安全生产的生产经营活动，未签订安全生产管理协议或者未指定专职安全生产管理人员进行安全检查与协调的处罚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1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对生产、经营、储存、使用危险物品的车间、商店、仓库与员工宿舍在同一座建筑内，或者与员工宿舍的距离不符合安全要求的处罚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五条第一项：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三年内未发生安全生产责任事故，主动消除违法行为后果，且在限期内改正的。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496"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对生产经营场所和员工宿舍未设有符合紧急疏散需要、标志明显、保持畅通的出口、疏散通道，或者占用、锁闭、封堵生产经营场所或者员工宿舍出口、疏散通道的处罚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五条第二项：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（二）生产经营场所和员工宿舍未设有符合紧急疏散需要、标志明显、保持畅通的出口、疏散通道，或者占用、锁闭、封堵生产经营场所或者员工宿舍出口、疏散通道的。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有未设有符合紧急疏散需要、标志明显、保持畅通的出口、疏散通道三种情形之一的，或者占用生产经营场所或者员工宿舍出口、疏散通道，主动消除违法行为的。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87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对生产经营单位拒绝、阻碍负有安全生产监督管理职责的部门依法实施监督检查的处罚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八条规定：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采用逃避、躲避方式的，经多次教育说服后主动配合，减轻违法行为危害后果的。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195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29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对高危行业、领域的生产经营单位未按照国家规定投保安全生产责任保险的处罚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零九条：高危行业、领域的生产经营单位未按照国家规定投保安全生产责任保险的，责令限期改正，处五万元以上十万元以下的罚款；逾期未改正的，处十万元以上二十万元以下的罚款。</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单位从业人员在30人以下，主动消除违法行为的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9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30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对生产经营单位的主要负责人在本单位发生生产安全事故时,不立即组织抢救或者在事故调查处理期间擅离职守或者逃匿的、对该事故隐瞒不报、谎报或者迟报的处罚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一十条：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生产经营单位的主要负责人对生产安全事故隐瞒不报、谎报或者迟报的，依照前款规定处罚。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发生生产安全事故未造成人员死亡，主动消除或者减轻违法行为危害后果的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297"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31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对发生一般事故负有责任的单位的处罚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一十四条第一款第（一）项：发生生产安全事故，对负有责任的生产经营单位除要求其依法承担相应的赔偿等责任外，由应急管理部门依照下列规定处以罚款:（一）发生一般事故的，处三十万元以上一百万元以下的罚款。</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造成1人死亡，或者造成5人以下重伤，或者200万元以下直接经济损失，主动减轻违法行为危害后果的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70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32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对发生较大事故负有责任的单位的处罚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一十四条第一款第（二）项：发生生产安全事故，对负有责任的生产经营单位除要求其依法承担相应的赔偿等责任外，由应急管理部门依照下列规定处以罚款:（二）发生较大事故的，处一百万元以上二百万元以下的罚款。</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造成3人以上5人以下死亡，或者造成10以上15人以下重伤，或者1000万以上2000万元以下直接经济损失，主动减轻违法行为危害后果的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99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33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对发生重大事故负有责任的单位的处罚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一十四条第一款第（三）项：发生生产安全事故，对负有责任的生产经营单位除要求其依法承担相应的赔偿等责任外，由应急管理部门依照下列规定处以罚款:（三）发生重大事故的，处二百万元以上一千万元以下的罚款。</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造成10人以上15人以下死亡，或者造成50人以上60人以下重伤，或者5000万元以上6000万以下直接经济损失，主动减轻违法行为危害后果的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84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黑体" w:eastAsia="黑体" w:cs="黑体"/>
                <w:color w:val="000000"/>
                <w:kern w:val="0"/>
                <w:sz w:val="22"/>
                <w:szCs w:val="22"/>
                <w:lang w:bidi="ar"/>
              </w:rPr>
            </w:pPr>
            <w:r>
              <w:rPr>
                <w:rFonts w:hint="default" w:ascii="黑体" w:hAnsi="黑体" w:eastAsia="黑体" w:cs="黑体"/>
                <w:color w:val="000000"/>
                <w:kern w:val="0"/>
                <w:sz w:val="22"/>
                <w:szCs w:val="22"/>
                <w:lang w:bidi="ar"/>
              </w:rPr>
              <w:t>34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对发生特别重大事故负有责任的单位的处罚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安全生产法》第一百一十四条第一款第（四）项：发生生产安全事故，对负有责任的生产经营单位除要求其依法承担相应的赔偿等责任外，由应急管理部门依照下列规定处以罚款:（四）发生特别重大事故的，处一千万元以上二千万元以下的罚款。</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造成30人以上35人以下死亡，或者造成100以上110人以下重伤，或者1亿以上1.5亿元以下直接经济损失，主动减轻违法行为危害后果的。</w:t>
            </w:r>
          </w:p>
        </w:tc>
        <w:tc>
          <w:tcPr>
            <w:tcW w:w="16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黑体"/>
                <w:color w:val="000000"/>
                <w:kern w:val="0"/>
                <w:sz w:val="22"/>
                <w:szCs w:val="22"/>
                <w:lang w:bidi="ar"/>
              </w:rPr>
              <w:t>《中华人民共和国行政处罚法》第三十二条第（一）项</w:t>
            </w:r>
          </w:p>
        </w:tc>
        <w:tc>
          <w:tcPr>
            <w:tcW w:w="183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bl>
    <w:p>
      <w:pPr>
        <w:rPr>
          <w:rFonts w:hint="eastAsia"/>
        </w:rPr>
      </w:pPr>
    </w:p>
    <w:sectPr>
      <w:pgSz w:w="16838" w:h="11906" w:orient="landscape"/>
      <w:pgMar w:top="2200" w:right="1440" w:bottom="203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 w:name="KSO_WPS_MARK_KEY" w:val="74ca8b4b-2932-46b0-a8d9-a52d1ea3d4f7"/>
  </w:docVars>
  <w:rsids>
    <w:rsidRoot w:val="7DF50195"/>
    <w:rsid w:val="002F6C1B"/>
    <w:rsid w:val="00356D28"/>
    <w:rsid w:val="00662028"/>
    <w:rsid w:val="009348AF"/>
    <w:rsid w:val="00B14D81"/>
    <w:rsid w:val="00C464A8"/>
    <w:rsid w:val="00DC18A5"/>
    <w:rsid w:val="00F017D5"/>
    <w:rsid w:val="0AF71779"/>
    <w:rsid w:val="2BC646B1"/>
    <w:rsid w:val="3F87FF63"/>
    <w:rsid w:val="59A40CEE"/>
    <w:rsid w:val="59EA5282"/>
    <w:rsid w:val="6D2F9D85"/>
    <w:rsid w:val="6EFF492E"/>
    <w:rsid w:val="6FF326D0"/>
    <w:rsid w:val="72F7A651"/>
    <w:rsid w:val="7A7774DF"/>
    <w:rsid w:val="7B77693E"/>
    <w:rsid w:val="7DF50195"/>
    <w:rsid w:val="7EFF952D"/>
    <w:rsid w:val="7FFD4576"/>
    <w:rsid w:val="9FD13D60"/>
    <w:rsid w:val="B5FF6E45"/>
    <w:rsid w:val="BEFF5D02"/>
    <w:rsid w:val="BFD62FBF"/>
    <w:rsid w:val="D37F6633"/>
    <w:rsid w:val="F6FED695"/>
    <w:rsid w:val="F7FF81C5"/>
    <w:rsid w:val="FEDF00C4"/>
    <w:rsid w:val="FF7BB8A7"/>
    <w:rsid w:val="FFABE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rPr>
      <w:rFonts w:ascii="Times New Roman" w:hAnsi="Times New Roman"/>
    </w:rPr>
  </w:style>
  <w:style w:type="paragraph" w:styleId="3">
    <w:name w:val="Body Text Indent"/>
    <w:basedOn w:val="1"/>
    <w:next w:val="4"/>
    <w:qFormat/>
    <w:uiPriority w:val="0"/>
    <w:pPr>
      <w:spacing w:after="120" w:line="240" w:lineRule="atLeast"/>
      <w:ind w:left="420" w:leftChars="200"/>
    </w:pPr>
    <w:rPr>
      <w:rFonts w:ascii="Calibri" w:hAnsi="Calibri" w:eastAsia="宋体" w:cs="Times New Roman"/>
      <w:spacing w:val="-6"/>
      <w:szCs w:val="20"/>
    </w:rPr>
  </w:style>
  <w:style w:type="paragraph" w:styleId="4">
    <w:name w:val="Normal Indent"/>
    <w:basedOn w:val="1"/>
    <w:qFormat/>
    <w:uiPriority w:val="0"/>
    <w:pPr>
      <w:spacing w:line="240" w:lineRule="atLeast"/>
      <w:ind w:firstLine="420" w:firstLineChars="200"/>
    </w:pPr>
    <w:rPr>
      <w:rFonts w:ascii="Calibri" w:hAnsi="Calibri" w:eastAsia="仿宋" w:cs="Times New Roman"/>
      <w:spacing w:val="-6"/>
      <w:sz w:val="32"/>
      <w:szCs w:val="20"/>
    </w:rPr>
  </w:style>
  <w:style w:type="paragraph" w:styleId="5">
    <w:name w:val="annotation text"/>
    <w:basedOn w:val="1"/>
    <w:link w:val="12"/>
    <w:qFormat/>
    <w:uiPriority w:val="0"/>
    <w:pPr>
      <w:jc w:val="left"/>
    </w:pPr>
  </w:style>
  <w:style w:type="paragraph" w:styleId="6">
    <w:name w:val="annotation subject"/>
    <w:basedOn w:val="5"/>
    <w:next w:val="5"/>
    <w:link w:val="13"/>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customStyle="1" w:styleId="1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2">
    <w:name w:val="批注文字 字符"/>
    <w:basedOn w:val="9"/>
    <w:link w:val="5"/>
    <w:qFormat/>
    <w:uiPriority w:val="0"/>
    <w:rPr>
      <w:rFonts w:asciiTheme="minorHAnsi" w:hAnsiTheme="minorHAnsi" w:eastAsiaTheme="minorEastAsia" w:cstheme="minorBidi"/>
      <w:kern w:val="2"/>
      <w:sz w:val="21"/>
      <w:szCs w:val="24"/>
    </w:rPr>
  </w:style>
  <w:style w:type="character" w:customStyle="1" w:styleId="13">
    <w:name w:val="批注主题 字符"/>
    <w:basedOn w:val="12"/>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2424</Words>
  <Characters>13823</Characters>
  <Lines>115</Lines>
  <Paragraphs>32</Paragraphs>
  <TotalTime>42</TotalTime>
  <ScaleCrop>false</ScaleCrop>
  <LinksUpToDate>false</LinksUpToDate>
  <CharactersWithSpaces>16215</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2022-10-25T08:26:00Z</dcterms:created>
  <dc:creator>山林</dc:creator>
  <cp:lastModifiedBy>晏洁</cp:lastModifiedBy>
  <dcterms:modified xsi:type="dcterms:W3CDTF">2024-02-09T03:24:04Z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3F52BBD4FE124130B0AF4E1C807CBCCA</vt:lpwstr>
  </property>
</Properties>
</file>