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-17"/>
          <w:kern w:val="0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-17"/>
          <w:kern w:val="0"/>
          <w:sz w:val="44"/>
          <w:szCs w:val="44"/>
          <w:u w:val="none"/>
          <w:lang w:val="en-US" w:eastAsia="zh-CN" w:bidi="ar-SA"/>
        </w:rPr>
        <w:t>安宁市农村留守儿童监护风险等级评估确认表</w:t>
      </w:r>
    </w:p>
    <w:bookmarkEnd w:id="0"/>
    <w:tbl>
      <w:tblPr>
        <w:tblStyle w:val="3"/>
        <w:tblW w:w="97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975"/>
        <w:gridCol w:w="5700"/>
        <w:gridCol w:w="91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风险领域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风险项目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2408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风险内容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9"/>
                <w:sz w:val="18"/>
                <w:szCs w:val="18"/>
              </w:rPr>
              <w:t>等级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99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9"/>
                <w:sz w:val="18"/>
                <w:szCs w:val="18"/>
                <w:lang w:val="en-US" w:eastAsia="zh-CN"/>
              </w:rPr>
              <w:t>是否存在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w w:val="99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9"/>
                <w:sz w:val="18"/>
                <w:szCs w:val="18"/>
                <w:lang w:val="en-US" w:eastAsia="zh-CN"/>
              </w:rPr>
              <w:t>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自身发展情况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身体状况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 w:right="99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18"/>
              </w:rPr>
              <w:t>重残（指一级二级残疾或三级四级精神、智力残疾）、患重病或罕见病儿童，包括艾滋病、白血病、自闭症、先天性心脏病等患各种重大疾病（列入城乡居民基本医疗保险大病病种的疾病）的儿童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Ⅰ级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患有慢性病或残疾状况的儿童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Ⅱ级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身高体重低于同年龄平均值，肢体出现不协调或行动反应缓慢等的儿童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预警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心理状况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 w:right="70"/>
              <w:textAlignment w:val="auto"/>
              <w:rPr>
                <w:rFonts w:hint="default" w:ascii="Times New Roman" w:hAnsi="Times New Roman" w:eastAsia="仿宋_GB2312" w:cs="Times New Roman"/>
                <w:sz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缺乏必要的亲情</w:t>
            </w:r>
            <w:r>
              <w:rPr>
                <w:rFonts w:hint="default" w:ascii="Times New Roman" w:hAnsi="Times New Roman" w:eastAsia="仿宋_GB2312" w:cs="Times New Roman"/>
                <w:sz w:val="18"/>
                <w:lang w:eastAsia="zh-CN"/>
              </w:rPr>
              <w:t>慰藉</w:t>
            </w:r>
            <w:r>
              <w:rPr>
                <w:rFonts w:hint="default" w:ascii="Times New Roman" w:hAnsi="Times New Roman" w:eastAsia="仿宋_GB2312" w:cs="Times New Roman"/>
                <w:sz w:val="18"/>
              </w:rPr>
              <w:t>，心理亚健康突出，出现孤僻、自卑、过度内向等心理问题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Ⅲ级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生活习惯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作息无规律、厌食、卫生习惯差等问题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Ⅲ级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作息较无规律、轻微厌食、卫生习惯较差等问题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预警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学习情况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成绩低于平均分以下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预警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人际交往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不愿意聆听和表达，不能与同伴友好相处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Ⅲ级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社会适应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不遵守社会行为规则，集体意识薄弱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预警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监护人情况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经济情况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家庭经济贫困，家庭人均收入低于本县最低生活标准的150%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Ⅰ级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基本照料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18"/>
              </w:rPr>
              <w:t>指父母（监护人）双方均符合重残、重病、服刑在押、强制隔离戒毒、被执行其他限制人身自由的措施、失联情形之一的儿童；或者父母（监护人）一方死亡或失踪，另一方符合重残、重病、服刑在押、强制隔离戒毒、被执行其他限制人身自由的措施、失联情形之一的儿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Ⅰ级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监护人虽有能力但事实上不履行抚养孩子的义务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Ⅰ级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家庭结构特殊而无法双亲抚养（非婚生、离婚或分居、重组家庭等）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Ⅲ级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安全保障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监护人缺乏风险意识，对儿童自我保护意识的培育较少，对儿童安全状况关注较少，儿童安全处于一定风险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Ⅲ级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情感交流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监护人与儿童情感交流少，关系存在一定危机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预警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邻里关系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监护人与邻里接触比较少，邻里对该监护人评价存在负面信息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预警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监护意愿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监护人的监护意愿不强烈，关注儿童成长较少，没有清晰的监护计划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预警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环境情况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  <w:r>
              <w:rPr>
                <w:rFonts w:hint="default" w:ascii="Times New Roman" w:hAnsi="Times New Roman" w:eastAsia="仿宋_GB2312" w:cs="Times New Roman"/>
                <w:sz w:val="2"/>
                <w:szCs w:val="2"/>
                <w:lang w:val="en-US" w:eastAsia="zh-CN"/>
              </w:rPr>
              <w:t>0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学校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校园欺凌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Ⅰ级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失学、辍学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Ⅱ级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家庭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家庭暴力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Ⅰ级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家庭出现重大变故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Ⅱ级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自有住房建筑面积人均低于当地保障性住房标准，儿童没有独立性房间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Ⅲ级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7" w:right="90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社会（村、社区）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非法侵害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Ⅰ级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没有儿童关爱保护服务机构或相关负责人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Ⅱ级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06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根据儿童居住地环境治安状况较差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</w:rPr>
              <w:t>Ⅲ级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134" w:right="13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2522F"/>
    <w:rsid w:val="4EF2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2024-05-29T01:55:00Z</dcterms:created>
  <dc:creator>Administrator</dc:creator>
  <cp:lastModifiedBy>Administrator</cp:lastModifiedBy>
  <dcterms:modified xsi:type="dcterms:W3CDTF">2024-05-29T01:56:00Z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