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w:t>
      </w:r>
      <w:r>
        <w:rPr>
          <w:rFonts w:hint="eastAsia" w:ascii="方正小标宋简体" w:hAnsi="方正小标宋简体" w:eastAsia="方正小标宋简体" w:cs="方正小标宋简体"/>
          <w:bCs/>
          <w:sz w:val="44"/>
          <w:szCs w:val="44"/>
          <w:lang w:eastAsia="zh-CN"/>
        </w:rPr>
        <w:t>健康</w:t>
      </w:r>
      <w:r>
        <w:rPr>
          <w:rFonts w:hint="eastAsia" w:ascii="方正小标宋简体" w:hAnsi="方正小标宋简体" w:eastAsia="方正小标宋简体" w:cs="方正小标宋简体"/>
          <w:bCs/>
          <w:sz w:val="44"/>
          <w:szCs w:val="44"/>
        </w:rPr>
        <w:t>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ascii="楷体_GB2312" w:eastAsia="楷体_GB2312"/>
          <w:sz w:val="32"/>
          <w:szCs w:val="32"/>
        </w:rPr>
      </w:pPr>
      <w:r>
        <w:rPr>
          <w:rFonts w:hint="eastAsia" w:ascii="楷体_GB2312" w:eastAsia="楷体_GB2312"/>
          <w:sz w:val="32"/>
          <w:szCs w:val="32"/>
        </w:rPr>
        <w:t>(</w:t>
      </w:r>
      <w:r>
        <w:rPr>
          <w:rFonts w:hint="eastAsia" w:ascii="方正仿宋简体" w:hAnsi="方正仿宋简体" w:eastAsia="方正仿宋简体" w:cs="方正仿宋简体"/>
          <w:sz w:val="32"/>
          <w:szCs w:val="32"/>
          <w:lang w:eastAsia="zh-CN"/>
        </w:rPr>
        <w:t>游泳场所卫生许可</w:t>
      </w:r>
      <w:r>
        <w:rPr>
          <w:rFonts w:hint="eastAsia" w:ascii="楷体_GB2312" w:eastAsia="楷体_GB2312"/>
          <w:sz w:val="32"/>
          <w:szCs w:val="32"/>
        </w:rPr>
        <w:t xml:space="preserve">) </w:t>
      </w:r>
    </w:p>
    <w:p>
      <w:pPr>
        <w:spacing w:line="560" w:lineRule="exact"/>
        <w:rPr>
          <w:rFonts w:ascii="方正仿宋简体" w:hAnsi="方正仿宋简体" w:eastAsia="方正仿宋简体" w:cs="方正仿宋简体"/>
          <w:bCs/>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w:t>
      </w:r>
      <w:r>
        <w:rPr>
          <w:rFonts w:hint="eastAsia" w:ascii="方正仿宋简体" w:hAnsi="方正仿宋简体" w:eastAsia="方正仿宋简体" w:cs="方正仿宋简体"/>
          <w:sz w:val="32"/>
          <w:szCs w:val="32"/>
          <w:lang w:eastAsia="zh-CN"/>
        </w:rPr>
        <w:t>健康</w:t>
      </w:r>
      <w:r>
        <w:rPr>
          <w:rFonts w:hint="eastAsia" w:ascii="方正仿宋简体" w:hAnsi="方正仿宋简体" w:eastAsia="方正仿宋简体" w:cs="方正仿宋简体"/>
          <w:sz w:val="32"/>
          <w:szCs w:val="32"/>
        </w:rPr>
        <w:t>局就办理游泳场所卫生许可证的依据和条件以及应当提交的材料一次性告知如下：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（1）《游泳场所卫生标准》（GB 9667-1996）</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（2）《游泳场所卫生规范》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(3)《公共场所集中空调通风系统卫生规范》WS 394-2012</w:t>
      </w:r>
    </w:p>
    <w:p>
      <w:pPr>
        <w:ind w:firstLine="960" w:firstLineChars="3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2.场所设置、布局及设施</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方正仿宋简体" w:eastAsia="方正仿宋简体" w:cs="方正仿宋简体"/>
          <w:sz w:val="32"/>
          <w:szCs w:val="32"/>
        </w:rPr>
        <w:t>（1）</w:t>
      </w:r>
      <w:r>
        <w:rPr>
          <w:rFonts w:hint="eastAsia" w:ascii="方正仿宋简体" w:hAnsi="Arial" w:eastAsia="方正仿宋简体" w:cs="Arial"/>
          <w:color w:val="333333"/>
          <w:sz w:val="32"/>
          <w:szCs w:val="32"/>
          <w:shd w:val="clear" w:color="auto" w:fill="FFFFFF"/>
        </w:rPr>
        <w:t>人工建造游泳场所应设置游泳池及急救室、更衣室、淋浴室、公共卫生间、水质循环净化消毒设备控制室及库房。并按更衣室、强制淋浴室和浸脚池、游泳池的顺序合理布局，相互间的比例适当，符合安全、卫生的使用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（2）急救室应按《体育场所开放条件与技术要求》GB19079要求设置，配有氧气袋、救护床、急救药品和器材，救护器材应摆放于明显位置，方便取用。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更衣室地面应使用防滑、防渗水、易于清洗的材料建造，地面坡度应满足建筑规范要求并设有排水设施。墙壁及内顶用防水、防霉、无毒材料覆涂。更衣室应配备与设计接待量相匹配的密闭更衣柜、鞋架等更衣设施，并设置流动水洗手及消毒设施。更衣柜宜采用光滑、防透水材料制造并应按一客一用的标准设置。更衣室通道宽敞，保持空气流通。常年开放的室内游泳池宜设有空气调节和换气设备、池水温度调节设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Arial" w:eastAsia="方正仿宋简体" w:cs="Arial"/>
          <w:color w:val="333333"/>
          <w:sz w:val="32"/>
          <w:szCs w:val="32"/>
          <w:shd w:val="clear" w:color="auto" w:fill="FFFFFF"/>
        </w:rPr>
        <w:t>淋浴室与浸脚消毒池之间应当设置强制通过式淋浴装置，淋浴室每20～30人设一个淋浴喷头。地面应用防滑、防渗水、易于清洗的材料建造，地面坡度应满足建筑规范要求并设有排水设施。墙壁及顶用防水、防霉、无毒材料覆涂，淋浴室设有给排水设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（5）为顾客提供饮具的应设置饮具专用消毒间。</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设有深、浅不同分区的游泳池应有明显的水深度、深浅水区警示标识，或者在游泳池池内设置标志明显的深、浅水隔离带。游泳池壁及池底应光洁不渗水，呈浅色，池角及底角呈圆角。游泳池外四周应采用防滑易于冲刷的材料铺设走道，走道有一定的向外倾斜度并设排水设施，排水设施应当设置水封等防空气污染隔离装置。</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方正仿宋简体" w:eastAsia="方正仿宋简体" w:cs="方正仿宋简体"/>
          <w:sz w:val="32"/>
          <w:szCs w:val="32"/>
        </w:rPr>
        <w:t>（7）</w:t>
      </w:r>
      <w:r>
        <w:rPr>
          <w:rFonts w:hint="eastAsia" w:ascii="方正仿宋简体" w:hAnsi="Arial" w:eastAsia="方正仿宋简体" w:cs="Arial"/>
          <w:color w:val="333333"/>
          <w:sz w:val="32"/>
          <w:szCs w:val="32"/>
          <w:shd w:val="clear" w:color="auto" w:fill="FFFFFF"/>
        </w:rPr>
        <w:t>淋浴室通往游泳池通道上应设强制通过式浸脚消毒池，池长不小于2米，宽度应与走道相同，深度20厘米。</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Arial" w:eastAsia="方正仿宋简体" w:cs="Arial"/>
          <w:color w:val="333333"/>
          <w:sz w:val="32"/>
          <w:szCs w:val="32"/>
          <w:shd w:val="clear" w:color="auto" w:fill="FFFFFF"/>
        </w:rPr>
        <w:t>（8）室内游泳池应有符合国家有关标准的人员出入口及疏散通道，设有机械通风设施。</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Arial" w:eastAsia="方正仿宋简体" w:cs="Arial"/>
          <w:color w:val="333333"/>
          <w:sz w:val="32"/>
          <w:szCs w:val="32"/>
          <w:shd w:val="clear" w:color="auto" w:fill="FFFFFF"/>
        </w:rPr>
        <w:t>（9）游泳池应当具有池水循环净化和消毒设施设备，设计参数应能满足水质处理的要求。采用液氯消毒的应有防止泄漏措施，水处理机房不得与游泳池直接相通，机房内应设置紧急报警装置。放置、加注液氯区域应设置在游泳池下风侧并设置警示标志，加药间门口应设置有效的防毒面具，使用液氯的在安全方面应符合有关部门的要求。</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Arial" w:eastAsia="方正仿宋简体" w:cs="Arial"/>
          <w:color w:val="333333"/>
          <w:sz w:val="32"/>
          <w:szCs w:val="32"/>
          <w:shd w:val="clear" w:color="auto" w:fill="FFFFFF"/>
        </w:rPr>
        <w:t>（10）游泳场所应配备余氯、PH值、水温度计等水质检测设备。</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Arial" w:eastAsia="方正仿宋简体" w:cs="Arial"/>
          <w:color w:val="333333"/>
          <w:sz w:val="32"/>
          <w:szCs w:val="32"/>
          <w:shd w:val="clear" w:color="auto" w:fill="FFFFFF"/>
        </w:rPr>
        <w:t>3.从业人员</w:t>
      </w:r>
    </w:p>
    <w:p>
      <w:pPr>
        <w:ind w:firstLine="640" w:firstLineChars="200"/>
        <w:rPr>
          <w:rFonts w:hint="eastAsia" w:ascii="方正仿宋简体" w:hAnsi="Arial" w:eastAsia="方正仿宋简体" w:cs="Arial"/>
          <w:color w:val="333333"/>
          <w:sz w:val="32"/>
          <w:szCs w:val="32"/>
          <w:shd w:val="clear" w:color="auto" w:fill="FFFFFF"/>
        </w:rPr>
      </w:pPr>
      <w:r>
        <w:rPr>
          <w:rFonts w:hint="eastAsia" w:ascii="方正仿宋简体" w:hAnsi="Arial" w:eastAsia="方正仿宋简体" w:cs="Arial"/>
          <w:color w:val="333333"/>
          <w:sz w:val="32"/>
          <w:szCs w:val="32"/>
          <w:shd w:val="clear" w:color="auto" w:fill="FFFFFF"/>
        </w:rPr>
        <w:t>所有从业人员符合该行业健康要求，取得健康合格证明。</w:t>
      </w:r>
    </w:p>
    <w:p>
      <w:pPr>
        <w:ind w:firstLine="640" w:firstLineChars="2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p>
    <w:p>
      <w:pPr>
        <w:ind w:firstLine="640" w:firstLineChars="200"/>
        <w:rPr>
          <w:rFonts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 xml:space="preserve">     法律依据：《公共场所卫生管理条例实施细则》第23条。 </w:t>
      </w:r>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申请人（委托代理人）：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323B43"/>
    <w:rsid w:val="003D37D8"/>
    <w:rsid w:val="00426133"/>
    <w:rsid w:val="004358AB"/>
    <w:rsid w:val="007D63C7"/>
    <w:rsid w:val="008B7726"/>
    <w:rsid w:val="0097169F"/>
    <w:rsid w:val="00B4034C"/>
    <w:rsid w:val="00CA197D"/>
    <w:rsid w:val="00D31D50"/>
    <w:rsid w:val="00E95CE9"/>
    <w:rsid w:val="125B77EE"/>
    <w:rsid w:val="2CA228E0"/>
    <w:rsid w:val="304E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326</Words>
  <Characters>1860</Characters>
  <Lines>15</Lines>
  <Paragraphs>4</Paragraphs>
  <TotalTime>111</TotalTime>
  <ScaleCrop>false</ScaleCrop>
  <LinksUpToDate>false</LinksUpToDate>
  <CharactersWithSpaces>2182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2023-09-08T05:38:51Z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