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6BEBC">
      <w:pPr>
        <w:pStyle w:val="13"/>
        <w:shd w:val="clear" w:color="auto" w:fill="FFFFFF"/>
        <w:spacing w:before="0" w:beforeAutospacing="0" w:after="0" w:afterAutospacing="0"/>
        <w:jc w:val="both"/>
        <w:textAlignment w:val="baseline"/>
        <w:outlineLvl w:val="0"/>
        <w:rPr>
          <w:rFonts w:ascii="微软雅黑" w:hAnsi="微软雅黑" w:eastAsia="微软雅黑"/>
          <w:b/>
          <w:bCs/>
          <w:color w:val="000000" w:themeColor="text1"/>
          <w:sz w:val="32"/>
          <w:szCs w:val="32"/>
          <w14:textFill>
            <w14:solidFill>
              <w14:schemeClr w14:val="tx1"/>
            </w14:solidFill>
          </w14:textFill>
        </w:rPr>
      </w:pPr>
      <w:bookmarkStart w:id="0" w:name="_Toc56587132"/>
      <w:bookmarkStart w:id="1" w:name="_Toc56587030"/>
    </w:p>
    <w:p w14:paraId="0C5DF08C">
      <w:pPr>
        <w:pStyle w:val="13"/>
        <w:shd w:val="clear" w:color="auto" w:fill="FFFFFF"/>
        <w:spacing w:before="0" w:beforeAutospacing="0" w:after="0" w:afterAutospacing="0"/>
        <w:jc w:val="both"/>
        <w:textAlignment w:val="baseline"/>
        <w:outlineLvl w:val="0"/>
        <w:rPr>
          <w:rFonts w:ascii="微软雅黑" w:hAnsi="微软雅黑" w:eastAsia="微软雅黑"/>
          <w:b/>
          <w:bCs/>
          <w:color w:val="000000" w:themeColor="text1"/>
          <w:sz w:val="32"/>
          <w:szCs w:val="32"/>
          <w14:textFill>
            <w14:solidFill>
              <w14:schemeClr w14:val="tx1"/>
            </w14:solidFill>
          </w14:textFill>
        </w:rPr>
      </w:pPr>
    </w:p>
    <w:p w14:paraId="5CD53630">
      <w:pPr>
        <w:widowControl/>
        <w:spacing w:line="240" w:lineRule="atLeast"/>
        <w:jc w:val="center"/>
        <w:textAlignment w:val="baseline"/>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安宁市“十四五”市场监管规划</w:t>
      </w:r>
      <w:bookmarkEnd w:id="0"/>
      <w:bookmarkEnd w:id="1"/>
    </w:p>
    <w:p w14:paraId="0DA37023">
      <w:pPr>
        <w:pStyle w:val="11"/>
      </w:pPr>
    </w:p>
    <w:p w14:paraId="38493057">
      <w:pPr>
        <w:pStyle w:val="11"/>
      </w:pPr>
    </w:p>
    <w:p w14:paraId="692345D2">
      <w:pPr>
        <w:pStyle w:val="11"/>
      </w:pPr>
    </w:p>
    <w:p w14:paraId="3439C94D">
      <w:pPr>
        <w:pStyle w:val="11"/>
      </w:pPr>
    </w:p>
    <w:p w14:paraId="291B1D77">
      <w:pPr>
        <w:pStyle w:val="11"/>
      </w:pPr>
    </w:p>
    <w:p w14:paraId="6E0334B3">
      <w:pPr>
        <w:pStyle w:val="11"/>
      </w:pPr>
    </w:p>
    <w:p w14:paraId="638A8C90">
      <w:pPr>
        <w:pStyle w:val="11"/>
      </w:pPr>
    </w:p>
    <w:p w14:paraId="10B03F47">
      <w:pPr>
        <w:pStyle w:val="11"/>
      </w:pPr>
    </w:p>
    <w:p w14:paraId="015ED58D">
      <w:pPr>
        <w:pStyle w:val="11"/>
      </w:pPr>
    </w:p>
    <w:p w14:paraId="652C2C72">
      <w:pPr>
        <w:pStyle w:val="11"/>
      </w:pPr>
    </w:p>
    <w:p w14:paraId="3CEF3AD0"/>
    <w:p w14:paraId="08033B66"/>
    <w:p w14:paraId="178A3D03"/>
    <w:p w14:paraId="73D0809C"/>
    <w:p w14:paraId="0D129E56"/>
    <w:p w14:paraId="11FB3269"/>
    <w:p w14:paraId="0AA62291"/>
    <w:p w14:paraId="58E6C9A8"/>
    <w:p w14:paraId="57ECBAB7">
      <w:pPr>
        <w:pStyle w:val="11"/>
      </w:pPr>
    </w:p>
    <w:p w14:paraId="736C4A70">
      <w:pPr>
        <w:pStyle w:val="11"/>
      </w:pPr>
    </w:p>
    <w:p w14:paraId="50971DFA">
      <w:pPr>
        <w:pStyle w:val="11"/>
      </w:pPr>
    </w:p>
    <w:p w14:paraId="461874D6">
      <w:pPr>
        <w:pStyle w:val="11"/>
      </w:pPr>
    </w:p>
    <w:p w14:paraId="28E12FEE">
      <w:pPr>
        <w:jc w:val="center"/>
        <w:rPr>
          <w:rFonts w:ascii="微软雅黑" w:hAnsi="微软雅黑" w:eastAsia="微软雅黑"/>
          <w:b/>
          <w:bCs/>
          <w:color w:val="000000" w:themeColor="text1"/>
          <w:sz w:val="32"/>
          <w:szCs w:val="32"/>
          <w14:textFill>
            <w14:solidFill>
              <w14:schemeClr w14:val="tx1"/>
            </w14:solidFill>
          </w14:textFill>
        </w:rPr>
      </w:pPr>
    </w:p>
    <w:p w14:paraId="440A8F06">
      <w:pPr>
        <w:pStyle w:val="11"/>
      </w:pPr>
      <w:r>
        <w:rPr>
          <w:rFonts w:hint="eastAsia"/>
        </w:rPr>
        <w:t xml:space="preserve"> </w:t>
      </w:r>
      <w:r>
        <w:t xml:space="preserve">    </w:t>
      </w:r>
    </w:p>
    <w:p w14:paraId="36D262B7"/>
    <w:p w14:paraId="160EE2CF"/>
    <w:p w14:paraId="77122BFE"/>
    <w:p w14:paraId="0C3DE202"/>
    <w:p w14:paraId="7A78E24E"/>
    <w:p w14:paraId="7FDD3060"/>
    <w:p w14:paraId="49C8D4CA">
      <w:pPr>
        <w:jc w:val="center"/>
        <w:rPr>
          <w:rFonts w:hint="eastAsia" w:ascii="微软雅黑" w:hAnsi="微软雅黑" w:eastAsia="微软雅黑" w:cs="宋体"/>
          <w:b/>
          <w:bCs/>
          <w:color w:val="000000" w:themeColor="text1"/>
          <w:kern w:val="0"/>
          <w:sz w:val="36"/>
          <w:szCs w:val="36"/>
          <w14:textFill>
            <w14:solidFill>
              <w14:schemeClr w14:val="tx1"/>
            </w14:solidFill>
          </w14:textFill>
        </w:rPr>
      </w:pPr>
      <w:r>
        <w:rPr>
          <w:rFonts w:hint="eastAsia" w:ascii="微软雅黑" w:hAnsi="微软雅黑" w:eastAsia="微软雅黑" w:cs="宋体"/>
          <w:b/>
          <w:bCs/>
          <w:color w:val="000000" w:themeColor="text1"/>
          <w:kern w:val="0"/>
          <w:sz w:val="36"/>
          <w:szCs w:val="36"/>
          <w14:textFill>
            <w14:solidFill>
              <w14:schemeClr w14:val="tx1"/>
            </w14:solidFill>
          </w14:textFill>
        </w:rPr>
        <w:t>安宁市市场监管局</w:t>
      </w:r>
    </w:p>
    <w:p w14:paraId="3DF193BF">
      <w:pPr>
        <w:jc w:val="center"/>
        <w:rPr>
          <w:rFonts w:ascii="微软雅黑" w:hAnsi="微软雅黑" w:eastAsia="微软雅黑" w:cs="宋体"/>
          <w:b/>
          <w:bCs/>
          <w:color w:val="000000" w:themeColor="text1"/>
          <w:kern w:val="0"/>
          <w:sz w:val="36"/>
          <w:szCs w:val="36"/>
          <w14:textFill>
            <w14:solidFill>
              <w14:schemeClr w14:val="tx1"/>
            </w14:solidFill>
          </w14:textFill>
        </w:rPr>
      </w:pPr>
      <w:r>
        <w:rPr>
          <w:rFonts w:hint="eastAsia" w:ascii="微软雅黑" w:hAnsi="微软雅黑" w:eastAsia="微软雅黑" w:cs="宋体"/>
          <w:b/>
          <w:bCs/>
          <w:color w:val="000000" w:themeColor="text1"/>
          <w:kern w:val="0"/>
          <w:sz w:val="36"/>
          <w:szCs w:val="36"/>
          <w14:textFill>
            <w14:solidFill>
              <w14:schemeClr w14:val="tx1"/>
            </w14:solidFill>
          </w14:textFill>
        </w:rPr>
        <w:t>2021年1月</w:t>
      </w:r>
    </w:p>
    <w:p w14:paraId="025D8D75"/>
    <w:p w14:paraId="6228B01B"/>
    <w:p w14:paraId="5EDDE9B0"/>
    <w:p w14:paraId="4E0262DF">
      <w:pPr>
        <w:jc w:val="center"/>
        <w:rPr>
          <w:rStyle w:val="20"/>
          <w:rFonts w:ascii="微软雅黑" w:hAnsi="微软雅黑" w:eastAsia="微软雅黑"/>
          <w:b/>
          <w:bCs/>
          <w:color w:val="000000" w:themeColor="text1"/>
          <w:sz w:val="28"/>
          <w:szCs w:val="32"/>
          <w:u w:val="none"/>
          <w14:textFill>
            <w14:solidFill>
              <w14:schemeClr w14:val="tx1"/>
            </w14:solidFill>
          </w14:textFill>
        </w:rPr>
      </w:pPr>
      <w:r>
        <w:rPr>
          <w:rStyle w:val="20"/>
          <w:rFonts w:ascii="微软雅黑" w:hAnsi="微软雅黑" w:eastAsia="微软雅黑"/>
          <w:b/>
          <w:bCs/>
          <w:color w:val="000000" w:themeColor="text1"/>
          <w:sz w:val="28"/>
          <w:szCs w:val="32"/>
          <w:u w:val="none"/>
          <w14:textFill>
            <w14:solidFill>
              <w14:schemeClr w14:val="tx1"/>
            </w14:solidFill>
          </w14:textFill>
        </w:rPr>
        <w:t>目录</w:t>
      </w:r>
    </w:p>
    <w:p w14:paraId="682B9984">
      <w:pPr>
        <w:pStyle w:val="11"/>
      </w:pPr>
      <w:r>
        <w:rPr>
          <w:rFonts w:ascii="微软雅黑" w:hAnsi="微软雅黑" w:eastAsia="微软雅黑"/>
          <w:b/>
          <w:bCs/>
          <w:color w:val="000000" w:themeColor="text1"/>
          <w:sz w:val="40"/>
          <w:szCs w:val="40"/>
          <w14:textFill>
            <w14:solidFill>
              <w14:schemeClr w14:val="tx1"/>
            </w14:solidFill>
          </w14:textFill>
        </w:rPr>
        <w:fldChar w:fldCharType="begin"/>
      </w:r>
      <w:r>
        <w:rPr>
          <w:rFonts w:ascii="微软雅黑" w:hAnsi="微软雅黑" w:eastAsia="微软雅黑"/>
          <w:b/>
          <w:bCs/>
          <w:color w:val="000000" w:themeColor="text1"/>
          <w:sz w:val="40"/>
          <w:szCs w:val="40"/>
          <w14:textFill>
            <w14:solidFill>
              <w14:schemeClr w14:val="tx1"/>
            </w14:solidFill>
          </w14:textFill>
        </w:rPr>
        <w:instrText xml:space="preserve"> TOC \o "1-2" \h \z \u </w:instrText>
      </w:r>
      <w:r>
        <w:rPr>
          <w:rFonts w:ascii="微软雅黑" w:hAnsi="微软雅黑" w:eastAsia="微软雅黑"/>
          <w:b/>
          <w:bCs/>
          <w:color w:val="000000" w:themeColor="text1"/>
          <w:sz w:val="40"/>
          <w:szCs w:val="40"/>
          <w14:textFill>
            <w14:solidFill>
              <w14:schemeClr w14:val="tx1"/>
            </w14:solidFill>
          </w14:textFill>
        </w:rPr>
        <w:fldChar w:fldCharType="separate"/>
      </w:r>
      <w:r>
        <w:fldChar w:fldCharType="begin"/>
      </w:r>
      <w:r>
        <w:instrText xml:space="preserve"> HYPERLINK \l "_Toc63151476" </w:instrText>
      </w:r>
      <w:r>
        <w:fldChar w:fldCharType="separate"/>
      </w:r>
      <w:r>
        <w:rPr>
          <w:rStyle w:val="20"/>
          <w:rFonts w:ascii="微软雅黑" w:hAnsi="微软雅黑" w:eastAsia="微软雅黑"/>
        </w:rPr>
        <w:t>第一章 市场监管的发展现状</w:t>
      </w:r>
      <w:r>
        <w:tab/>
      </w:r>
      <w:r>
        <w:fldChar w:fldCharType="begin"/>
      </w:r>
      <w:r>
        <w:instrText xml:space="preserve"> PAGEREF _Toc63151476 \h </w:instrText>
      </w:r>
      <w:r>
        <w:fldChar w:fldCharType="separate"/>
      </w:r>
      <w:r>
        <w:t>3</w:t>
      </w:r>
      <w:r>
        <w:fldChar w:fldCharType="end"/>
      </w:r>
      <w:r>
        <w:fldChar w:fldCharType="end"/>
      </w:r>
    </w:p>
    <w:p w14:paraId="0CC28E95">
      <w:pPr>
        <w:pStyle w:val="12"/>
        <w:tabs>
          <w:tab w:val="right" w:leader="dot" w:pos="8296"/>
        </w:tabs>
      </w:pPr>
      <w:r>
        <w:fldChar w:fldCharType="begin"/>
      </w:r>
      <w:r>
        <w:instrText xml:space="preserve"> HYPERLINK \l "_Toc63151477" </w:instrText>
      </w:r>
      <w:r>
        <w:fldChar w:fldCharType="separate"/>
      </w:r>
      <w:r>
        <w:rPr>
          <w:rStyle w:val="20"/>
          <w:rFonts w:ascii="黑体" w:hAnsi="黑体" w:eastAsia="黑体" w:cs="Times New Roman"/>
        </w:rPr>
        <w:t>一、营商环境持续优化</w:t>
      </w:r>
      <w:r>
        <w:tab/>
      </w:r>
      <w:r>
        <w:fldChar w:fldCharType="begin"/>
      </w:r>
      <w:r>
        <w:instrText xml:space="preserve"> PAGEREF _Toc63151477 \h </w:instrText>
      </w:r>
      <w:r>
        <w:fldChar w:fldCharType="separate"/>
      </w:r>
      <w:r>
        <w:t>3</w:t>
      </w:r>
      <w:r>
        <w:fldChar w:fldCharType="end"/>
      </w:r>
      <w:r>
        <w:fldChar w:fldCharType="end"/>
      </w:r>
    </w:p>
    <w:p w14:paraId="2BEB742C">
      <w:pPr>
        <w:pStyle w:val="12"/>
        <w:tabs>
          <w:tab w:val="right" w:leader="dot" w:pos="8296"/>
        </w:tabs>
      </w:pPr>
      <w:r>
        <w:fldChar w:fldCharType="begin"/>
      </w:r>
      <w:r>
        <w:instrText xml:space="preserve"> HYPERLINK \l "_Toc63151478" </w:instrText>
      </w:r>
      <w:r>
        <w:fldChar w:fldCharType="separate"/>
      </w:r>
      <w:r>
        <w:rPr>
          <w:rStyle w:val="20"/>
          <w:rFonts w:ascii="黑体" w:hAnsi="黑体" w:eastAsia="黑体" w:cs="Times New Roman"/>
        </w:rPr>
        <w:t>二、市场安全不断得到保障</w:t>
      </w:r>
      <w:r>
        <w:tab/>
      </w:r>
      <w:r>
        <w:fldChar w:fldCharType="begin"/>
      </w:r>
      <w:r>
        <w:instrText xml:space="preserve"> PAGEREF _Toc63151478 \h </w:instrText>
      </w:r>
      <w:r>
        <w:fldChar w:fldCharType="separate"/>
      </w:r>
      <w:r>
        <w:t>3</w:t>
      </w:r>
      <w:r>
        <w:fldChar w:fldCharType="end"/>
      </w:r>
      <w:r>
        <w:fldChar w:fldCharType="end"/>
      </w:r>
    </w:p>
    <w:p w14:paraId="6B1227B7">
      <w:pPr>
        <w:pStyle w:val="12"/>
        <w:tabs>
          <w:tab w:val="right" w:leader="dot" w:pos="8296"/>
        </w:tabs>
      </w:pPr>
      <w:r>
        <w:fldChar w:fldCharType="begin"/>
      </w:r>
      <w:r>
        <w:instrText xml:space="preserve"> HYPERLINK \l "_Toc63151479" </w:instrText>
      </w:r>
      <w:r>
        <w:fldChar w:fldCharType="separate"/>
      </w:r>
      <w:r>
        <w:rPr>
          <w:rStyle w:val="20"/>
          <w:rFonts w:ascii="黑体" w:hAnsi="黑体" w:eastAsia="黑体" w:cs="Times New Roman"/>
        </w:rPr>
        <w:t>三、食品药品安全监管取得新进展</w:t>
      </w:r>
      <w:r>
        <w:tab/>
      </w:r>
      <w:r>
        <w:fldChar w:fldCharType="begin"/>
      </w:r>
      <w:r>
        <w:instrText xml:space="preserve"> PAGEREF _Toc63151479 \h </w:instrText>
      </w:r>
      <w:r>
        <w:fldChar w:fldCharType="separate"/>
      </w:r>
      <w:r>
        <w:t>4</w:t>
      </w:r>
      <w:r>
        <w:fldChar w:fldCharType="end"/>
      </w:r>
      <w:r>
        <w:fldChar w:fldCharType="end"/>
      </w:r>
    </w:p>
    <w:p w14:paraId="70F6DF32">
      <w:pPr>
        <w:pStyle w:val="12"/>
        <w:tabs>
          <w:tab w:val="right" w:leader="dot" w:pos="8296"/>
        </w:tabs>
      </w:pPr>
      <w:r>
        <w:fldChar w:fldCharType="begin"/>
      </w:r>
      <w:r>
        <w:instrText xml:space="preserve"> HYPERLINK \l "_Toc63151480" </w:instrText>
      </w:r>
      <w:r>
        <w:fldChar w:fldCharType="separate"/>
      </w:r>
      <w:r>
        <w:rPr>
          <w:rStyle w:val="20"/>
          <w:rFonts w:ascii="黑体" w:hAnsi="黑体" w:eastAsia="黑体" w:cs="Times New Roman"/>
        </w:rPr>
        <w:t>四、监管法制化不断推进</w:t>
      </w:r>
      <w:r>
        <w:tab/>
      </w:r>
      <w:r>
        <w:fldChar w:fldCharType="begin"/>
      </w:r>
      <w:r>
        <w:instrText xml:space="preserve"> PAGEREF _Toc63151480 \h </w:instrText>
      </w:r>
      <w:r>
        <w:fldChar w:fldCharType="separate"/>
      </w:r>
      <w:r>
        <w:t>5</w:t>
      </w:r>
      <w:r>
        <w:fldChar w:fldCharType="end"/>
      </w:r>
      <w:r>
        <w:fldChar w:fldCharType="end"/>
      </w:r>
    </w:p>
    <w:p w14:paraId="61D9C881">
      <w:pPr>
        <w:pStyle w:val="12"/>
        <w:tabs>
          <w:tab w:val="right" w:leader="dot" w:pos="8296"/>
        </w:tabs>
      </w:pPr>
      <w:r>
        <w:fldChar w:fldCharType="begin"/>
      </w:r>
      <w:r>
        <w:instrText xml:space="preserve"> HYPERLINK \l "_Toc63151481" </w:instrText>
      </w:r>
      <w:r>
        <w:fldChar w:fldCharType="separate"/>
      </w:r>
      <w:r>
        <w:rPr>
          <w:rStyle w:val="20"/>
          <w:rFonts w:ascii="黑体" w:hAnsi="黑体" w:eastAsia="黑体" w:cs="Times New Roman"/>
        </w:rPr>
        <w:t>五、市场竞争环境更加公平有序</w:t>
      </w:r>
      <w:r>
        <w:tab/>
      </w:r>
      <w:r>
        <w:fldChar w:fldCharType="begin"/>
      </w:r>
      <w:r>
        <w:instrText xml:space="preserve"> PAGEREF _Toc63151481 \h </w:instrText>
      </w:r>
      <w:r>
        <w:fldChar w:fldCharType="separate"/>
      </w:r>
      <w:r>
        <w:t>6</w:t>
      </w:r>
      <w:r>
        <w:fldChar w:fldCharType="end"/>
      </w:r>
      <w:r>
        <w:fldChar w:fldCharType="end"/>
      </w:r>
    </w:p>
    <w:p w14:paraId="327E032F">
      <w:pPr>
        <w:pStyle w:val="12"/>
        <w:tabs>
          <w:tab w:val="right" w:leader="dot" w:pos="8296"/>
        </w:tabs>
      </w:pPr>
      <w:r>
        <w:fldChar w:fldCharType="begin"/>
      </w:r>
      <w:r>
        <w:instrText xml:space="preserve"> HYPERLINK \l "_Toc63151482" </w:instrText>
      </w:r>
      <w:r>
        <w:fldChar w:fldCharType="separate"/>
      </w:r>
      <w:r>
        <w:rPr>
          <w:rStyle w:val="20"/>
          <w:rFonts w:ascii="黑体" w:hAnsi="黑体" w:eastAsia="黑体" w:cs="Times New Roman"/>
        </w:rPr>
        <w:t>六、消费维权机制不断健全</w:t>
      </w:r>
      <w:r>
        <w:tab/>
      </w:r>
      <w:r>
        <w:fldChar w:fldCharType="begin"/>
      </w:r>
      <w:r>
        <w:instrText xml:space="preserve"> PAGEREF _Toc63151482 \h </w:instrText>
      </w:r>
      <w:r>
        <w:fldChar w:fldCharType="separate"/>
      </w:r>
      <w:r>
        <w:t>6</w:t>
      </w:r>
      <w:r>
        <w:fldChar w:fldCharType="end"/>
      </w:r>
      <w:r>
        <w:fldChar w:fldCharType="end"/>
      </w:r>
    </w:p>
    <w:p w14:paraId="476E676F">
      <w:pPr>
        <w:pStyle w:val="12"/>
        <w:tabs>
          <w:tab w:val="right" w:leader="dot" w:pos="8296"/>
        </w:tabs>
      </w:pPr>
      <w:r>
        <w:fldChar w:fldCharType="begin"/>
      </w:r>
      <w:r>
        <w:instrText xml:space="preserve"> HYPERLINK \l "_Toc63151483" </w:instrText>
      </w:r>
      <w:r>
        <w:fldChar w:fldCharType="separate"/>
      </w:r>
      <w:r>
        <w:rPr>
          <w:rStyle w:val="20"/>
          <w:rFonts w:ascii="黑体" w:hAnsi="黑体" w:eastAsia="黑体" w:cs="Times New Roman"/>
        </w:rPr>
        <w:t>七、疫情期间全面部署防控</w:t>
      </w:r>
      <w:r>
        <w:tab/>
      </w:r>
      <w:r>
        <w:fldChar w:fldCharType="begin"/>
      </w:r>
      <w:r>
        <w:instrText xml:space="preserve"> PAGEREF _Toc63151483 \h </w:instrText>
      </w:r>
      <w:r>
        <w:fldChar w:fldCharType="separate"/>
      </w:r>
      <w:r>
        <w:t>7</w:t>
      </w:r>
      <w:r>
        <w:fldChar w:fldCharType="end"/>
      </w:r>
      <w:r>
        <w:fldChar w:fldCharType="end"/>
      </w:r>
    </w:p>
    <w:p w14:paraId="19C388E9">
      <w:pPr>
        <w:pStyle w:val="12"/>
        <w:tabs>
          <w:tab w:val="right" w:leader="dot" w:pos="8296"/>
        </w:tabs>
      </w:pPr>
      <w:r>
        <w:fldChar w:fldCharType="begin"/>
      </w:r>
      <w:r>
        <w:instrText xml:space="preserve"> HYPERLINK \l "_Toc63151484" </w:instrText>
      </w:r>
      <w:r>
        <w:fldChar w:fldCharType="separate"/>
      </w:r>
      <w:r>
        <w:rPr>
          <w:rStyle w:val="20"/>
          <w:rFonts w:ascii="黑体" w:hAnsi="黑体" w:eastAsia="黑体" w:cs="Times New Roman"/>
        </w:rPr>
        <w:t>八、亟需解决的问题</w:t>
      </w:r>
      <w:r>
        <w:tab/>
      </w:r>
      <w:r>
        <w:fldChar w:fldCharType="begin"/>
      </w:r>
      <w:r>
        <w:instrText xml:space="preserve"> PAGEREF _Toc63151484 \h </w:instrText>
      </w:r>
      <w:r>
        <w:fldChar w:fldCharType="separate"/>
      </w:r>
      <w:r>
        <w:t>7</w:t>
      </w:r>
      <w:r>
        <w:fldChar w:fldCharType="end"/>
      </w:r>
      <w:r>
        <w:fldChar w:fldCharType="end"/>
      </w:r>
    </w:p>
    <w:p w14:paraId="13962637">
      <w:pPr>
        <w:pStyle w:val="11"/>
      </w:pPr>
      <w:r>
        <w:fldChar w:fldCharType="begin"/>
      </w:r>
      <w:r>
        <w:instrText xml:space="preserve"> HYPERLINK \l "_Toc63151485" </w:instrText>
      </w:r>
      <w:r>
        <w:fldChar w:fldCharType="separate"/>
      </w:r>
      <w:r>
        <w:rPr>
          <w:rStyle w:val="20"/>
          <w:rFonts w:ascii="微软雅黑" w:hAnsi="微软雅黑" w:eastAsia="微软雅黑"/>
        </w:rPr>
        <w:t>第二章  面临形势和新机遇新挑战</w:t>
      </w:r>
      <w:r>
        <w:tab/>
      </w:r>
      <w:r>
        <w:fldChar w:fldCharType="begin"/>
      </w:r>
      <w:r>
        <w:instrText xml:space="preserve"> PAGEREF _Toc63151485 \h </w:instrText>
      </w:r>
      <w:r>
        <w:fldChar w:fldCharType="separate"/>
      </w:r>
      <w:r>
        <w:t>8</w:t>
      </w:r>
      <w:r>
        <w:fldChar w:fldCharType="end"/>
      </w:r>
      <w:r>
        <w:fldChar w:fldCharType="end"/>
      </w:r>
    </w:p>
    <w:p w14:paraId="4D071163">
      <w:pPr>
        <w:pStyle w:val="12"/>
        <w:tabs>
          <w:tab w:val="right" w:leader="dot" w:pos="8296"/>
        </w:tabs>
      </w:pPr>
      <w:r>
        <w:fldChar w:fldCharType="begin"/>
      </w:r>
      <w:r>
        <w:instrText xml:space="preserve"> HYPERLINK \l "_Toc63151486" </w:instrText>
      </w:r>
      <w:r>
        <w:fldChar w:fldCharType="separate"/>
      </w:r>
      <w:r>
        <w:rPr>
          <w:rStyle w:val="20"/>
          <w:rFonts w:ascii="黑体" w:hAnsi="黑体" w:eastAsia="黑体" w:cs="Times New Roman"/>
        </w:rPr>
        <w:t>一、面临机遇</w:t>
      </w:r>
      <w:r>
        <w:tab/>
      </w:r>
      <w:r>
        <w:fldChar w:fldCharType="begin"/>
      </w:r>
      <w:r>
        <w:instrText xml:space="preserve"> PAGEREF _Toc63151486 \h </w:instrText>
      </w:r>
      <w:r>
        <w:fldChar w:fldCharType="separate"/>
      </w:r>
      <w:r>
        <w:t>8</w:t>
      </w:r>
      <w:r>
        <w:fldChar w:fldCharType="end"/>
      </w:r>
      <w:r>
        <w:fldChar w:fldCharType="end"/>
      </w:r>
    </w:p>
    <w:p w14:paraId="2DFECD66">
      <w:pPr>
        <w:pStyle w:val="12"/>
        <w:tabs>
          <w:tab w:val="right" w:leader="dot" w:pos="8296"/>
        </w:tabs>
      </w:pPr>
      <w:r>
        <w:fldChar w:fldCharType="begin"/>
      </w:r>
      <w:r>
        <w:instrText xml:space="preserve"> HYPERLINK \l "_Toc63151487" </w:instrText>
      </w:r>
      <w:r>
        <w:fldChar w:fldCharType="separate"/>
      </w:r>
      <w:r>
        <w:rPr>
          <w:rStyle w:val="20"/>
          <w:rFonts w:ascii="黑体" w:hAnsi="黑体" w:eastAsia="黑体" w:cs="Times New Roman"/>
        </w:rPr>
        <w:t>二、面临挑战</w:t>
      </w:r>
      <w:r>
        <w:tab/>
      </w:r>
      <w:r>
        <w:fldChar w:fldCharType="begin"/>
      </w:r>
      <w:r>
        <w:instrText xml:space="preserve"> PAGEREF _Toc63151487 \h </w:instrText>
      </w:r>
      <w:r>
        <w:fldChar w:fldCharType="separate"/>
      </w:r>
      <w:r>
        <w:t>10</w:t>
      </w:r>
      <w:r>
        <w:fldChar w:fldCharType="end"/>
      </w:r>
      <w:r>
        <w:fldChar w:fldCharType="end"/>
      </w:r>
    </w:p>
    <w:p w14:paraId="33CFA6F9">
      <w:pPr>
        <w:pStyle w:val="11"/>
      </w:pPr>
      <w:r>
        <w:fldChar w:fldCharType="begin"/>
      </w:r>
      <w:r>
        <w:instrText xml:space="preserve"> HYPERLINK \l "_Toc63151488" </w:instrText>
      </w:r>
      <w:r>
        <w:fldChar w:fldCharType="separate"/>
      </w:r>
      <w:r>
        <w:rPr>
          <w:rStyle w:val="20"/>
          <w:rFonts w:ascii="微软雅黑" w:hAnsi="微软雅黑" w:eastAsia="微软雅黑"/>
        </w:rPr>
        <w:t>第三章  总体要求和建设目标</w:t>
      </w:r>
      <w:r>
        <w:tab/>
      </w:r>
      <w:r>
        <w:fldChar w:fldCharType="begin"/>
      </w:r>
      <w:r>
        <w:instrText xml:space="preserve"> PAGEREF _Toc63151488 \h </w:instrText>
      </w:r>
      <w:r>
        <w:fldChar w:fldCharType="separate"/>
      </w:r>
      <w:r>
        <w:t>10</w:t>
      </w:r>
      <w:r>
        <w:fldChar w:fldCharType="end"/>
      </w:r>
      <w:r>
        <w:fldChar w:fldCharType="end"/>
      </w:r>
    </w:p>
    <w:p w14:paraId="5292F03C">
      <w:pPr>
        <w:pStyle w:val="12"/>
        <w:tabs>
          <w:tab w:val="right" w:leader="dot" w:pos="8296"/>
        </w:tabs>
      </w:pPr>
      <w:r>
        <w:fldChar w:fldCharType="begin"/>
      </w:r>
      <w:r>
        <w:instrText xml:space="preserve"> HYPERLINK \l "_Toc63151489" </w:instrText>
      </w:r>
      <w:r>
        <w:fldChar w:fldCharType="separate"/>
      </w:r>
      <w:r>
        <w:rPr>
          <w:rStyle w:val="20"/>
          <w:rFonts w:ascii="黑体" w:hAnsi="黑体" w:eastAsia="黑体" w:cs="Times New Roman"/>
        </w:rPr>
        <w:t>一、指导思想</w:t>
      </w:r>
      <w:r>
        <w:tab/>
      </w:r>
      <w:r>
        <w:fldChar w:fldCharType="begin"/>
      </w:r>
      <w:r>
        <w:instrText xml:space="preserve"> PAGEREF _Toc63151489 \h </w:instrText>
      </w:r>
      <w:r>
        <w:fldChar w:fldCharType="separate"/>
      </w:r>
      <w:r>
        <w:t>11</w:t>
      </w:r>
      <w:r>
        <w:fldChar w:fldCharType="end"/>
      </w:r>
      <w:r>
        <w:fldChar w:fldCharType="end"/>
      </w:r>
    </w:p>
    <w:p w14:paraId="3D878E51">
      <w:pPr>
        <w:pStyle w:val="12"/>
        <w:tabs>
          <w:tab w:val="right" w:leader="dot" w:pos="8296"/>
        </w:tabs>
      </w:pPr>
      <w:r>
        <w:fldChar w:fldCharType="begin"/>
      </w:r>
      <w:r>
        <w:instrText xml:space="preserve"> HYPERLINK \l "_Toc63151490" </w:instrText>
      </w:r>
      <w:r>
        <w:fldChar w:fldCharType="separate"/>
      </w:r>
      <w:r>
        <w:rPr>
          <w:rStyle w:val="20"/>
          <w:rFonts w:ascii="黑体" w:hAnsi="黑体" w:eastAsia="黑体" w:cs="Times New Roman"/>
        </w:rPr>
        <w:t>二、基本原则</w:t>
      </w:r>
      <w:r>
        <w:tab/>
      </w:r>
      <w:r>
        <w:fldChar w:fldCharType="begin"/>
      </w:r>
      <w:r>
        <w:instrText xml:space="preserve"> PAGEREF _Toc63151490 \h </w:instrText>
      </w:r>
      <w:r>
        <w:fldChar w:fldCharType="separate"/>
      </w:r>
      <w:r>
        <w:t>11</w:t>
      </w:r>
      <w:r>
        <w:fldChar w:fldCharType="end"/>
      </w:r>
      <w:r>
        <w:fldChar w:fldCharType="end"/>
      </w:r>
    </w:p>
    <w:p w14:paraId="77F66ECA">
      <w:pPr>
        <w:pStyle w:val="12"/>
        <w:tabs>
          <w:tab w:val="right" w:leader="dot" w:pos="8296"/>
        </w:tabs>
      </w:pPr>
      <w:r>
        <w:fldChar w:fldCharType="begin"/>
      </w:r>
      <w:r>
        <w:instrText xml:space="preserve"> HYPERLINK \l "_Toc63151491" </w:instrText>
      </w:r>
      <w:r>
        <w:fldChar w:fldCharType="separate"/>
      </w:r>
      <w:r>
        <w:rPr>
          <w:rStyle w:val="20"/>
          <w:rFonts w:ascii="黑体" w:hAnsi="黑体" w:eastAsia="黑体" w:cs="Times New Roman"/>
        </w:rPr>
        <w:t>三、发展目标</w:t>
      </w:r>
      <w:r>
        <w:tab/>
      </w:r>
      <w:r>
        <w:fldChar w:fldCharType="begin"/>
      </w:r>
      <w:r>
        <w:instrText xml:space="preserve"> PAGEREF _Toc63151491 \h </w:instrText>
      </w:r>
      <w:r>
        <w:fldChar w:fldCharType="separate"/>
      </w:r>
      <w:r>
        <w:t>12</w:t>
      </w:r>
      <w:r>
        <w:fldChar w:fldCharType="end"/>
      </w:r>
      <w:r>
        <w:fldChar w:fldCharType="end"/>
      </w:r>
    </w:p>
    <w:p w14:paraId="48AA7BC9">
      <w:pPr>
        <w:pStyle w:val="12"/>
        <w:tabs>
          <w:tab w:val="right" w:leader="dot" w:pos="8296"/>
        </w:tabs>
      </w:pPr>
      <w:r>
        <w:fldChar w:fldCharType="begin"/>
      </w:r>
      <w:r>
        <w:instrText xml:space="preserve"> HYPERLINK \l "_Toc63151492" </w:instrText>
      </w:r>
      <w:r>
        <w:fldChar w:fldCharType="separate"/>
      </w:r>
      <w:r>
        <w:rPr>
          <w:rStyle w:val="20"/>
          <w:rFonts w:ascii="黑体" w:hAnsi="黑体" w:eastAsia="黑体" w:cs="Times New Roman"/>
        </w:rPr>
        <w:t>四、预期发展指标体系</w:t>
      </w:r>
      <w:r>
        <w:tab/>
      </w:r>
      <w:r>
        <w:fldChar w:fldCharType="begin"/>
      </w:r>
      <w:r>
        <w:instrText xml:space="preserve"> PAGEREF _Toc63151492 \h </w:instrText>
      </w:r>
      <w:r>
        <w:fldChar w:fldCharType="separate"/>
      </w:r>
      <w:r>
        <w:t>13</w:t>
      </w:r>
      <w:r>
        <w:fldChar w:fldCharType="end"/>
      </w:r>
      <w:r>
        <w:fldChar w:fldCharType="end"/>
      </w:r>
    </w:p>
    <w:p w14:paraId="6F431088">
      <w:pPr>
        <w:pStyle w:val="11"/>
      </w:pPr>
      <w:r>
        <w:fldChar w:fldCharType="begin"/>
      </w:r>
      <w:r>
        <w:instrText xml:space="preserve"> HYPERLINK \l "_Toc63151493" </w:instrText>
      </w:r>
      <w:r>
        <w:fldChar w:fldCharType="separate"/>
      </w:r>
      <w:r>
        <w:rPr>
          <w:rStyle w:val="20"/>
          <w:rFonts w:ascii="微软雅黑" w:hAnsi="微软雅黑" w:eastAsia="微软雅黑"/>
        </w:rPr>
        <w:t>第四章 市场监管主要任务</w:t>
      </w:r>
      <w:r>
        <w:tab/>
      </w:r>
      <w:r>
        <w:fldChar w:fldCharType="begin"/>
      </w:r>
      <w:r>
        <w:instrText xml:space="preserve"> PAGEREF _Toc63151493 \h </w:instrText>
      </w:r>
      <w:r>
        <w:fldChar w:fldCharType="separate"/>
      </w:r>
      <w:r>
        <w:t>14</w:t>
      </w:r>
      <w:r>
        <w:fldChar w:fldCharType="end"/>
      </w:r>
      <w:r>
        <w:fldChar w:fldCharType="end"/>
      </w:r>
    </w:p>
    <w:p w14:paraId="39EDE717">
      <w:pPr>
        <w:pStyle w:val="12"/>
        <w:tabs>
          <w:tab w:val="right" w:leader="dot" w:pos="8296"/>
        </w:tabs>
      </w:pPr>
      <w:r>
        <w:fldChar w:fldCharType="begin"/>
      </w:r>
      <w:r>
        <w:instrText xml:space="preserve"> HYPERLINK \l "_Toc63151494" </w:instrText>
      </w:r>
      <w:r>
        <w:fldChar w:fldCharType="separate"/>
      </w:r>
      <w:r>
        <w:rPr>
          <w:rStyle w:val="20"/>
          <w:rFonts w:ascii="黑体" w:hAnsi="黑体" w:eastAsia="黑体" w:cs="Times New Roman"/>
        </w:rPr>
        <w:t>一、持续深化商事制度改革，营造宽松便捷的市场准入环境</w:t>
      </w:r>
      <w:r>
        <w:tab/>
      </w:r>
      <w:r>
        <w:fldChar w:fldCharType="begin"/>
      </w:r>
      <w:r>
        <w:instrText xml:space="preserve"> PAGEREF _Toc63151494 \h </w:instrText>
      </w:r>
      <w:r>
        <w:fldChar w:fldCharType="separate"/>
      </w:r>
      <w:r>
        <w:t>15</w:t>
      </w:r>
      <w:r>
        <w:fldChar w:fldCharType="end"/>
      </w:r>
      <w:r>
        <w:fldChar w:fldCharType="end"/>
      </w:r>
    </w:p>
    <w:p w14:paraId="40D27F3C">
      <w:pPr>
        <w:pStyle w:val="12"/>
        <w:tabs>
          <w:tab w:val="right" w:leader="dot" w:pos="8296"/>
        </w:tabs>
      </w:pPr>
      <w:r>
        <w:fldChar w:fldCharType="begin"/>
      </w:r>
      <w:r>
        <w:instrText xml:space="preserve"> HYPERLINK \l "_Toc63151495" </w:instrText>
      </w:r>
      <w:r>
        <w:fldChar w:fldCharType="separate"/>
      </w:r>
      <w:r>
        <w:rPr>
          <w:rStyle w:val="20"/>
          <w:rFonts w:ascii="黑体" w:hAnsi="黑体" w:eastAsia="黑体" w:cs="Times New Roman"/>
        </w:rPr>
        <w:t>二、加强市场主体监管，推动事中事后监管</w:t>
      </w:r>
      <w:r>
        <w:tab/>
      </w:r>
      <w:r>
        <w:fldChar w:fldCharType="begin"/>
      </w:r>
      <w:r>
        <w:instrText xml:space="preserve"> PAGEREF _Toc63151495 \h </w:instrText>
      </w:r>
      <w:r>
        <w:fldChar w:fldCharType="separate"/>
      </w:r>
      <w:r>
        <w:t>17</w:t>
      </w:r>
      <w:r>
        <w:fldChar w:fldCharType="end"/>
      </w:r>
      <w:r>
        <w:fldChar w:fldCharType="end"/>
      </w:r>
    </w:p>
    <w:p w14:paraId="5B50FD8D">
      <w:pPr>
        <w:pStyle w:val="12"/>
        <w:tabs>
          <w:tab w:val="right" w:leader="dot" w:pos="8296"/>
        </w:tabs>
      </w:pPr>
      <w:r>
        <w:fldChar w:fldCharType="begin"/>
      </w:r>
      <w:r>
        <w:instrText xml:space="preserve"> HYPERLINK \l "_Toc63151496" </w:instrText>
      </w:r>
      <w:r>
        <w:fldChar w:fldCharType="separate"/>
      </w:r>
      <w:r>
        <w:rPr>
          <w:rStyle w:val="20"/>
          <w:rFonts w:ascii="黑体" w:hAnsi="黑体" w:eastAsia="黑体" w:cs="Times New Roman"/>
        </w:rPr>
        <w:t>三、遵循“四个最严”要求，打造安全放心的消费环境</w:t>
      </w:r>
      <w:r>
        <w:tab/>
      </w:r>
      <w:r>
        <w:fldChar w:fldCharType="begin"/>
      </w:r>
      <w:r>
        <w:instrText xml:space="preserve"> PAGEREF _Toc63151496 \h </w:instrText>
      </w:r>
      <w:r>
        <w:fldChar w:fldCharType="separate"/>
      </w:r>
      <w:r>
        <w:t>24</w:t>
      </w:r>
      <w:r>
        <w:fldChar w:fldCharType="end"/>
      </w:r>
      <w:r>
        <w:fldChar w:fldCharType="end"/>
      </w:r>
    </w:p>
    <w:p w14:paraId="4086AA80">
      <w:pPr>
        <w:pStyle w:val="12"/>
        <w:tabs>
          <w:tab w:val="right" w:leader="dot" w:pos="8296"/>
        </w:tabs>
      </w:pPr>
      <w:r>
        <w:fldChar w:fldCharType="begin"/>
      </w:r>
      <w:r>
        <w:instrText xml:space="preserve"> HYPERLINK \l "_Toc63151497" </w:instrText>
      </w:r>
      <w:r>
        <w:fldChar w:fldCharType="separate"/>
      </w:r>
      <w:r>
        <w:rPr>
          <w:rStyle w:val="20"/>
          <w:rFonts w:ascii="黑体" w:hAnsi="黑体" w:eastAsia="黑体" w:cs="Times New Roman"/>
        </w:rPr>
        <w:t>四、实施质量强国战略，推动产品和服务质量提升</w:t>
      </w:r>
      <w:r>
        <w:tab/>
      </w:r>
      <w:r>
        <w:fldChar w:fldCharType="begin"/>
      </w:r>
      <w:r>
        <w:instrText xml:space="preserve"> PAGEREF _Toc63151497 \h </w:instrText>
      </w:r>
      <w:r>
        <w:fldChar w:fldCharType="separate"/>
      </w:r>
      <w:r>
        <w:t>31</w:t>
      </w:r>
      <w:r>
        <w:fldChar w:fldCharType="end"/>
      </w:r>
      <w:r>
        <w:fldChar w:fldCharType="end"/>
      </w:r>
    </w:p>
    <w:p w14:paraId="59D791B8">
      <w:pPr>
        <w:pStyle w:val="12"/>
        <w:tabs>
          <w:tab w:val="right" w:leader="dot" w:pos="8296"/>
        </w:tabs>
      </w:pPr>
      <w:r>
        <w:fldChar w:fldCharType="begin"/>
      </w:r>
      <w:r>
        <w:instrText xml:space="preserve"> HYPERLINK \l "_Toc63151498" </w:instrText>
      </w:r>
      <w:r>
        <w:fldChar w:fldCharType="separate"/>
      </w:r>
      <w:r>
        <w:rPr>
          <w:rStyle w:val="20"/>
          <w:rFonts w:ascii="黑体" w:hAnsi="黑体" w:eastAsia="黑体" w:cs="Times New Roman"/>
        </w:rPr>
        <w:t>五、加强市场竞争秩序监管，打造公平有序的市场秩序</w:t>
      </w:r>
      <w:r>
        <w:tab/>
      </w:r>
      <w:r>
        <w:fldChar w:fldCharType="begin"/>
      </w:r>
      <w:r>
        <w:instrText xml:space="preserve"> PAGEREF _Toc63151498 \h </w:instrText>
      </w:r>
      <w:r>
        <w:fldChar w:fldCharType="separate"/>
      </w:r>
      <w:r>
        <w:t>35</w:t>
      </w:r>
      <w:r>
        <w:fldChar w:fldCharType="end"/>
      </w:r>
      <w:r>
        <w:fldChar w:fldCharType="end"/>
      </w:r>
    </w:p>
    <w:p w14:paraId="63FBCAE8">
      <w:pPr>
        <w:pStyle w:val="12"/>
        <w:tabs>
          <w:tab w:val="right" w:leader="dot" w:pos="8296"/>
        </w:tabs>
      </w:pPr>
      <w:r>
        <w:fldChar w:fldCharType="begin"/>
      </w:r>
      <w:r>
        <w:instrText xml:space="preserve"> HYPERLINK \l "_Toc63151499" </w:instrText>
      </w:r>
      <w:r>
        <w:fldChar w:fldCharType="separate"/>
      </w:r>
      <w:r>
        <w:rPr>
          <w:rStyle w:val="20"/>
          <w:rFonts w:ascii="黑体" w:hAnsi="黑体" w:eastAsia="黑体" w:cs="Times New Roman"/>
        </w:rPr>
        <w:t>六、推进消费维权工作，加强社会监督体系建设</w:t>
      </w:r>
      <w:r>
        <w:tab/>
      </w:r>
      <w:r>
        <w:fldChar w:fldCharType="begin"/>
      </w:r>
      <w:r>
        <w:instrText xml:space="preserve"> PAGEREF _Toc63151499 \h </w:instrText>
      </w:r>
      <w:r>
        <w:fldChar w:fldCharType="separate"/>
      </w:r>
      <w:r>
        <w:t>39</w:t>
      </w:r>
      <w:r>
        <w:fldChar w:fldCharType="end"/>
      </w:r>
      <w:r>
        <w:fldChar w:fldCharType="end"/>
      </w:r>
    </w:p>
    <w:p w14:paraId="0A3AD1DA">
      <w:pPr>
        <w:pStyle w:val="12"/>
        <w:tabs>
          <w:tab w:val="right" w:leader="dot" w:pos="8296"/>
        </w:tabs>
      </w:pPr>
      <w:r>
        <w:fldChar w:fldCharType="begin"/>
      </w:r>
      <w:r>
        <w:instrText xml:space="preserve"> HYPERLINK \l "_Toc63151500" </w:instrText>
      </w:r>
      <w:r>
        <w:fldChar w:fldCharType="separate"/>
      </w:r>
      <w:r>
        <w:rPr>
          <w:rStyle w:val="20"/>
          <w:rFonts w:ascii="黑体" w:hAnsi="黑体" w:eastAsia="黑体" w:cs="Times New Roman"/>
        </w:rPr>
        <w:t>七、推进市场监管数智建设，打造智慧监管新格局</w:t>
      </w:r>
      <w:r>
        <w:tab/>
      </w:r>
      <w:r>
        <w:fldChar w:fldCharType="begin"/>
      </w:r>
      <w:r>
        <w:instrText xml:space="preserve"> PAGEREF _Toc63151500 \h </w:instrText>
      </w:r>
      <w:r>
        <w:fldChar w:fldCharType="separate"/>
      </w:r>
      <w:r>
        <w:t>42</w:t>
      </w:r>
      <w:r>
        <w:fldChar w:fldCharType="end"/>
      </w:r>
      <w:r>
        <w:fldChar w:fldCharType="end"/>
      </w:r>
    </w:p>
    <w:p w14:paraId="308FC53B">
      <w:pPr>
        <w:pStyle w:val="12"/>
        <w:tabs>
          <w:tab w:val="right" w:leader="dot" w:pos="8296"/>
        </w:tabs>
      </w:pPr>
      <w:r>
        <w:fldChar w:fldCharType="begin"/>
      </w:r>
      <w:r>
        <w:instrText xml:space="preserve"> HYPERLINK \l "_Toc63151501" </w:instrText>
      </w:r>
      <w:r>
        <w:fldChar w:fldCharType="separate"/>
      </w:r>
      <w:r>
        <w:rPr>
          <w:rStyle w:val="20"/>
          <w:rFonts w:ascii="黑体" w:hAnsi="黑体" w:eastAsia="黑体" w:cs="Times New Roman"/>
        </w:rPr>
        <w:t>八、加强顶层设计，构建科学高效的市场监管体系</w:t>
      </w:r>
      <w:r>
        <w:tab/>
      </w:r>
      <w:r>
        <w:fldChar w:fldCharType="begin"/>
      </w:r>
      <w:r>
        <w:instrText xml:space="preserve"> PAGEREF _Toc63151501 \h </w:instrText>
      </w:r>
      <w:r>
        <w:fldChar w:fldCharType="separate"/>
      </w:r>
      <w:r>
        <w:t>45</w:t>
      </w:r>
      <w:r>
        <w:fldChar w:fldCharType="end"/>
      </w:r>
      <w:r>
        <w:fldChar w:fldCharType="end"/>
      </w:r>
    </w:p>
    <w:p w14:paraId="7DCFE415">
      <w:pPr>
        <w:pStyle w:val="11"/>
      </w:pPr>
      <w:r>
        <w:fldChar w:fldCharType="begin"/>
      </w:r>
      <w:r>
        <w:instrText xml:space="preserve"> HYPERLINK \l "_Toc63151502" </w:instrText>
      </w:r>
      <w:r>
        <w:fldChar w:fldCharType="separate"/>
      </w:r>
      <w:r>
        <w:rPr>
          <w:rStyle w:val="20"/>
          <w:rFonts w:ascii="微软雅黑" w:hAnsi="微软雅黑" w:eastAsia="微软雅黑"/>
        </w:rPr>
        <w:t>第五章 规划实施保障措施</w:t>
      </w:r>
      <w:r>
        <w:tab/>
      </w:r>
      <w:r>
        <w:fldChar w:fldCharType="begin"/>
      </w:r>
      <w:r>
        <w:instrText xml:space="preserve"> PAGEREF _Toc63151502 \h </w:instrText>
      </w:r>
      <w:r>
        <w:fldChar w:fldCharType="separate"/>
      </w:r>
      <w:r>
        <w:t>49</w:t>
      </w:r>
      <w:r>
        <w:fldChar w:fldCharType="end"/>
      </w:r>
      <w:r>
        <w:fldChar w:fldCharType="end"/>
      </w:r>
    </w:p>
    <w:p w14:paraId="66EBF6CF">
      <w:pPr>
        <w:pStyle w:val="12"/>
        <w:tabs>
          <w:tab w:val="right" w:leader="dot" w:pos="8296"/>
        </w:tabs>
      </w:pPr>
      <w:r>
        <w:fldChar w:fldCharType="begin"/>
      </w:r>
      <w:r>
        <w:instrText xml:space="preserve"> HYPERLINK \l "_Toc63151503" </w:instrText>
      </w:r>
      <w:r>
        <w:fldChar w:fldCharType="separate"/>
      </w:r>
      <w:r>
        <w:rPr>
          <w:rStyle w:val="20"/>
          <w:rFonts w:ascii="黑体" w:hAnsi="黑体" w:eastAsia="黑体" w:cs="Times New Roman"/>
        </w:rPr>
        <w:t>一、加强统筹协调</w:t>
      </w:r>
      <w:r>
        <w:tab/>
      </w:r>
      <w:r>
        <w:fldChar w:fldCharType="begin"/>
      </w:r>
      <w:r>
        <w:instrText xml:space="preserve"> PAGEREF _Toc63151503 \h </w:instrText>
      </w:r>
      <w:r>
        <w:fldChar w:fldCharType="separate"/>
      </w:r>
      <w:r>
        <w:t>49</w:t>
      </w:r>
      <w:r>
        <w:fldChar w:fldCharType="end"/>
      </w:r>
      <w:r>
        <w:fldChar w:fldCharType="end"/>
      </w:r>
    </w:p>
    <w:p w14:paraId="5A1FDD32">
      <w:pPr>
        <w:pStyle w:val="12"/>
        <w:tabs>
          <w:tab w:val="right" w:leader="dot" w:pos="8296"/>
        </w:tabs>
      </w:pPr>
      <w:r>
        <w:fldChar w:fldCharType="begin"/>
      </w:r>
      <w:r>
        <w:instrText xml:space="preserve"> HYPERLINK \l "_Toc63151504" </w:instrText>
      </w:r>
      <w:r>
        <w:fldChar w:fldCharType="separate"/>
      </w:r>
      <w:r>
        <w:rPr>
          <w:rStyle w:val="20"/>
          <w:rFonts w:ascii="黑体" w:hAnsi="黑体" w:eastAsia="黑体" w:cs="Times New Roman"/>
        </w:rPr>
        <w:t>二、落实主体责任</w:t>
      </w:r>
      <w:r>
        <w:tab/>
      </w:r>
      <w:r>
        <w:fldChar w:fldCharType="begin"/>
      </w:r>
      <w:r>
        <w:instrText xml:space="preserve"> PAGEREF _Toc63151504 \h </w:instrText>
      </w:r>
      <w:r>
        <w:fldChar w:fldCharType="separate"/>
      </w:r>
      <w:r>
        <w:t>50</w:t>
      </w:r>
      <w:r>
        <w:fldChar w:fldCharType="end"/>
      </w:r>
      <w:r>
        <w:fldChar w:fldCharType="end"/>
      </w:r>
    </w:p>
    <w:p w14:paraId="0C5E2C2F">
      <w:pPr>
        <w:pStyle w:val="12"/>
        <w:tabs>
          <w:tab w:val="right" w:leader="dot" w:pos="8296"/>
        </w:tabs>
      </w:pPr>
      <w:r>
        <w:fldChar w:fldCharType="begin"/>
      </w:r>
      <w:r>
        <w:instrText xml:space="preserve"> HYPERLINK \l "_Toc63151505" </w:instrText>
      </w:r>
      <w:r>
        <w:fldChar w:fldCharType="separate"/>
      </w:r>
      <w:r>
        <w:rPr>
          <w:rStyle w:val="20"/>
          <w:rFonts w:ascii="黑体" w:hAnsi="黑体" w:eastAsia="黑体" w:cs="Times New Roman"/>
        </w:rPr>
        <w:t>三、加强自身能力</w:t>
      </w:r>
      <w:r>
        <w:tab/>
      </w:r>
      <w:r>
        <w:fldChar w:fldCharType="begin"/>
      </w:r>
      <w:r>
        <w:instrText xml:space="preserve"> PAGEREF _Toc63151505 \h </w:instrText>
      </w:r>
      <w:r>
        <w:fldChar w:fldCharType="separate"/>
      </w:r>
      <w:r>
        <w:t>50</w:t>
      </w:r>
      <w:r>
        <w:fldChar w:fldCharType="end"/>
      </w:r>
      <w:r>
        <w:fldChar w:fldCharType="end"/>
      </w:r>
    </w:p>
    <w:p w14:paraId="2E62A5C9">
      <w:pPr>
        <w:pStyle w:val="12"/>
        <w:tabs>
          <w:tab w:val="right" w:leader="dot" w:pos="8296"/>
        </w:tabs>
      </w:pPr>
      <w:r>
        <w:fldChar w:fldCharType="begin"/>
      </w:r>
      <w:r>
        <w:instrText xml:space="preserve"> HYPERLINK \l "_Toc63151506" </w:instrText>
      </w:r>
      <w:r>
        <w:fldChar w:fldCharType="separate"/>
      </w:r>
      <w:r>
        <w:rPr>
          <w:rStyle w:val="20"/>
          <w:rFonts w:ascii="黑体" w:hAnsi="黑体" w:eastAsia="黑体" w:cs="Times New Roman"/>
        </w:rPr>
        <w:t>四、营造舆论环境</w:t>
      </w:r>
      <w:r>
        <w:tab/>
      </w:r>
      <w:r>
        <w:fldChar w:fldCharType="begin"/>
      </w:r>
      <w:r>
        <w:instrText xml:space="preserve"> PAGEREF _Toc63151506 \h </w:instrText>
      </w:r>
      <w:r>
        <w:fldChar w:fldCharType="separate"/>
      </w:r>
      <w:r>
        <w:t>51</w:t>
      </w:r>
      <w:r>
        <w:fldChar w:fldCharType="end"/>
      </w:r>
      <w:r>
        <w:fldChar w:fldCharType="end"/>
      </w:r>
    </w:p>
    <w:p w14:paraId="49B12B7C">
      <w:pPr>
        <w:pStyle w:val="12"/>
        <w:tabs>
          <w:tab w:val="right" w:leader="dot" w:pos="8296"/>
        </w:tabs>
      </w:pPr>
      <w:r>
        <w:fldChar w:fldCharType="begin"/>
      </w:r>
      <w:r>
        <w:instrText xml:space="preserve"> HYPERLINK \l "_Toc63151507" </w:instrText>
      </w:r>
      <w:r>
        <w:fldChar w:fldCharType="separate"/>
      </w:r>
      <w:r>
        <w:rPr>
          <w:rStyle w:val="20"/>
          <w:rFonts w:ascii="黑体" w:hAnsi="黑体" w:eastAsia="黑体" w:cs="Times New Roman"/>
        </w:rPr>
        <w:t>五、强化督查考核</w:t>
      </w:r>
      <w:r>
        <w:tab/>
      </w:r>
      <w:r>
        <w:fldChar w:fldCharType="begin"/>
      </w:r>
      <w:r>
        <w:instrText xml:space="preserve"> PAGEREF _Toc63151507 \h </w:instrText>
      </w:r>
      <w:r>
        <w:fldChar w:fldCharType="separate"/>
      </w:r>
      <w:r>
        <w:t>51</w:t>
      </w:r>
      <w:r>
        <w:fldChar w:fldCharType="end"/>
      </w:r>
      <w:r>
        <w:fldChar w:fldCharType="end"/>
      </w:r>
    </w:p>
    <w:p w14:paraId="563C1501">
      <w:pPr>
        <w:pStyle w:val="11"/>
      </w:pPr>
      <w:r>
        <w:fldChar w:fldCharType="begin"/>
      </w:r>
      <w:r>
        <w:instrText xml:space="preserve"> HYPERLINK \l "_Toc63151508" </w:instrText>
      </w:r>
      <w:r>
        <w:fldChar w:fldCharType="separate"/>
      </w:r>
      <w:r>
        <w:rPr>
          <w:rStyle w:val="20"/>
          <w:rFonts w:ascii="微软雅黑" w:eastAsia="微软雅黑"/>
        </w:rPr>
        <w:t>附件： 安宁市市场监管重点任务分解表</w:t>
      </w:r>
      <w:r>
        <w:tab/>
      </w:r>
      <w:r>
        <w:fldChar w:fldCharType="begin"/>
      </w:r>
      <w:r>
        <w:instrText xml:space="preserve"> PAGEREF _Toc63151508 \h </w:instrText>
      </w:r>
      <w:r>
        <w:fldChar w:fldCharType="separate"/>
      </w:r>
      <w:r>
        <w:t>53</w:t>
      </w:r>
      <w:r>
        <w:fldChar w:fldCharType="end"/>
      </w:r>
      <w:r>
        <w:fldChar w:fldCharType="end"/>
      </w:r>
    </w:p>
    <w:p w14:paraId="43EEB25F">
      <w:pPr>
        <w:pStyle w:val="13"/>
        <w:shd w:val="clear" w:color="auto" w:fill="FFFFFF"/>
        <w:spacing w:before="0" w:beforeAutospacing="0" w:after="0" w:afterAutospacing="0" w:line="240" w:lineRule="atLeast"/>
        <w:jc w:val="both"/>
        <w:textAlignment w:val="baseline"/>
        <w:outlineLvl w:val="0"/>
        <w:rPr>
          <w:rFonts w:ascii="微软雅黑" w:hAnsi="微软雅黑" w:eastAsia="微软雅黑"/>
          <w:b/>
          <w:bCs/>
          <w:color w:val="000000" w:themeColor="text1"/>
          <w:sz w:val="32"/>
          <w:szCs w:val="32"/>
          <w14:textFill>
            <w14:solidFill>
              <w14:schemeClr w14:val="tx1"/>
            </w14:solidFill>
          </w14:textFill>
        </w:rPr>
      </w:pPr>
      <w:r>
        <w:rPr>
          <w:rFonts w:ascii="微软雅黑" w:hAnsi="微软雅黑" w:eastAsia="微软雅黑" w:cstheme="minorBidi"/>
          <w:b/>
          <w:bCs/>
          <w:color w:val="000000" w:themeColor="text1"/>
          <w:kern w:val="2"/>
          <w:sz w:val="40"/>
          <w:szCs w:val="40"/>
          <w14:textFill>
            <w14:solidFill>
              <w14:schemeClr w14:val="tx1"/>
            </w14:solidFill>
          </w14:textFill>
        </w:rPr>
        <w:fldChar w:fldCharType="end"/>
      </w:r>
    </w:p>
    <w:p w14:paraId="2034BF83">
      <w:pPr>
        <w:pStyle w:val="13"/>
        <w:shd w:val="clear" w:color="auto" w:fill="FFFFFF"/>
        <w:spacing w:before="0" w:beforeAutospacing="0" w:after="0" w:afterAutospacing="0"/>
        <w:jc w:val="center"/>
        <w:textAlignment w:val="baseline"/>
        <w:outlineLvl w:val="0"/>
        <w:rPr>
          <w:rStyle w:val="18"/>
          <w:rFonts w:ascii="微软雅黑" w:hAnsi="微软雅黑" w:eastAsia="微软雅黑"/>
          <w:b w:val="0"/>
          <w:bCs w:val="0"/>
          <w:color w:val="000000" w:themeColor="text1"/>
          <w:sz w:val="32"/>
          <w:szCs w:val="32"/>
          <w14:textFill>
            <w14:solidFill>
              <w14:schemeClr w14:val="tx1"/>
            </w14:solidFill>
          </w14:textFill>
        </w:rPr>
      </w:pPr>
      <w:bookmarkStart w:id="2" w:name="_Toc56587031"/>
      <w:bookmarkStart w:id="3" w:name="_Toc63151476"/>
      <w:r>
        <w:rPr>
          <w:rStyle w:val="18"/>
          <w:rFonts w:hint="eastAsia" w:ascii="微软雅黑" w:hAnsi="微软雅黑" w:eastAsia="微软雅黑"/>
          <w:b w:val="0"/>
          <w:bCs w:val="0"/>
          <w:color w:val="000000" w:themeColor="text1"/>
          <w:sz w:val="32"/>
          <w:szCs w:val="32"/>
          <w14:textFill>
            <w14:solidFill>
              <w14:schemeClr w14:val="tx1"/>
            </w14:solidFill>
          </w14:textFill>
        </w:rPr>
        <w:t>第一章 市场监管的发展现状</w:t>
      </w:r>
      <w:bookmarkEnd w:id="2"/>
      <w:bookmarkEnd w:id="3"/>
    </w:p>
    <w:p w14:paraId="633EE4B2">
      <w:pPr>
        <w:widowControl/>
        <w:shd w:val="clear" w:color="auto" w:fill="FFFFFF"/>
        <w:spacing w:line="360" w:lineRule="atLeast"/>
        <w:ind w:firstLine="48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 “十三五”期间，市场监管局认真学习贯彻习近平新时代中国特色社会主义思想，按照国家和省委省政府统一部署，稳中求进、稳中求新，全面推进职能大融合、改革大提速、监管大提效、服务大提质、能力大提升，我市市场监管事业逐步向高质量监管迈进。</w:t>
      </w:r>
    </w:p>
    <w:p w14:paraId="7E61FC6D">
      <w:pPr>
        <w:pStyle w:val="2"/>
        <w:rPr>
          <w:rFonts w:ascii="黑体" w:hAnsi="黑体" w:eastAsia="黑体" w:cs="Times New Roman"/>
          <w:szCs w:val="24"/>
        </w:rPr>
      </w:pPr>
      <w:bookmarkStart w:id="4" w:name="_Toc56587032"/>
      <w:bookmarkStart w:id="5" w:name="_Toc63151477"/>
      <w:r>
        <w:rPr>
          <w:rFonts w:hint="eastAsia" w:ascii="黑体" w:hAnsi="黑体" w:eastAsia="黑体" w:cs="Times New Roman"/>
          <w:szCs w:val="24"/>
        </w:rPr>
        <w:t>一、营商环境持续优化</w:t>
      </w:r>
      <w:bookmarkEnd w:id="4"/>
      <w:bookmarkEnd w:id="5"/>
    </w:p>
    <w:p w14:paraId="5D7AAAA0">
      <w:pPr>
        <w:ind w:firstLine="464" w:firstLineChars="145"/>
        <w:rPr>
          <w:rFonts w:ascii="Times New Roman" w:hAnsi="Times New Roman" w:eastAsia="楷体_GB2312" w:cs="Times New Roman"/>
          <w:sz w:val="32"/>
          <w:szCs w:val="32"/>
        </w:rPr>
      </w:pPr>
      <w:r>
        <w:rPr>
          <w:rFonts w:hint="eastAsia" w:ascii="仿宋_GB2312" w:hAnsi="微软雅黑" w:eastAsia="仿宋_GB2312" w:cs="宋体"/>
          <w:color w:val="000000" w:themeColor="text1"/>
          <w:kern w:val="0"/>
          <w:sz w:val="32"/>
          <w:szCs w:val="32"/>
          <w14:textFill>
            <w14:solidFill>
              <w14:schemeClr w14:val="tx1"/>
            </w14:solidFill>
          </w14:textFill>
        </w:rPr>
        <w:t>持续推进“放管服”改革，对标上海等标杆城市，不断压缩企业开办时间，扎实推进、“一表申请”和“一门一窗一次”，实现了开办企业“0.5天办结”。全力推进“一网通办”工作，编制了一次性告知清单、办事流程图、办事指南、办事样本等材料，落实66项“一网通办”事项，为群众网上办事创造了便利，营造了更优的营商环境。不断推动“贷免扶补”，广泛开展宣传，共有524户获得审批，激励了创新创业。</w:t>
      </w:r>
      <w:r>
        <w:rPr>
          <w:rFonts w:ascii="Times New Roman" w:hAnsi="Times New Roman" w:eastAsia="仿宋" w:cs="Times New Roman"/>
          <w:kern w:val="0"/>
          <w:sz w:val="32"/>
          <w:szCs w:val="32"/>
        </w:rPr>
        <w:t>继续推进</w:t>
      </w:r>
      <w:r>
        <w:rPr>
          <w:rFonts w:ascii="Times New Roman" w:hAnsi="Times New Roman" w:eastAsia="仿宋_GB2312" w:cs="Times New Roman"/>
          <w:sz w:val="32"/>
          <w:szCs w:val="32"/>
        </w:rPr>
        <w:t>专利资助和扶持工作，</w:t>
      </w:r>
      <w:r>
        <w:rPr>
          <w:rFonts w:hint="eastAsia" w:ascii="Times New Roman" w:hAnsi="Times New Roman" w:eastAsia="仿宋_GB2312" w:cs="Times New Roman"/>
          <w:sz w:val="32"/>
          <w:szCs w:val="32"/>
        </w:rPr>
        <w:t>累计资助专利1245件，资助金额167.48万元，共有20家企业获得国家、省、昆明市级知识产权优势企业或试点示范企业称号，市场创新的活力不断提高。</w:t>
      </w:r>
    </w:p>
    <w:p w14:paraId="77887E6F">
      <w:pPr>
        <w:pStyle w:val="2"/>
        <w:rPr>
          <w:rFonts w:ascii="黑体" w:hAnsi="黑体" w:eastAsia="黑体" w:cs="Times New Roman"/>
          <w:szCs w:val="24"/>
        </w:rPr>
      </w:pPr>
      <w:bookmarkStart w:id="6" w:name="_Toc63151478"/>
      <w:bookmarkStart w:id="7" w:name="_Toc56587033"/>
      <w:r>
        <w:rPr>
          <w:rFonts w:hint="eastAsia" w:ascii="黑体" w:hAnsi="黑体" w:eastAsia="黑体" w:cs="Times New Roman"/>
          <w:szCs w:val="24"/>
        </w:rPr>
        <w:t>二、市场安全不断得到保障</w:t>
      </w:r>
      <w:bookmarkEnd w:id="6"/>
      <w:bookmarkEnd w:id="7"/>
      <w:r>
        <w:rPr>
          <w:rFonts w:hint="eastAsia" w:ascii="黑体" w:hAnsi="黑体" w:eastAsia="黑体" w:cs="Times New Roman"/>
          <w:szCs w:val="24"/>
        </w:rPr>
        <w:t xml:space="preserve"> </w:t>
      </w:r>
    </w:p>
    <w:p w14:paraId="2073E820">
      <w:pPr>
        <w:spacing w:line="560" w:lineRule="exact"/>
        <w:ind w:firstLine="640" w:firstLineChars="200"/>
        <w:rPr>
          <w:rFonts w:ascii="Times New Roman" w:hAnsi="Times New Roman" w:eastAsia="仿宋_GB2312" w:cs="Times New Roman"/>
          <w:sz w:val="32"/>
          <w:szCs w:val="32"/>
        </w:rPr>
      </w:pPr>
      <w:r>
        <w:rPr>
          <w:rFonts w:hint="eastAsia" w:ascii="仿宋_GB2312" w:hAnsi="微软雅黑" w:eastAsia="仿宋_GB2312"/>
          <w:color w:val="000000" w:themeColor="text1"/>
          <w:sz w:val="32"/>
          <w:szCs w:val="32"/>
          <w14:textFill>
            <w14:solidFill>
              <w14:schemeClr w14:val="tx1"/>
            </w14:solidFill>
          </w14:textFill>
        </w:rPr>
        <w:t>出台制定了《安宁市集贸市场长效管理工作方案》、《安宁市文明农贸市场评星定级工作方案》，实施 “以奖代补”政策，极大提高了农贸市场自身建设积极性和主动性。主动出击，抓住数字经济建设机遇，创建昆钢凌波“智能型”市场，是全省第一家标准化智能化农贸市场，获得周边居民高度认可。</w:t>
      </w:r>
      <w:r>
        <w:rPr>
          <w:rFonts w:ascii="Times New Roman" w:hAnsi="Times New Roman" w:eastAsia="仿宋_GB2312" w:cs="Times New Roman"/>
          <w:sz w:val="32"/>
          <w:szCs w:val="32"/>
        </w:rPr>
        <w:t>高度重视人民健康安全,</w:t>
      </w:r>
      <w:r>
        <w:rPr>
          <w:rFonts w:hint="eastAsia" w:ascii="Times New Roman" w:hAnsi="Times New Roman" w:eastAsia="仿宋_GB2312" w:cs="Times New Roman"/>
          <w:sz w:val="32"/>
          <w:szCs w:val="32"/>
        </w:rPr>
        <w:t>加大力度</w:t>
      </w:r>
      <w:r>
        <w:rPr>
          <w:rFonts w:ascii="Times New Roman" w:hAnsi="Times New Roman" w:eastAsia="仿宋_GB2312" w:cs="Times New Roman"/>
          <w:sz w:val="32"/>
          <w:szCs w:val="32"/>
        </w:rPr>
        <w:t>对群众关心的突出问题组织开展执法检查</w:t>
      </w:r>
      <w:r>
        <w:rPr>
          <w:rFonts w:hint="eastAsia" w:ascii="Times New Roman" w:hAnsi="Times New Roman" w:eastAsia="仿宋_GB2312" w:cs="Times New Roman"/>
          <w:sz w:val="32"/>
          <w:szCs w:val="32"/>
        </w:rPr>
        <w:t>，防止出现危害老百姓安全的事件。</w:t>
      </w:r>
      <w:r>
        <w:rPr>
          <w:rFonts w:hint="eastAsia" w:ascii="仿宋_GB2312" w:hAnsi="仿宋_GB2312" w:eastAsia="仿宋_GB2312" w:cs="仿宋_GB2312"/>
          <w:kern w:val="1"/>
          <w:sz w:val="32"/>
          <w:szCs w:val="32"/>
        </w:rPr>
        <w:t>建立完善特种设备安全监察网格化体系，开展液化石油气充装、特种设备安全隐患大排查大整治、大型游乐设施专项整治等，始终把工业企业、宾馆饭店、学校、商场等公众聚集场所和重点建设项目作为重点，强化对设备安装和使用现场的安全监督检查与行政执法，督促整改安全隐患，确保设备安全运行。累计开展各类特种设备专项整治</w:t>
      </w:r>
      <w:r>
        <w:rPr>
          <w:rFonts w:ascii="仿宋_GB2312" w:hAnsi="仿宋_GB2312" w:eastAsia="仿宋_GB2312" w:cs="仿宋_GB2312"/>
          <w:kern w:val="1"/>
          <w:sz w:val="32"/>
          <w:szCs w:val="32"/>
        </w:rPr>
        <w:t>68次，检查特种设备9800台次。</w:t>
      </w:r>
      <w:r>
        <w:rPr>
          <w:rFonts w:hint="eastAsia" w:ascii="仿宋_GB2312" w:hAnsi="仿宋_GB2312" w:eastAsia="仿宋_GB2312" w:cs="仿宋_GB2312"/>
          <w:kern w:val="1"/>
          <w:sz w:val="32"/>
          <w:szCs w:val="32"/>
        </w:rPr>
        <w:t>依法查处无照经营</w:t>
      </w:r>
      <w:r>
        <w:rPr>
          <w:rFonts w:ascii="仿宋_GB2312" w:hAnsi="仿宋_GB2312" w:eastAsia="仿宋_GB2312" w:cs="仿宋_GB2312"/>
          <w:kern w:val="1"/>
          <w:sz w:val="32"/>
          <w:szCs w:val="32"/>
        </w:rPr>
        <w:t>183件、罚没金额52.21万元</w:t>
      </w:r>
      <w:r>
        <w:rPr>
          <w:rFonts w:hint="eastAsia" w:ascii="仿宋_GB2312" w:hAnsi="仿宋_GB2312" w:eastAsia="仿宋_GB2312" w:cs="仿宋_GB2312"/>
          <w:kern w:val="1"/>
          <w:sz w:val="32"/>
          <w:szCs w:val="32"/>
        </w:rPr>
        <w:t>。强化知识产权保护，累计查处商标侵权案件23件，案值12.36万元，罚款27.45万元；</w:t>
      </w:r>
      <w:r>
        <w:rPr>
          <w:rFonts w:ascii="仿宋_GB2312" w:hAnsi="仿宋_GB2312" w:eastAsia="仿宋_GB2312" w:cs="仿宋_GB2312"/>
          <w:kern w:val="1"/>
          <w:sz w:val="32"/>
          <w:szCs w:val="32"/>
        </w:rPr>
        <w:t>查处</w:t>
      </w:r>
      <w:r>
        <w:rPr>
          <w:rFonts w:hint="eastAsia" w:ascii="仿宋_GB2312" w:hAnsi="仿宋_GB2312" w:eastAsia="仿宋_GB2312" w:cs="仿宋_GB2312"/>
          <w:kern w:val="1"/>
          <w:sz w:val="32"/>
          <w:szCs w:val="32"/>
        </w:rPr>
        <w:t>专利标识不规范及假冒专</w:t>
      </w:r>
      <w:r>
        <w:rPr>
          <w:rFonts w:hint="eastAsia" w:ascii="Times New Roman" w:hAnsi="Times New Roman" w:eastAsia="仿宋_GB2312" w:cs="Times New Roman"/>
          <w:sz w:val="32"/>
          <w:szCs w:val="32"/>
        </w:rPr>
        <w:t>利案件32件，</w:t>
      </w:r>
      <w:r>
        <w:rPr>
          <w:rFonts w:ascii="Times New Roman" w:hAnsi="Times New Roman" w:eastAsia="仿宋_GB2312" w:cs="Times New Roman"/>
          <w:sz w:val="32"/>
          <w:szCs w:val="32"/>
        </w:rPr>
        <w:t>责令当事人整改</w:t>
      </w:r>
      <w:r>
        <w:rPr>
          <w:rFonts w:hint="eastAsia" w:ascii="Times New Roman" w:hAnsi="Times New Roman" w:eastAsia="仿宋_GB2312" w:cs="Times New Roman"/>
          <w:sz w:val="32"/>
          <w:szCs w:val="32"/>
        </w:rPr>
        <w:t>。</w:t>
      </w:r>
    </w:p>
    <w:p w14:paraId="175F56D0">
      <w:pPr>
        <w:pStyle w:val="2"/>
        <w:rPr>
          <w:rFonts w:ascii="黑体" w:hAnsi="黑体" w:eastAsia="黑体" w:cs="Times New Roman"/>
          <w:szCs w:val="24"/>
        </w:rPr>
      </w:pPr>
      <w:bookmarkStart w:id="8" w:name="_Toc63151479"/>
      <w:bookmarkStart w:id="9" w:name="_Toc56587034"/>
      <w:r>
        <w:rPr>
          <w:rFonts w:hint="eastAsia" w:ascii="黑体" w:hAnsi="黑体" w:eastAsia="黑体" w:cs="Times New Roman"/>
          <w:szCs w:val="24"/>
        </w:rPr>
        <w:t>三、食品药品安全监管取得新进展</w:t>
      </w:r>
      <w:bookmarkEnd w:id="8"/>
      <w:bookmarkEnd w:id="9"/>
    </w:p>
    <w:p w14:paraId="4B89D543">
      <w:pPr>
        <w:pStyle w:val="13"/>
        <w:shd w:val="clear" w:color="auto" w:fill="FFFFFF"/>
        <w:spacing w:before="0" w:beforeAutospacing="0" w:after="0" w:afterAutospacing="0"/>
        <w:ind w:firstLine="640" w:firstLineChars="200"/>
        <w:jc w:val="both"/>
        <w:rPr>
          <w:rFonts w:ascii="Times New Roman" w:hAnsi="Times New Roman" w:eastAsia="仿宋_GB2312" w:cs="Times New Roman"/>
          <w:sz w:val="32"/>
          <w:szCs w:val="32"/>
        </w:rPr>
      </w:pPr>
      <w:r>
        <w:rPr>
          <w:rFonts w:hint="eastAsia" w:ascii="仿宋_GB2312" w:hAnsi="微软雅黑" w:eastAsia="仿宋_GB2312"/>
          <w:color w:val="000000" w:themeColor="text1"/>
          <w:sz w:val="32"/>
          <w:szCs w:val="32"/>
          <w14:textFill>
            <w14:solidFill>
              <w14:schemeClr w14:val="tx1"/>
            </w14:solidFill>
          </w14:textFill>
        </w:rPr>
        <w:t>食品安全监管工作取得实效。</w:t>
      </w:r>
      <w:r>
        <w:rPr>
          <w:rFonts w:ascii="Times New Roman" w:hAnsi="Times New Roman" w:eastAsia="仿宋_GB2312" w:cs="Times New Roman"/>
          <w:sz w:val="32"/>
          <w:szCs w:val="32"/>
        </w:rPr>
        <w:t>全面</w:t>
      </w:r>
      <w:r>
        <w:rPr>
          <w:rFonts w:hint="eastAsia" w:ascii="Times New Roman" w:hAnsi="Times New Roman" w:eastAsia="仿宋_GB2312" w:cs="Times New Roman"/>
          <w:sz w:val="32"/>
          <w:szCs w:val="32"/>
        </w:rPr>
        <w:t>贯彻《食品安全法》、《食品安全法实施条例》及</w:t>
      </w:r>
      <w:r>
        <w:rPr>
          <w:rFonts w:ascii="Times New Roman" w:hAnsi="Times New Roman" w:eastAsia="仿宋_GB2312" w:cs="Times New Roman"/>
          <w:sz w:val="32"/>
          <w:szCs w:val="32"/>
        </w:rPr>
        <w:t>《餐饮服务食品安全操作规范》</w:t>
      </w:r>
      <w:r>
        <w:rPr>
          <w:rFonts w:hint="eastAsia" w:ascii="Times New Roman" w:hAnsi="Times New Roman" w:eastAsia="仿宋_GB2312" w:cs="Times New Roman"/>
          <w:sz w:val="32"/>
          <w:szCs w:val="32"/>
        </w:rPr>
        <w:t>的实施，推动</w:t>
      </w:r>
      <w:r>
        <w:rPr>
          <w:rFonts w:ascii="Times New Roman" w:hAnsi="Times New Roman" w:eastAsia="仿宋_GB2312" w:cs="Times New Roman"/>
          <w:sz w:val="32"/>
          <w:szCs w:val="32"/>
        </w:rPr>
        <w:t>行政执法与刑事司法衔接</w:t>
      </w:r>
      <w:r>
        <w:rPr>
          <w:rFonts w:hint="eastAsia" w:ascii="Times New Roman" w:hAnsi="Times New Roman" w:eastAsia="仿宋_GB2312" w:cs="Times New Roman"/>
          <w:sz w:val="32"/>
          <w:szCs w:val="32"/>
        </w:rPr>
        <w:t>，食品案件移送司法机关完成判决实现“零”的突破，并形成良好的案件行刑衔接移送机制，有效打击食品安全违法犯罪行为。开展餐饮单位</w:t>
      </w:r>
      <w:r>
        <w:rPr>
          <w:rFonts w:ascii="Times New Roman" w:hAnsi="Times New Roman" w:eastAsia="仿宋_GB2312" w:cs="Times New Roman"/>
          <w:sz w:val="32"/>
          <w:szCs w:val="32"/>
        </w:rPr>
        <w:t>“明厨亮灶”</w:t>
      </w:r>
      <w:r>
        <w:rPr>
          <w:rFonts w:hint="eastAsia" w:ascii="Times New Roman" w:hAnsi="Times New Roman" w:eastAsia="仿宋_GB2312" w:cs="Times New Roman"/>
          <w:sz w:val="32"/>
          <w:szCs w:val="32"/>
        </w:rPr>
        <w:t>行动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推动</w:t>
      </w:r>
      <w:r>
        <w:rPr>
          <w:rFonts w:ascii="Times New Roman" w:hAnsi="Times New Roman" w:eastAsia="仿宋_GB2312" w:cs="Times New Roman"/>
          <w:sz w:val="32"/>
          <w:szCs w:val="32"/>
        </w:rPr>
        <w:t>食品</w:t>
      </w:r>
      <w:r>
        <w:rPr>
          <w:rFonts w:hint="eastAsia" w:ascii="Times New Roman" w:hAnsi="Times New Roman" w:eastAsia="仿宋_GB2312" w:cs="Times New Roman"/>
          <w:sz w:val="32"/>
          <w:szCs w:val="32"/>
        </w:rPr>
        <w:t>经营企业亮证经营，从业</w:t>
      </w:r>
      <w:r>
        <w:rPr>
          <w:rFonts w:ascii="Times New Roman" w:hAnsi="Times New Roman" w:eastAsia="仿宋_GB2312" w:cs="Times New Roman"/>
          <w:sz w:val="32"/>
          <w:szCs w:val="32"/>
        </w:rPr>
        <w:t>人员</w:t>
      </w:r>
      <w:r>
        <w:rPr>
          <w:rFonts w:hint="eastAsia" w:ascii="Times New Roman" w:hAnsi="Times New Roman" w:eastAsia="仿宋_GB2312" w:cs="Times New Roman"/>
          <w:sz w:val="32"/>
          <w:szCs w:val="32"/>
        </w:rPr>
        <w:t>持证上岗，倡导</w:t>
      </w:r>
      <w:r>
        <w:rPr>
          <w:rFonts w:ascii="Times New Roman" w:hAnsi="Times New Roman" w:eastAsia="仿宋_GB2312" w:cs="Times New Roman"/>
          <w:sz w:val="32"/>
          <w:szCs w:val="32"/>
        </w:rPr>
        <w:t>使用公筷公勺</w:t>
      </w:r>
      <w:r>
        <w:rPr>
          <w:rFonts w:hint="eastAsia" w:ascii="Times New Roman" w:hAnsi="Times New Roman" w:eastAsia="仿宋_GB2312" w:cs="Times New Roman"/>
          <w:sz w:val="32"/>
          <w:szCs w:val="32"/>
        </w:rPr>
        <w:t>、规范从</w:t>
      </w:r>
      <w:r>
        <w:rPr>
          <w:rFonts w:ascii="Times New Roman" w:hAnsi="Times New Roman" w:eastAsia="仿宋_GB2312" w:cs="Times New Roman"/>
          <w:sz w:val="32"/>
          <w:szCs w:val="32"/>
        </w:rPr>
        <w:t>业人员</w:t>
      </w:r>
      <w:r>
        <w:rPr>
          <w:rFonts w:hint="eastAsia" w:ascii="Times New Roman" w:hAnsi="Times New Roman" w:eastAsia="仿宋_GB2312" w:cs="Times New Roman"/>
          <w:sz w:val="32"/>
          <w:szCs w:val="32"/>
        </w:rPr>
        <w:t>着装</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，推动餐饮</w:t>
      </w:r>
      <w:r>
        <w:rPr>
          <w:rFonts w:ascii="Times New Roman" w:hAnsi="Times New Roman" w:eastAsia="仿宋_GB2312" w:cs="Times New Roman"/>
          <w:sz w:val="32"/>
          <w:szCs w:val="32"/>
        </w:rPr>
        <w:t>食品</w:t>
      </w:r>
      <w:r>
        <w:rPr>
          <w:rFonts w:hint="eastAsia" w:ascii="Times New Roman" w:hAnsi="Times New Roman" w:eastAsia="仿宋_GB2312" w:cs="Times New Roman"/>
          <w:sz w:val="32"/>
          <w:szCs w:val="32"/>
        </w:rPr>
        <w:t>行业自觉遵守操作规范</w:t>
      </w:r>
      <w:r>
        <w:rPr>
          <w:rFonts w:ascii="Times New Roman" w:hAnsi="Times New Roman" w:eastAsia="仿宋_GB2312" w:cs="Times New Roman"/>
          <w:sz w:val="32"/>
          <w:szCs w:val="32"/>
        </w:rPr>
        <w:t>。</w:t>
      </w:r>
      <w:bookmarkStart w:id="10" w:name="_Hlk57383247"/>
      <w:r>
        <w:rPr>
          <w:rFonts w:ascii="Times New Roman" w:hAnsi="Times New Roman" w:eastAsia="仿宋_GB2312" w:cs="Times New Roman"/>
          <w:sz w:val="32"/>
          <w:szCs w:val="32"/>
        </w:rPr>
        <w:t>开展虾青素</w:t>
      </w:r>
      <w:r>
        <w:rPr>
          <w:rFonts w:hint="eastAsia" w:ascii="Times New Roman" w:hAnsi="Times New Roman" w:eastAsia="仿宋_GB2312" w:cs="Times New Roman"/>
          <w:sz w:val="32"/>
          <w:szCs w:val="32"/>
        </w:rPr>
        <w:t>、毒性</w:t>
      </w:r>
      <w:r>
        <w:rPr>
          <w:rFonts w:ascii="Times New Roman" w:hAnsi="Times New Roman" w:eastAsia="仿宋_GB2312" w:cs="Times New Roman"/>
          <w:sz w:val="32"/>
          <w:szCs w:val="32"/>
        </w:rPr>
        <w:t>中药材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“瘦肉精”、中秋月饼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白酒小作坊、学校食堂及周边食品、旅游市场、罂粟壳、籽、油、苗</w:t>
      </w:r>
      <w:r>
        <w:rPr>
          <w:rFonts w:hint="eastAsia" w:ascii="Times New Roman" w:hAnsi="Times New Roman" w:eastAsia="仿宋_GB2312" w:cs="Times New Roman"/>
          <w:sz w:val="32"/>
          <w:szCs w:val="32"/>
        </w:rPr>
        <w:t>等食品安全</w:t>
      </w:r>
      <w:r>
        <w:rPr>
          <w:rFonts w:ascii="Times New Roman" w:hAnsi="Times New Roman" w:eastAsia="仿宋_GB2312" w:cs="Times New Roman"/>
          <w:sz w:val="32"/>
          <w:szCs w:val="32"/>
        </w:rPr>
        <w:t>专项整治</w:t>
      </w:r>
      <w:bookmarkEnd w:id="10"/>
      <w:r>
        <w:rPr>
          <w:rFonts w:hint="eastAsia" w:ascii="Times New Roman" w:hAnsi="Times New Roman" w:eastAsia="仿宋_GB2312" w:cs="Times New Roman"/>
          <w:sz w:val="32"/>
          <w:szCs w:val="32"/>
        </w:rPr>
        <w:t>。开展餐饮食品安全量化分级评定，评定率95%。食品生产、流通风险等级评定率70%。建设“1+3+N”餐饮智慧监管系统，逐步实现对餐饮单位远程监管，保障食品安全。</w:t>
      </w:r>
    </w:p>
    <w:p w14:paraId="245855EC">
      <w:pPr>
        <w:pStyle w:val="13"/>
        <w:shd w:val="clear" w:color="auto" w:fill="FFFFFF"/>
        <w:spacing w:before="0" w:beforeAutospacing="0" w:after="0" w:afterAutospacing="0"/>
        <w:ind w:firstLine="48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药品安全得到了保障。开展药械安全保障工作，定期开展药械安全突发事件应急演练，打造安宁安全用药月系列宣传活动，建立药械企业信用等级评定，持续深化农村药品“两网”建设，高质量完成“两节两会”、“中药饮片”、“药师挂证”等专项检查，针对性解决了药械药品安全重点的痛点难点。</w:t>
      </w:r>
    </w:p>
    <w:p w14:paraId="2DAFB277">
      <w:pPr>
        <w:pStyle w:val="2"/>
        <w:rPr>
          <w:rFonts w:ascii="黑体" w:hAnsi="黑体" w:eastAsia="黑体" w:cs="Times New Roman"/>
          <w:szCs w:val="24"/>
        </w:rPr>
      </w:pPr>
      <w:bookmarkStart w:id="11" w:name="_Toc56587035"/>
      <w:bookmarkStart w:id="12" w:name="_Toc63151480"/>
      <w:r>
        <w:rPr>
          <w:rFonts w:hint="eastAsia" w:ascii="黑体" w:hAnsi="黑体" w:eastAsia="黑体" w:cs="Times New Roman"/>
          <w:szCs w:val="24"/>
        </w:rPr>
        <w:t>四、监管法制化不断推进</w:t>
      </w:r>
      <w:bookmarkEnd w:id="11"/>
      <w:bookmarkEnd w:id="12"/>
    </w:p>
    <w:p w14:paraId="38A8A75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根据国家、省市有关规定，结合安宁实际情况制定并印发</w:t>
      </w:r>
      <w:r>
        <w:rPr>
          <w:rFonts w:ascii="Times New Roman" w:hAnsi="Times New Roman" w:eastAsia="仿宋_GB2312" w:cs="Times New Roman"/>
          <w:kern w:val="0"/>
          <w:sz w:val="32"/>
          <w:szCs w:val="32"/>
        </w:rPr>
        <w:t>《安宁市市场监督管理局行政执法公示制度》、《安宁市市场监督管理局行政执法全过程记录制度（试行）》、《安宁市市场监督管理局重大行政执法决定法制审核制度》</w:t>
      </w:r>
      <w:r>
        <w:rPr>
          <w:rFonts w:hint="eastAsia" w:ascii="Times New Roman" w:hAnsi="Times New Roman" w:eastAsia="仿宋_GB2312" w:cs="Times New Roman"/>
          <w:kern w:val="0"/>
          <w:sz w:val="32"/>
          <w:szCs w:val="32"/>
        </w:rPr>
        <w:t>，推动了执法监管法制化进程。</w:t>
      </w:r>
      <w:r>
        <w:rPr>
          <w:rFonts w:ascii="Times New Roman" w:hAnsi="Times New Roman" w:eastAsia="仿宋_GB2312" w:cs="Times New Roman"/>
          <w:sz w:val="32"/>
          <w:szCs w:val="32"/>
        </w:rPr>
        <w:t>加强法律法规实施的监督检查</w:t>
      </w:r>
      <w:r>
        <w:rPr>
          <w:rFonts w:hint="eastAsia" w:ascii="Times New Roman" w:hAnsi="Times New Roman" w:eastAsia="仿宋_GB2312" w:cs="Times New Roman"/>
          <w:sz w:val="32"/>
          <w:szCs w:val="32"/>
        </w:rPr>
        <w:t>，累计查办</w:t>
      </w:r>
      <w:r>
        <w:rPr>
          <w:rFonts w:ascii="Times New Roman" w:hAnsi="Times New Roman" w:eastAsia="仿宋_GB2312" w:cs="Times New Roman"/>
          <w:kern w:val="34"/>
          <w:sz w:val="32"/>
          <w:szCs w:val="32"/>
        </w:rPr>
        <w:t>一般程序行政处罚案件</w:t>
      </w:r>
      <w:r>
        <w:rPr>
          <w:rFonts w:hint="eastAsia" w:ascii="Times New Roman" w:hAnsi="Times New Roman" w:eastAsia="仿宋_GB2312" w:cs="Times New Roman"/>
          <w:kern w:val="34"/>
          <w:sz w:val="32"/>
          <w:szCs w:val="32"/>
        </w:rPr>
        <w:t>1041件，罚没款合计8374498元。</w:t>
      </w:r>
      <w:r>
        <w:rPr>
          <w:rFonts w:hint="eastAsia" w:ascii="Times New Roman" w:hAnsi="Times New Roman" w:eastAsia="仿宋_GB2312" w:cs="Times New Roman"/>
          <w:kern w:val="0"/>
          <w:sz w:val="32"/>
          <w:szCs w:val="32"/>
        </w:rPr>
        <w:t>创新执法工作方式，聘请法律顾问，每周值班提供法律咨询，2020年共</w:t>
      </w:r>
      <w:r>
        <w:rPr>
          <w:rFonts w:ascii="Times New Roman" w:hAnsi="Times New Roman" w:eastAsia="仿宋_GB2312" w:cs="Times New Roman"/>
          <w:sz w:val="32"/>
          <w:szCs w:val="32"/>
        </w:rPr>
        <w:t>出具</w:t>
      </w:r>
      <w:r>
        <w:rPr>
          <w:rFonts w:hint="eastAsia" w:ascii="Times New Roman" w:hAnsi="Times New Roman" w:eastAsia="仿宋_GB2312" w:cs="Times New Roman"/>
          <w:sz w:val="32"/>
          <w:szCs w:val="32"/>
        </w:rPr>
        <w:t>了10份</w:t>
      </w:r>
      <w:r>
        <w:rPr>
          <w:rFonts w:ascii="Times New Roman" w:hAnsi="Times New Roman" w:eastAsia="仿宋_GB2312" w:cs="Times New Roman"/>
          <w:sz w:val="32"/>
          <w:szCs w:val="32"/>
        </w:rPr>
        <w:t>法律意见书</w:t>
      </w:r>
      <w:r>
        <w:rPr>
          <w:rFonts w:hint="eastAsia" w:ascii="Times New Roman" w:hAnsi="Times New Roman" w:eastAsia="仿宋_GB2312" w:cs="Times New Roman"/>
          <w:sz w:val="32"/>
          <w:szCs w:val="32"/>
        </w:rPr>
        <w:t>，累计参与随队执法12次，推进了市场监管工作的法制化。</w:t>
      </w:r>
      <w:r>
        <w:rPr>
          <w:rFonts w:ascii="Times New Roman" w:hAnsi="Times New Roman" w:eastAsia="仿宋_GB2312" w:cs="Times New Roman"/>
          <w:sz w:val="32"/>
          <w:szCs w:val="32"/>
        </w:rPr>
        <w:t xml:space="preserve"> </w:t>
      </w:r>
    </w:p>
    <w:p w14:paraId="18FACB07">
      <w:pPr>
        <w:pStyle w:val="2"/>
        <w:rPr>
          <w:rFonts w:ascii="黑体" w:hAnsi="黑体" w:eastAsia="黑体" w:cs="Times New Roman"/>
          <w:szCs w:val="24"/>
        </w:rPr>
      </w:pPr>
      <w:bookmarkStart w:id="13" w:name="_Toc56587036"/>
      <w:bookmarkStart w:id="14" w:name="_Toc63151481"/>
      <w:r>
        <w:rPr>
          <w:rFonts w:hint="eastAsia" w:ascii="黑体" w:hAnsi="黑体" w:eastAsia="黑体" w:cs="Times New Roman"/>
          <w:szCs w:val="24"/>
        </w:rPr>
        <w:t>五、市场竞争环境更加公平有序</w:t>
      </w:r>
      <w:bookmarkEnd w:id="13"/>
      <w:bookmarkEnd w:id="14"/>
    </w:p>
    <w:p w14:paraId="0F52D10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组织打击传销、假冒伪劣、虚假违法广告、网络违法、知识产权违法等专项执法行动和合同霸王条款、农资市场、无照经营等专项整治行动，累计</w:t>
      </w:r>
      <w:r>
        <w:rPr>
          <w:rFonts w:ascii="Times New Roman" w:hAnsi="Times New Roman" w:eastAsia="仿宋_GB2312" w:cs="Times New Roman"/>
          <w:kern w:val="34"/>
          <w:sz w:val="32"/>
          <w:szCs w:val="32"/>
        </w:rPr>
        <w:t>查办一般程序行政处罚案件</w:t>
      </w:r>
      <w:r>
        <w:rPr>
          <w:rFonts w:hint="eastAsia" w:ascii="Times New Roman" w:hAnsi="Times New Roman" w:eastAsia="仿宋_GB2312" w:cs="Times New Roman"/>
          <w:kern w:val="34"/>
          <w:sz w:val="32"/>
          <w:szCs w:val="32"/>
        </w:rPr>
        <w:t>2</w:t>
      </w:r>
      <w:r>
        <w:rPr>
          <w:rFonts w:ascii="Times New Roman" w:hAnsi="Times New Roman" w:eastAsia="仿宋_GB2312" w:cs="Times New Roman"/>
          <w:kern w:val="34"/>
          <w:sz w:val="32"/>
          <w:szCs w:val="32"/>
        </w:rPr>
        <w:t>件，罚没款合计</w:t>
      </w:r>
      <w:r>
        <w:rPr>
          <w:rFonts w:hint="eastAsia" w:ascii="Times New Roman" w:hAnsi="Times New Roman" w:eastAsia="仿宋_GB2312" w:cs="Times New Roman"/>
          <w:kern w:val="34"/>
          <w:sz w:val="32"/>
          <w:szCs w:val="32"/>
        </w:rPr>
        <w:t>75万余</w:t>
      </w:r>
      <w:r>
        <w:rPr>
          <w:rFonts w:ascii="Times New Roman" w:hAnsi="Times New Roman" w:eastAsia="仿宋_GB2312" w:cs="Times New Roman"/>
          <w:kern w:val="34"/>
          <w:sz w:val="32"/>
          <w:szCs w:val="32"/>
        </w:rPr>
        <w:t>元</w:t>
      </w:r>
      <w:r>
        <w:rPr>
          <w:rFonts w:hint="eastAsia" w:ascii="Times New Roman" w:hAnsi="Times New Roman" w:eastAsia="仿宋_GB2312" w:cs="Times New Roman"/>
          <w:sz w:val="32"/>
          <w:szCs w:val="32"/>
        </w:rPr>
        <w:t>。深入开展扫黑除恶专项斗争，全系统共排查涉黑涉恶线索13条，向公安部门移交线索4条。按照“不忘初心、牢记使命”主题教育要求，开展食品安全</w:t>
      </w:r>
      <w:r>
        <w:rPr>
          <w:rFonts w:hint="eastAsia" w:ascii="仿宋_GB2312" w:hAnsi="仿宋_GB2312" w:eastAsia="仿宋_GB2312" w:cs="仿宋_GB2312"/>
          <w:sz w:val="32"/>
          <w:szCs w:val="32"/>
        </w:rPr>
        <w:t>开展超限超载计量器具检查累计10次，检查各类计量器具40（件），开展用于贸易结算等强制管理的计量器具检查150余次，检查各类计量器具1.5万余台（件）。</w:t>
      </w:r>
      <w:r>
        <w:rPr>
          <w:rFonts w:hint="eastAsia" w:ascii="仿宋_GB2312" w:hAnsi="仿宋_GB2312" w:eastAsia="仿宋_GB2312" w:cs="仿宋_GB2312"/>
          <w:kern w:val="0"/>
          <w:sz w:val="32"/>
          <w:szCs w:val="32"/>
        </w:rPr>
        <w:t>强化认证活动监管，按照</w:t>
      </w:r>
      <w:r>
        <w:rPr>
          <w:rFonts w:hint="eastAsia" w:ascii="仿宋_GB2312" w:hAnsi="仿宋_GB2312" w:eastAsia="仿宋_GB2312" w:cs="仿宋_GB2312"/>
          <w:kern w:val="0"/>
          <w:sz w:val="32"/>
          <w:szCs w:val="32"/>
          <w:lang w:eastAsia="zh-CN"/>
        </w:rPr>
        <w:t>“双随机、一公开”</w:t>
      </w:r>
      <w:r>
        <w:rPr>
          <w:rFonts w:hint="eastAsia" w:ascii="仿宋_GB2312" w:hAnsi="仿宋_GB2312" w:eastAsia="仿宋_GB2312" w:cs="仿宋_GB2312"/>
          <w:kern w:val="0"/>
          <w:sz w:val="32"/>
          <w:szCs w:val="32"/>
        </w:rPr>
        <w:t>方式对检验检测机构、管理体系认证等进行“认证乱象”整治工作。</w:t>
      </w:r>
    </w:p>
    <w:p w14:paraId="1AC7BD79">
      <w:pPr>
        <w:pStyle w:val="2"/>
        <w:rPr>
          <w:rFonts w:ascii="黑体" w:hAnsi="黑体" w:eastAsia="黑体" w:cs="Times New Roman"/>
          <w:szCs w:val="24"/>
        </w:rPr>
      </w:pPr>
      <w:bookmarkStart w:id="15" w:name="_Toc63151482"/>
      <w:bookmarkStart w:id="16" w:name="_Toc56587037"/>
      <w:r>
        <w:rPr>
          <w:rFonts w:hint="eastAsia" w:ascii="黑体" w:hAnsi="黑体" w:eastAsia="黑体" w:cs="Times New Roman"/>
          <w:szCs w:val="24"/>
        </w:rPr>
        <w:t>六、消费维权机制不断健全</w:t>
      </w:r>
      <w:bookmarkEnd w:id="15"/>
      <w:bookmarkEnd w:id="16"/>
    </w:p>
    <w:p w14:paraId="104167A2">
      <w:pPr>
        <w:widowControl/>
        <w:shd w:val="clear" w:color="auto" w:fill="FFFFFF"/>
        <w:spacing w:after="180"/>
        <w:ind w:firstLine="56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商场、超市、市场、企业、景区、网络交易平台等消费纠纷突出的区域设立了23个消费者投诉站和12315联络站，确保第一时间受理处置、第一时间回复处理结果，提升了投诉举报处理效率，增强了消费满意度。成立163个“一会两站”，打造云南省第一个“诚信经营放心消费”示范服务区——安宁读书铺服务区，解决服务区消费痛点，得到省市两级市场监管等多部门的高度评价。</w:t>
      </w:r>
      <w:r>
        <w:rPr>
          <w:rFonts w:hint="eastAsia" w:ascii="仿宋_GB2312" w:hAnsi="仿宋_GB2312" w:eastAsia="仿宋_GB2312" w:cs="仿宋_GB2312"/>
          <w:color w:val="000000"/>
          <w:kern w:val="0"/>
          <w:sz w:val="32"/>
          <w:szCs w:val="32"/>
        </w:rPr>
        <w:t>切实履行“早发现、早报告、早调查、早提醒、早移交、早处置、早解决”的工作原则，以积极的工作态度处置解决老百姓生活中的纠纷，有效降低了群体性信访及群体性消费纠纷的发生率，进一步维护社会的稳定。深入宣传贯彻《中华人民共和国消费者权益保护法》，多种形式宣传3.15活动，通过安宁锐星传媒、安宁政务信息网宣传年会主题知识60期，累计开展12315“五进”活动72场次，提升了消费者维权意识。“十三五”期间共受理消费者咨询、投诉、举报10572件，处置率一直保持在100%，累计为消费者挽回经济损失1198万元，切实保障了消费者权益。</w:t>
      </w:r>
    </w:p>
    <w:p w14:paraId="77A78BC8">
      <w:pPr>
        <w:pStyle w:val="2"/>
        <w:rPr>
          <w:rFonts w:ascii="黑体" w:hAnsi="黑体" w:eastAsia="黑体" w:cs="Times New Roman"/>
          <w:szCs w:val="24"/>
        </w:rPr>
      </w:pPr>
      <w:bookmarkStart w:id="17" w:name="_Toc56587038"/>
      <w:bookmarkStart w:id="18" w:name="_Toc63151483"/>
      <w:r>
        <w:rPr>
          <w:rFonts w:hint="eastAsia" w:ascii="黑体" w:hAnsi="黑体" w:eastAsia="黑体" w:cs="Times New Roman"/>
          <w:szCs w:val="24"/>
        </w:rPr>
        <w:t>七、疫情期间全面部署防控</w:t>
      </w:r>
      <w:bookmarkEnd w:id="17"/>
      <w:bookmarkEnd w:id="18"/>
    </w:p>
    <w:p w14:paraId="7F20F440">
      <w:pPr>
        <w:widowControl/>
        <w:shd w:val="clear" w:color="auto" w:fill="FFFFFF"/>
        <w:spacing w:line="360" w:lineRule="atLeast"/>
        <w:ind w:firstLine="48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eastAsia="仿宋_GB2312"/>
          <w:sz w:val="32"/>
          <w:szCs w:val="32"/>
        </w:rPr>
        <w:t>2020年新型冠装肺炎疫情期间，加大对人员密集场所的市场监管及疫情防控工作，</w:t>
      </w:r>
      <w:r>
        <w:rPr>
          <w:rFonts w:hint="eastAsia" w:ascii="Times New Roman" w:hAnsi="Times New Roman" w:eastAsia="仿宋_GB2312" w:cs="Times New Roman"/>
          <w:sz w:val="32"/>
          <w:szCs w:val="32"/>
        </w:rPr>
        <w:t>制定完善应急预案，细化常态化防控措施，全面落实戴口罩、</w:t>
      </w:r>
      <w:r>
        <w:rPr>
          <w:rFonts w:ascii="Times New Roman" w:hAnsi="Times New Roman" w:eastAsia="仿宋_GB2312" w:cs="Times New Roman"/>
          <w:sz w:val="32"/>
          <w:szCs w:val="32"/>
        </w:rPr>
        <w:t>扫码、消毒、测温</w:t>
      </w:r>
      <w:r>
        <w:rPr>
          <w:rFonts w:hint="eastAsia" w:ascii="Times New Roman" w:hAnsi="Times New Roman" w:eastAsia="仿宋_GB2312" w:cs="Times New Roman"/>
          <w:sz w:val="32"/>
          <w:szCs w:val="32"/>
        </w:rPr>
        <w:t>等防疫措施，要求市场</w:t>
      </w:r>
      <w:r>
        <w:rPr>
          <w:rFonts w:hint="eastAsia" w:ascii="仿宋_GB2312" w:eastAsia="仿宋_GB2312"/>
          <w:bCs/>
          <w:sz w:val="32"/>
          <w:szCs w:val="32"/>
        </w:rPr>
        <w:t>每天进行</w:t>
      </w:r>
      <w:r>
        <w:rPr>
          <w:rFonts w:hint="eastAsia" w:ascii="仿宋" w:hAnsi="仿宋" w:eastAsia="仿宋"/>
          <w:bCs/>
          <w:sz w:val="32"/>
          <w:szCs w:val="32"/>
        </w:rPr>
        <w:t>全面消毒，在疫情期间有效保证了人民生命安全。</w:t>
      </w:r>
      <w:r>
        <w:rPr>
          <w:rFonts w:hint="eastAsia" w:ascii="仿宋" w:hAnsi="仿宋" w:eastAsia="仿宋"/>
          <w:sz w:val="32"/>
          <w:szCs w:val="32"/>
        </w:rPr>
        <w:t>加大对野生动物及其制品查处力度，对安宁市青龙街道辖区农家乐涉嫌存在出售野味的广告牌进行处理。</w:t>
      </w:r>
    </w:p>
    <w:p w14:paraId="258CDD42">
      <w:pPr>
        <w:pStyle w:val="2"/>
        <w:rPr>
          <w:rFonts w:ascii="黑体" w:hAnsi="黑体" w:eastAsia="黑体" w:cs="Times New Roman"/>
          <w:szCs w:val="24"/>
        </w:rPr>
      </w:pPr>
      <w:bookmarkStart w:id="19" w:name="_Toc63151484"/>
      <w:bookmarkStart w:id="20" w:name="_Toc56587039"/>
      <w:r>
        <w:rPr>
          <w:rFonts w:hint="eastAsia" w:ascii="黑体" w:hAnsi="黑体" w:eastAsia="黑体" w:cs="Times New Roman"/>
          <w:szCs w:val="24"/>
        </w:rPr>
        <w:t>八、亟需解决的问题</w:t>
      </w:r>
      <w:bookmarkEnd w:id="19"/>
      <w:bookmarkEnd w:id="20"/>
    </w:p>
    <w:p w14:paraId="2888DBC1">
      <w:pPr>
        <w:widowControl/>
        <w:shd w:val="clear" w:color="auto" w:fill="FFFFFF"/>
        <w:spacing w:line="360" w:lineRule="atLeast"/>
        <w:ind w:firstLine="480"/>
        <w:textAlignment w:val="baseline"/>
        <w:rPr>
          <w:rStyle w:val="18"/>
          <w:rFonts w:ascii="仿宋_GB2312" w:hAnsi="微软雅黑" w:eastAsia="仿宋_GB2312" w:cs="宋体"/>
          <w:b w:val="0"/>
          <w:bCs w:val="0"/>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市场监管体系建设取得了积极成效的同时，也要看到亟须解决的突出问题。机构整合后，监管重心下移，执法力量向基层倾斜，但是基层所普遍面临人员不足、经费短缺、装备落后等问题。市场监管</w:t>
      </w:r>
      <w:r>
        <w:rPr>
          <w:rFonts w:hint="eastAsia" w:ascii="仿宋_GB2312" w:hAnsi="微软雅黑" w:eastAsia="仿宋_GB2312" w:cs="宋体"/>
          <w:b/>
          <w:bCs/>
          <w:color w:val="000000" w:themeColor="text1"/>
          <w:kern w:val="0"/>
          <w:sz w:val="32"/>
          <w:szCs w:val="32"/>
          <w14:textFill>
            <w14:solidFill>
              <w14:schemeClr w14:val="tx1"/>
            </w14:solidFill>
          </w14:textFill>
        </w:rPr>
        <w:t>人员配备不足</w:t>
      </w:r>
      <w:r>
        <w:rPr>
          <w:rFonts w:hint="eastAsia" w:ascii="仿宋_GB2312" w:hAnsi="微软雅黑" w:eastAsia="仿宋_GB2312" w:cs="宋体"/>
          <w:color w:val="000000" w:themeColor="text1"/>
          <w:kern w:val="0"/>
          <w:sz w:val="32"/>
          <w:szCs w:val="32"/>
          <w14:textFill>
            <w14:solidFill>
              <w14:schemeClr w14:val="tx1"/>
            </w14:solidFill>
          </w14:textFill>
        </w:rPr>
        <w:t>，人少事多的问题没有得到解决，基层监管任务重、压力大。</w:t>
      </w:r>
      <w:r>
        <w:rPr>
          <w:rFonts w:hint="eastAsia" w:ascii="仿宋_GB2312" w:hAnsi="微软雅黑" w:eastAsia="仿宋_GB2312" w:cs="宋体"/>
          <w:b/>
          <w:bCs/>
          <w:color w:val="000000" w:themeColor="text1"/>
          <w:kern w:val="0"/>
          <w:sz w:val="32"/>
          <w:szCs w:val="32"/>
          <w14:textFill>
            <w14:solidFill>
              <w14:schemeClr w14:val="tx1"/>
            </w14:solidFill>
          </w14:textFill>
        </w:rPr>
        <w:t>基层执法水平不高</w:t>
      </w:r>
      <w:r>
        <w:rPr>
          <w:rFonts w:hint="eastAsia" w:ascii="仿宋_GB2312" w:hAnsi="微软雅黑" w:eastAsia="仿宋_GB2312" w:cs="宋体"/>
          <w:color w:val="000000" w:themeColor="text1"/>
          <w:kern w:val="0"/>
          <w:sz w:val="32"/>
          <w:szCs w:val="32"/>
          <w14:textFill>
            <w14:solidFill>
              <w14:schemeClr w14:val="tx1"/>
            </w14:solidFill>
          </w14:textFill>
        </w:rPr>
        <w:t>，专业人才匮乏，与当前的精细化管理、大数据、网络化专业化发展等不相适应，与监管重心下移后繁重的监管任务不匹配。</w:t>
      </w:r>
      <w:r>
        <w:rPr>
          <w:rFonts w:ascii="仿宋_GB2312" w:hAnsi="微软雅黑" w:eastAsia="仿宋_GB2312" w:cs="宋体"/>
          <w:b/>
          <w:bCs/>
          <w:color w:val="000000" w:themeColor="text1"/>
          <w:kern w:val="0"/>
          <w:sz w:val="32"/>
          <w:szCs w:val="32"/>
          <w14:textFill>
            <w14:solidFill>
              <w14:schemeClr w14:val="tx1"/>
            </w14:solidFill>
          </w14:textFill>
        </w:rPr>
        <w:t>财政资金安排的</w:t>
      </w:r>
      <w:r>
        <w:rPr>
          <w:rFonts w:hint="eastAsia" w:ascii="仿宋_GB2312" w:hAnsi="微软雅黑" w:eastAsia="仿宋_GB2312" w:cs="宋体"/>
          <w:b/>
          <w:bCs/>
          <w:color w:val="000000" w:themeColor="text1"/>
          <w:kern w:val="0"/>
          <w:sz w:val="32"/>
          <w:szCs w:val="32"/>
          <w14:textFill>
            <w14:solidFill>
              <w14:schemeClr w14:val="tx1"/>
            </w14:solidFill>
          </w14:textFill>
        </w:rPr>
        <w:t>不足</w:t>
      </w:r>
      <w:r>
        <w:rPr>
          <w:rFonts w:ascii="仿宋_GB2312" w:hAnsi="微软雅黑" w:eastAsia="仿宋_GB2312" w:cs="宋体"/>
          <w:color w:val="000000" w:themeColor="text1"/>
          <w:kern w:val="0"/>
          <w:sz w:val="32"/>
          <w:szCs w:val="32"/>
          <w14:textFill>
            <w14:solidFill>
              <w14:schemeClr w14:val="tx1"/>
            </w14:solidFill>
          </w14:textFill>
        </w:rPr>
        <w:t>，现有执法</w:t>
      </w:r>
      <w:r>
        <w:rPr>
          <w:rFonts w:hint="eastAsia" w:ascii="仿宋_GB2312" w:hAnsi="微软雅黑" w:eastAsia="仿宋_GB2312" w:cs="宋体"/>
          <w:color w:val="000000" w:themeColor="text1"/>
          <w:kern w:val="0"/>
          <w:sz w:val="32"/>
          <w:szCs w:val="32"/>
          <w14:textFill>
            <w14:solidFill>
              <w14:schemeClr w14:val="tx1"/>
            </w14:solidFill>
          </w14:textFill>
        </w:rPr>
        <w:t>和监管工作的</w:t>
      </w:r>
      <w:r>
        <w:rPr>
          <w:rFonts w:ascii="仿宋_GB2312" w:hAnsi="微软雅黑" w:eastAsia="仿宋_GB2312" w:cs="宋体"/>
          <w:color w:val="000000" w:themeColor="text1"/>
          <w:kern w:val="0"/>
          <w:sz w:val="32"/>
          <w:szCs w:val="32"/>
          <w14:textFill>
            <w14:solidFill>
              <w14:schemeClr w14:val="tx1"/>
            </w14:solidFill>
          </w14:textFill>
        </w:rPr>
        <w:t>信息化</w:t>
      </w:r>
      <w:r>
        <w:rPr>
          <w:rFonts w:hint="eastAsia" w:ascii="仿宋_GB2312" w:hAnsi="微软雅黑" w:eastAsia="仿宋_GB2312" w:cs="宋体"/>
          <w:color w:val="000000" w:themeColor="text1"/>
          <w:kern w:val="0"/>
          <w:sz w:val="32"/>
          <w:szCs w:val="32"/>
          <w14:textFill>
            <w14:solidFill>
              <w14:schemeClr w14:val="tx1"/>
            </w14:solidFill>
          </w14:textFill>
        </w:rPr>
        <w:t>智能化</w:t>
      </w:r>
      <w:r>
        <w:rPr>
          <w:rFonts w:ascii="仿宋_GB2312" w:hAnsi="微软雅黑" w:eastAsia="仿宋_GB2312" w:cs="宋体"/>
          <w:color w:val="000000" w:themeColor="text1"/>
          <w:kern w:val="0"/>
          <w:sz w:val="32"/>
          <w:szCs w:val="32"/>
          <w14:textFill>
            <w14:solidFill>
              <w14:schemeClr w14:val="tx1"/>
            </w14:solidFill>
          </w14:textFill>
        </w:rPr>
        <w:t>水平不高，在执法办案时可利用</w:t>
      </w:r>
      <w:r>
        <w:rPr>
          <w:rFonts w:hint="eastAsia" w:ascii="仿宋_GB2312" w:hAnsi="微软雅黑" w:eastAsia="仿宋_GB2312" w:cs="宋体"/>
          <w:color w:val="000000" w:themeColor="text1"/>
          <w:kern w:val="0"/>
          <w:sz w:val="32"/>
          <w:szCs w:val="32"/>
          <w14:textFill>
            <w14:solidFill>
              <w14:schemeClr w14:val="tx1"/>
            </w14:solidFill>
          </w14:textFill>
        </w:rPr>
        <w:t>的信息化设备</w:t>
      </w:r>
      <w:r>
        <w:rPr>
          <w:rFonts w:ascii="仿宋_GB2312" w:hAnsi="微软雅黑" w:eastAsia="仿宋_GB2312" w:cs="宋体"/>
          <w:color w:val="000000" w:themeColor="text1"/>
          <w:kern w:val="0"/>
          <w:sz w:val="32"/>
          <w:szCs w:val="32"/>
          <w14:textFill>
            <w14:solidFill>
              <w14:schemeClr w14:val="tx1"/>
            </w14:solidFill>
          </w14:textFill>
        </w:rPr>
        <w:t>匮乏，导致执法效率低、执法取证难。</w:t>
      </w:r>
      <w:r>
        <w:rPr>
          <w:rFonts w:hint="eastAsia" w:ascii="仿宋_GB2312" w:hAnsi="微软雅黑" w:eastAsia="仿宋_GB2312" w:cs="宋体"/>
          <w:b/>
          <w:bCs/>
          <w:color w:val="000000" w:themeColor="text1"/>
          <w:kern w:val="0"/>
          <w:sz w:val="32"/>
          <w:szCs w:val="32"/>
          <w14:textFill>
            <w14:solidFill>
              <w14:schemeClr w14:val="tx1"/>
            </w14:solidFill>
          </w14:textFill>
        </w:rPr>
        <w:t>缺乏市场监管顶层设计，</w:t>
      </w:r>
      <w:r>
        <w:rPr>
          <w:rFonts w:hint="eastAsia" w:ascii="仿宋_GB2312" w:hAnsi="微软雅黑" w:eastAsia="仿宋_GB2312" w:cs="宋体"/>
          <w:color w:val="000000" w:themeColor="text1"/>
          <w:kern w:val="0"/>
          <w:sz w:val="32"/>
          <w:szCs w:val="32"/>
          <w14:textFill>
            <w14:solidFill>
              <w14:schemeClr w14:val="tx1"/>
            </w14:solidFill>
          </w14:textFill>
        </w:rPr>
        <w:t>工作制度创新性协调性不够，各执法要素之间衔接性不够，</w:t>
      </w:r>
      <w:r>
        <w:rPr>
          <w:rFonts w:hint="eastAsia" w:ascii="仿宋_GB2312" w:hAnsi="微软雅黑" w:eastAsia="仿宋_GB2312" w:cs="宋体"/>
          <w:b/>
          <w:bCs/>
          <w:color w:val="000000" w:themeColor="text1"/>
          <w:kern w:val="0"/>
          <w:sz w:val="32"/>
          <w:szCs w:val="32"/>
          <w14:textFill>
            <w14:solidFill>
              <w14:schemeClr w14:val="tx1"/>
            </w14:solidFill>
          </w14:textFill>
        </w:rPr>
        <w:t>未形成有效应对执法中心下移的工作机制</w:t>
      </w:r>
      <w:r>
        <w:rPr>
          <w:rFonts w:hint="eastAsia" w:ascii="仿宋_GB2312" w:hAnsi="微软雅黑" w:eastAsia="仿宋_GB2312" w:cs="宋体"/>
          <w:color w:val="000000" w:themeColor="text1"/>
          <w:kern w:val="0"/>
          <w:sz w:val="32"/>
          <w:szCs w:val="32"/>
          <w14:textFill>
            <w14:solidFill>
              <w14:schemeClr w14:val="tx1"/>
            </w14:solidFill>
          </w14:textFill>
        </w:rPr>
        <w:t>，权责不明晰，导致基层人员在执法和监管时，畏手畏脚。</w:t>
      </w:r>
    </w:p>
    <w:p w14:paraId="374196DC">
      <w:pPr>
        <w:pStyle w:val="13"/>
        <w:shd w:val="clear" w:color="auto" w:fill="FFFFFF"/>
        <w:spacing w:before="0" w:beforeAutospacing="0" w:after="0" w:afterAutospacing="0"/>
        <w:jc w:val="center"/>
        <w:textAlignment w:val="baseline"/>
        <w:outlineLvl w:val="0"/>
        <w:rPr>
          <w:rStyle w:val="18"/>
          <w:rFonts w:ascii="微软雅黑" w:hAnsi="微软雅黑" w:eastAsia="微软雅黑"/>
          <w:b w:val="0"/>
          <w:bCs w:val="0"/>
          <w:color w:val="000000" w:themeColor="text1"/>
          <w:sz w:val="32"/>
          <w:szCs w:val="32"/>
          <w14:textFill>
            <w14:solidFill>
              <w14:schemeClr w14:val="tx1"/>
            </w14:solidFill>
          </w14:textFill>
        </w:rPr>
      </w:pPr>
      <w:bookmarkStart w:id="21" w:name="_Toc56587040"/>
      <w:bookmarkStart w:id="22" w:name="_Toc63151485"/>
      <w:r>
        <w:rPr>
          <w:rStyle w:val="18"/>
          <w:rFonts w:hint="eastAsia" w:ascii="微软雅黑" w:hAnsi="微软雅黑" w:eastAsia="微软雅黑"/>
          <w:b w:val="0"/>
          <w:bCs w:val="0"/>
          <w:color w:val="000000" w:themeColor="text1"/>
          <w:sz w:val="32"/>
          <w:szCs w:val="32"/>
          <w14:textFill>
            <w14:solidFill>
              <w14:schemeClr w14:val="tx1"/>
            </w14:solidFill>
          </w14:textFill>
        </w:rPr>
        <w:t>第二章  面临形势和新机遇新挑战</w:t>
      </w:r>
      <w:bookmarkEnd w:id="21"/>
      <w:bookmarkEnd w:id="22"/>
    </w:p>
    <w:p w14:paraId="63355741">
      <w:pPr>
        <w:pStyle w:val="2"/>
        <w:rPr>
          <w:rFonts w:ascii="黑体" w:hAnsi="黑体" w:eastAsia="黑体" w:cs="Times New Roman"/>
          <w:szCs w:val="24"/>
        </w:rPr>
      </w:pPr>
      <w:bookmarkStart w:id="23" w:name="_Toc63151486"/>
      <w:bookmarkStart w:id="24" w:name="_Toc56587041"/>
      <w:r>
        <w:rPr>
          <w:rFonts w:hint="eastAsia" w:ascii="黑体" w:hAnsi="黑体" w:eastAsia="黑体" w:cs="Times New Roman"/>
          <w:szCs w:val="24"/>
        </w:rPr>
        <w:t>一、面临机遇</w:t>
      </w:r>
      <w:bookmarkEnd w:id="23"/>
      <w:bookmarkEnd w:id="24"/>
    </w:p>
    <w:p w14:paraId="05751F72">
      <w:pPr>
        <w:pStyle w:val="13"/>
        <w:shd w:val="clear" w:color="auto" w:fill="FFFFFF"/>
        <w:spacing w:before="0" w:beforeAutospacing="0" w:after="0" w:afterAutospacing="0"/>
        <w:ind w:firstLine="480"/>
        <w:jc w:val="both"/>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国家高度重视市场环境建设。</w:t>
      </w:r>
      <w:r>
        <w:rPr>
          <w:rFonts w:hint="eastAsia" w:ascii="仿宋_GB2312" w:hAnsi="微软雅黑" w:eastAsia="仿宋_GB2312"/>
          <w:color w:val="000000" w:themeColor="text1"/>
          <w:sz w:val="32"/>
          <w:szCs w:val="32"/>
          <w14:textFill>
            <w14:solidFill>
              <w14:schemeClr w14:val="tx1"/>
            </w14:solidFill>
          </w14:textFill>
        </w:rPr>
        <w:t>党中央高度重视市场监管工作，党的十九大以来，先后提出要清理废除妨碍统一市场和公平竞争的各种规定和做法、进一步深化商事制度改革，完善市场监管体制，深化简政放权，创新监管方式，着力优化营商环境，实行“证照分离”等改革。国家密集部署市场监管具体工作，试行市场准入负面清单，加大知识产权保护，全面部署“最多跑一次”改革等，为市场监管明确了目标，指出了方向。</w:t>
      </w:r>
    </w:p>
    <w:p w14:paraId="05EB4319">
      <w:pPr>
        <w:pStyle w:val="13"/>
        <w:shd w:val="clear" w:color="auto" w:fill="FFFFFF"/>
        <w:spacing w:before="0" w:beforeAutospacing="0" w:after="0" w:afterAutospacing="0"/>
        <w:ind w:firstLine="480"/>
        <w:jc w:val="both"/>
        <w:rPr>
          <w:rFonts w:ascii="仿宋_GB2312" w:hAnsi="微软雅黑" w:eastAsia="仿宋_GB2312"/>
          <w:color w:val="000000" w:themeColor="text1"/>
          <w:sz w:val="32"/>
          <w:szCs w:val="32"/>
          <w14:textFill>
            <w14:solidFill>
              <w14:schemeClr w14:val="tx1"/>
            </w14:solidFill>
          </w14:textFill>
        </w:rPr>
      </w:pPr>
      <w:r>
        <w:rPr>
          <w:rFonts w:ascii="仿宋_GB2312" w:hAnsi="微软雅黑" w:eastAsia="仿宋_GB2312"/>
          <w:b/>
          <w:bCs/>
          <w:color w:val="000000" w:themeColor="text1"/>
          <w:sz w:val="32"/>
          <w:szCs w:val="32"/>
          <w14:textFill>
            <w14:solidFill>
              <w14:schemeClr w14:val="tx1"/>
            </w14:solidFill>
          </w14:textFill>
        </w:rPr>
        <w:t>建设质量强国是我国经济转型升级的必然要求。</w:t>
      </w:r>
      <w:r>
        <w:rPr>
          <w:rFonts w:ascii="仿宋_GB2312" w:hAnsi="微软雅黑" w:eastAsia="仿宋_GB2312"/>
          <w:color w:val="000000" w:themeColor="text1"/>
          <w:sz w:val="32"/>
          <w:szCs w:val="32"/>
          <w14:textFill>
            <w14:solidFill>
              <w14:schemeClr w14:val="tx1"/>
            </w14:solidFill>
          </w14:textFill>
        </w:rPr>
        <w:t>经过改革开放以来的持续快速发展，我国已成为世界第二大经济体、第一大货物贸易国。但同时，我国虽有多种产品产量居全球第一，但缺少核心技术和品牌优势，质量技术基础比较薄弱</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产品质量标准体系尚不完善，产品质量水平还需进一步提高。因此，党的十九大报告指出，要坚持质量第一、效益优先，推动经济发展质量变革、效率变革、动力变革。推进质量强国建设，需要通过持续深化市场监管领域改革，充分发挥市场在资源配置中的决定性作用，更多引入市场机制和市场化手段，提高资源配置的效率和效益，充分发挥市场和政府各自优势，以市场内在动力深化供给侧结构性改革，构建市场机制有效、微观主体有活力、宏观调控有度的经济体制，为高质量发展提供制度保障。</w:t>
      </w:r>
    </w:p>
    <w:p w14:paraId="2C95D9F8">
      <w:pPr>
        <w:widowControl/>
        <w:shd w:val="clear" w:color="auto" w:fill="FFFFFF"/>
        <w:spacing w:line="360" w:lineRule="atLeast"/>
        <w:ind w:firstLine="48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bCs/>
          <w:color w:val="000000" w:themeColor="text1"/>
          <w:kern w:val="0"/>
          <w:sz w:val="32"/>
          <w:szCs w:val="32"/>
          <w14:textFill>
            <w14:solidFill>
              <w14:schemeClr w14:val="tx1"/>
            </w14:solidFill>
          </w14:textFill>
        </w:rPr>
        <w:t>新一代信息技术的发展有效提升了市场监管工作效率。</w:t>
      </w:r>
      <w:r>
        <w:rPr>
          <w:rFonts w:hint="eastAsia" w:ascii="仿宋_GB2312" w:hAnsi="微软雅黑" w:eastAsia="仿宋_GB2312" w:cs="宋体"/>
          <w:color w:val="000000" w:themeColor="text1"/>
          <w:kern w:val="0"/>
          <w:sz w:val="32"/>
          <w:szCs w:val="32"/>
          <w14:textFill>
            <w14:solidFill>
              <w14:schemeClr w14:val="tx1"/>
            </w14:solidFill>
          </w14:textFill>
        </w:rPr>
        <w:t>随着互联网的兴起，特别是云计算、大数据、移动互联网、人工智能、物联网等新兴科技在产业中的运用，世界经济正在大步跨入以互联网为基础的数字经济时代。数字经济赋能的市场监管，将逐步在常规执法、安全监管、药品管理、食品监控、联合执法等方面提高工作效率，构建全面维护人民群众神明安全的数智网，</w:t>
      </w:r>
      <w:r>
        <w:rPr>
          <w:rFonts w:ascii="仿宋_GB2312" w:hAnsi="微软雅黑" w:eastAsia="仿宋_GB2312" w:cs="宋体"/>
          <w:color w:val="000000" w:themeColor="text1"/>
          <w:kern w:val="0"/>
          <w:sz w:val="32"/>
          <w:szCs w:val="32"/>
          <w14:textFill>
            <w14:solidFill>
              <w14:schemeClr w14:val="tx1"/>
            </w14:solidFill>
          </w14:textFill>
        </w:rPr>
        <w:t>提高</w:t>
      </w:r>
      <w:r>
        <w:rPr>
          <w:rFonts w:hint="eastAsia" w:ascii="仿宋_GB2312" w:hAnsi="微软雅黑" w:eastAsia="仿宋_GB2312" w:cs="宋体"/>
          <w:color w:val="000000" w:themeColor="text1"/>
          <w:kern w:val="0"/>
          <w:sz w:val="32"/>
          <w:szCs w:val="32"/>
          <w14:textFill>
            <w14:solidFill>
              <w14:schemeClr w14:val="tx1"/>
            </w14:solidFill>
          </w14:textFill>
        </w:rPr>
        <w:t>市场</w:t>
      </w:r>
      <w:r>
        <w:rPr>
          <w:rFonts w:ascii="仿宋_GB2312" w:hAnsi="微软雅黑" w:eastAsia="仿宋_GB2312" w:cs="宋体"/>
          <w:color w:val="000000" w:themeColor="text1"/>
          <w:kern w:val="0"/>
          <w:sz w:val="32"/>
          <w:szCs w:val="32"/>
          <w14:textFill>
            <w14:solidFill>
              <w14:schemeClr w14:val="tx1"/>
            </w14:solidFill>
          </w14:textFill>
        </w:rPr>
        <w:t>监管工作的精确性和有效性，推动决策科学化、执行高效化、服务优质化，真正实现“市场有效、企业有利、百姓受益”。</w:t>
      </w:r>
    </w:p>
    <w:p w14:paraId="1E368D84">
      <w:pPr>
        <w:pStyle w:val="2"/>
        <w:rPr>
          <w:rFonts w:ascii="黑体" w:hAnsi="黑体" w:eastAsia="黑体" w:cs="Times New Roman"/>
          <w:szCs w:val="24"/>
        </w:rPr>
      </w:pPr>
      <w:bookmarkStart w:id="25" w:name="_Toc56587042"/>
      <w:bookmarkStart w:id="26" w:name="_Toc63151487"/>
      <w:r>
        <w:rPr>
          <w:rFonts w:hint="eastAsia" w:ascii="黑体" w:hAnsi="黑体" w:eastAsia="黑体" w:cs="Times New Roman"/>
          <w:szCs w:val="24"/>
        </w:rPr>
        <w:t>二、面临挑战</w:t>
      </w:r>
      <w:bookmarkEnd w:id="25"/>
      <w:bookmarkEnd w:id="26"/>
    </w:p>
    <w:p w14:paraId="223B3786">
      <w:pPr>
        <w:widowControl/>
        <w:shd w:val="clear" w:color="auto" w:fill="FFFFFF"/>
        <w:spacing w:line="360" w:lineRule="atLeast"/>
        <w:ind w:firstLine="48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bCs/>
          <w:color w:val="000000" w:themeColor="text1"/>
          <w:kern w:val="0"/>
          <w:sz w:val="32"/>
          <w:szCs w:val="32"/>
          <w14:textFill>
            <w14:solidFill>
              <w14:schemeClr w14:val="tx1"/>
            </w14:solidFill>
          </w14:textFill>
        </w:rPr>
        <w:t>新业态新模式不断萌发对市场监管提出更高要求。</w:t>
      </w:r>
      <w:r>
        <w:rPr>
          <w:rFonts w:hint="eastAsia" w:ascii="仿宋_GB2312" w:hAnsi="微软雅黑" w:eastAsia="仿宋_GB2312" w:cs="宋体"/>
          <w:color w:val="000000" w:themeColor="text1"/>
          <w:kern w:val="0"/>
          <w:sz w:val="32"/>
          <w:szCs w:val="32"/>
          <w14:textFill>
            <w14:solidFill>
              <w14:schemeClr w14:val="tx1"/>
            </w14:solidFill>
          </w14:textFill>
        </w:rPr>
        <w:t>随着跨界思想逐渐渗透进互联网行业，更多的“互联网+”的新业态形式也开始出现，</w:t>
      </w:r>
      <w:r>
        <w:rPr>
          <w:rFonts w:ascii="仿宋_GB2312" w:hAnsi="微软雅黑" w:eastAsia="仿宋_GB2312" w:cs="宋体"/>
          <w:color w:val="000000" w:themeColor="text1"/>
          <w:kern w:val="0"/>
          <w:sz w:val="32"/>
          <w:szCs w:val="32"/>
          <w14:textFill>
            <w14:solidFill>
              <w14:schemeClr w14:val="tx1"/>
            </w14:solidFill>
          </w14:textFill>
        </w:rPr>
        <w:t>络经济、分享经济、众创空间、线上线下互动等新产业、新业态、新模式不断涌现，颠覆了许多传统的生产经营模式和消费模式</w:t>
      </w:r>
      <w:r>
        <w:rPr>
          <w:rFonts w:hint="eastAsia" w:ascii="仿宋_GB2312" w:hAnsi="微软雅黑" w:eastAsia="仿宋_GB2312" w:cs="宋体"/>
          <w:color w:val="000000" w:themeColor="text1"/>
          <w:kern w:val="0"/>
          <w:sz w:val="32"/>
          <w:szCs w:val="32"/>
          <w14:textFill>
            <w14:solidFill>
              <w14:schemeClr w14:val="tx1"/>
            </w14:solidFill>
          </w14:textFill>
        </w:rPr>
        <w:t>，给市场监管带来了新的挑战，例如对跨界融合业态来说，主体责任认定较为模糊，法律法规配套不足，导致行政执法缺乏依据；对新业态如外卖平台，缺乏专业鉴定和食品安全有效监管，存在食品安全风险。数字经济背景下的市场监管工作，机遇与挑战并存。</w:t>
      </w:r>
    </w:p>
    <w:p w14:paraId="7330C5AD">
      <w:pPr>
        <w:widowControl/>
        <w:shd w:val="clear" w:color="auto" w:fill="FFFFFF"/>
        <w:spacing w:line="360" w:lineRule="atLeast"/>
        <w:ind w:firstLine="48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b/>
          <w:bCs/>
          <w:color w:val="000000" w:themeColor="text1"/>
          <w:kern w:val="0"/>
          <w:sz w:val="32"/>
          <w:szCs w:val="32"/>
          <w14:textFill>
            <w14:solidFill>
              <w14:schemeClr w14:val="tx1"/>
            </w14:solidFill>
          </w14:textFill>
        </w:rPr>
        <w:t>综合执法改革带来的新挑战。</w:t>
      </w:r>
      <w:r>
        <w:rPr>
          <w:rFonts w:ascii="仿宋_GB2312" w:hAnsi="微软雅黑" w:eastAsia="仿宋_GB2312" w:cs="宋体"/>
          <w:color w:val="000000" w:themeColor="text1"/>
          <w:kern w:val="0"/>
          <w:sz w:val="32"/>
          <w:szCs w:val="32"/>
          <w14:textFill>
            <w14:solidFill>
              <w14:schemeClr w14:val="tx1"/>
            </w14:solidFill>
          </w14:textFill>
        </w:rPr>
        <w:t>综合执法涉及公共管理、行政法系、行业管理等多重理论体系，是我国行政执法体制改革的创新，但目前缺乏系统性、全面性、针对性的理论研究，缺乏专门的城市管理</w:t>
      </w:r>
      <w:r>
        <w:rPr>
          <w:rFonts w:hint="eastAsia" w:ascii="仿宋_GB2312" w:hAnsi="微软雅黑" w:eastAsia="仿宋_GB2312" w:cs="宋体"/>
          <w:color w:val="000000" w:themeColor="text1"/>
          <w:kern w:val="0"/>
          <w:sz w:val="32"/>
          <w:szCs w:val="32"/>
          <w14:textFill>
            <w14:solidFill>
              <w14:schemeClr w14:val="tx1"/>
            </w14:solidFill>
          </w14:textFill>
        </w:rPr>
        <w:t>综合执法的</w:t>
      </w:r>
      <w:r>
        <w:rPr>
          <w:rFonts w:ascii="仿宋_GB2312" w:hAnsi="微软雅黑" w:eastAsia="仿宋_GB2312" w:cs="宋体"/>
          <w:color w:val="000000" w:themeColor="text1"/>
          <w:kern w:val="0"/>
          <w:sz w:val="32"/>
          <w:szCs w:val="32"/>
          <w14:textFill>
            <w14:solidFill>
              <w14:schemeClr w14:val="tx1"/>
            </w14:solidFill>
          </w14:textFill>
        </w:rPr>
        <w:t>法律法规。综合执法体制改革后，一些部门对职能划转认知存在偏差，</w:t>
      </w:r>
      <w:r>
        <w:rPr>
          <w:rFonts w:hint="eastAsia" w:ascii="仿宋_GB2312" w:hAnsi="微软雅黑" w:eastAsia="仿宋_GB2312" w:cs="宋体"/>
          <w:color w:val="000000" w:themeColor="text1"/>
          <w:kern w:val="0"/>
          <w:sz w:val="32"/>
          <w:szCs w:val="32"/>
          <w14:textFill>
            <w14:solidFill>
              <w14:schemeClr w14:val="tx1"/>
            </w14:solidFill>
          </w14:textFill>
        </w:rPr>
        <w:t>对执法效率造成一定影响</w:t>
      </w:r>
      <w:r>
        <w:rPr>
          <w:rFonts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在工作机制方面，目前综合执法的工作思路、机制创新、依法监管、队伍建设、</w:t>
      </w:r>
      <w:r>
        <w:rPr>
          <w:rFonts w:hint="eastAsia" w:ascii="仿宋_GB2312" w:hAnsi="仿宋_GB2312" w:eastAsia="仿宋_GB2312" w:cs="仿宋_GB2312"/>
          <w:sz w:val="32"/>
          <w:szCs w:val="32"/>
        </w:rPr>
        <w:t>基层“一会两站”</w:t>
      </w:r>
      <w:r>
        <w:rPr>
          <w:rFonts w:hint="eastAsia" w:ascii="仿宋_GB2312" w:hAnsi="微软雅黑" w:eastAsia="仿宋_GB2312" w:cs="宋体"/>
          <w:color w:val="000000" w:themeColor="text1"/>
          <w:kern w:val="0"/>
          <w:sz w:val="32"/>
          <w:szCs w:val="32"/>
          <w14:textFill>
            <w14:solidFill>
              <w14:schemeClr w14:val="tx1"/>
            </w14:solidFill>
          </w14:textFill>
        </w:rPr>
        <w:t>等还未形成有效衔接。</w:t>
      </w:r>
    </w:p>
    <w:p w14:paraId="79EEAE14">
      <w:pPr>
        <w:pStyle w:val="13"/>
        <w:shd w:val="clear" w:color="auto" w:fill="FFFFFF"/>
        <w:tabs>
          <w:tab w:val="left" w:pos="3402"/>
        </w:tabs>
        <w:spacing w:before="0" w:beforeAutospacing="0" w:after="0" w:afterAutospacing="0"/>
        <w:jc w:val="center"/>
        <w:textAlignment w:val="baseline"/>
        <w:outlineLvl w:val="0"/>
        <w:rPr>
          <w:rStyle w:val="18"/>
          <w:rFonts w:ascii="微软雅黑" w:hAnsi="微软雅黑" w:eastAsia="微软雅黑"/>
          <w:b w:val="0"/>
          <w:bCs w:val="0"/>
          <w:color w:val="000000" w:themeColor="text1"/>
          <w:sz w:val="32"/>
          <w:szCs w:val="32"/>
          <w14:textFill>
            <w14:solidFill>
              <w14:schemeClr w14:val="tx1"/>
            </w14:solidFill>
          </w14:textFill>
        </w:rPr>
      </w:pPr>
      <w:bookmarkStart w:id="27" w:name="_Toc63151488"/>
      <w:bookmarkStart w:id="28" w:name="_Toc56587043"/>
      <w:bookmarkStart w:id="29" w:name="_Hlk56505847"/>
      <w:r>
        <w:rPr>
          <w:rStyle w:val="18"/>
          <w:rFonts w:hint="eastAsia" w:ascii="微软雅黑" w:hAnsi="微软雅黑" w:eastAsia="微软雅黑"/>
          <w:b w:val="0"/>
          <w:bCs w:val="0"/>
          <w:color w:val="000000" w:themeColor="text1"/>
          <w:sz w:val="32"/>
          <w:szCs w:val="32"/>
          <w14:textFill>
            <w14:solidFill>
              <w14:schemeClr w14:val="tx1"/>
            </w14:solidFill>
          </w14:textFill>
        </w:rPr>
        <w:t>第三章  总体要求和建设目标</w:t>
      </w:r>
      <w:bookmarkEnd w:id="27"/>
      <w:bookmarkEnd w:id="28"/>
    </w:p>
    <w:p w14:paraId="6CC6875B">
      <w:pPr>
        <w:pStyle w:val="2"/>
        <w:rPr>
          <w:rFonts w:ascii="黑体" w:hAnsi="黑体" w:eastAsia="黑体" w:cs="Times New Roman"/>
          <w:szCs w:val="24"/>
        </w:rPr>
      </w:pPr>
      <w:bookmarkStart w:id="30" w:name="_Toc63151489"/>
      <w:bookmarkStart w:id="31" w:name="_Toc56587044"/>
      <w:r>
        <w:rPr>
          <w:rFonts w:hint="eastAsia" w:ascii="黑体" w:hAnsi="黑体" w:eastAsia="黑体" w:cs="Times New Roman"/>
          <w:szCs w:val="24"/>
        </w:rPr>
        <w:t>一、指导思想</w:t>
      </w:r>
      <w:bookmarkEnd w:id="30"/>
      <w:bookmarkEnd w:id="31"/>
    </w:p>
    <w:p w14:paraId="4D1C5C8D">
      <w:pPr>
        <w:widowControl/>
        <w:shd w:val="clear" w:color="auto" w:fill="FFFFFF"/>
        <w:spacing w:line="360" w:lineRule="atLeast"/>
        <w:ind w:firstLine="640" w:firstLineChars="200"/>
        <w:textAlignment w:val="baseline"/>
        <w:rPr>
          <w:rFonts w:ascii="微软雅黑" w:hAnsi="微软雅黑" w:eastAsia="微软雅黑"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以习近平新时代中国特色社会主义思想为指导，全面贯彻党的十九大和十九届三中、四中、五中全会精神，坚持和加强党的全面领导，坚持以人民为中心的发展思想，紧紧围绕统筹推进“五位一体”总体布局和协调推进“四个全面”战略布局，以推动高质量发展为主题，坚持稳中求进工作总基调，坚持新发展理念，坚持问题导向和目标导向，着力强化事中事后监管，使管理制度更加规范、行业发展更加充满活力，</w:t>
      </w:r>
      <w:r>
        <w:rPr>
          <w:rFonts w:ascii="仿宋_GB2312" w:hAnsi="微软雅黑" w:eastAsia="仿宋_GB2312" w:cs="宋体"/>
          <w:color w:val="000000" w:themeColor="text1"/>
          <w:kern w:val="0"/>
          <w:sz w:val="32"/>
          <w:szCs w:val="32"/>
          <w14:textFill>
            <w14:solidFill>
              <w14:schemeClr w14:val="tx1"/>
            </w14:solidFill>
          </w14:textFill>
        </w:rPr>
        <w:t>围绕建设高标准市场体系这个目标</w:t>
      </w:r>
      <w:r>
        <w:rPr>
          <w:rFonts w:hint="eastAsia" w:ascii="仿宋_GB2312" w:hAnsi="微软雅黑" w:eastAsia="仿宋_GB2312" w:cs="宋体"/>
          <w:color w:val="000000" w:themeColor="text1"/>
          <w:kern w:val="0"/>
          <w:sz w:val="32"/>
          <w:szCs w:val="32"/>
          <w14:textFill>
            <w14:solidFill>
              <w14:schemeClr w14:val="tx1"/>
            </w14:solidFill>
          </w14:textFill>
        </w:rPr>
        <w:t>，以深化“放管服”改革为着力点，重点优化市场准入、竞争和消费环境，</w:t>
      </w:r>
      <w:r>
        <w:rPr>
          <w:rFonts w:ascii="仿宋_GB2312" w:hAnsi="微软雅黑" w:eastAsia="仿宋_GB2312" w:cs="宋体"/>
          <w:color w:val="000000" w:themeColor="text1"/>
          <w:kern w:val="0"/>
          <w:sz w:val="32"/>
          <w:szCs w:val="32"/>
          <w14:textFill>
            <w14:solidFill>
              <w14:schemeClr w14:val="tx1"/>
            </w14:solidFill>
          </w14:textFill>
        </w:rPr>
        <w:t>促进市场主体扩量提质</w:t>
      </w:r>
      <w:r>
        <w:rPr>
          <w:rFonts w:hint="eastAsia" w:ascii="仿宋_GB2312" w:hAnsi="微软雅黑" w:eastAsia="仿宋_GB2312" w:cs="宋体"/>
          <w:color w:val="000000" w:themeColor="text1"/>
          <w:kern w:val="0"/>
          <w:sz w:val="32"/>
          <w:szCs w:val="32"/>
          <w14:textFill>
            <w14:solidFill>
              <w14:schemeClr w14:val="tx1"/>
            </w14:solidFill>
          </w14:textFill>
        </w:rPr>
        <w:t>，提升食品、药品、特种设备和重点工业产品安全保障水平，改革监管体制机制，创新监管方法手段，加快推进市场监管治理体系和治理能力现代化建设，以市场监管高质量助推经济社会高质量发展，不断增强人民群众获得感、幸福感和安全感。</w:t>
      </w:r>
    </w:p>
    <w:p w14:paraId="27D2CB14">
      <w:pPr>
        <w:pStyle w:val="2"/>
        <w:rPr>
          <w:rFonts w:ascii="黑体" w:hAnsi="黑体" w:eastAsia="黑体" w:cs="Times New Roman"/>
          <w:szCs w:val="24"/>
        </w:rPr>
      </w:pPr>
      <w:bookmarkStart w:id="32" w:name="_Toc63151490"/>
      <w:bookmarkStart w:id="33" w:name="_Toc56587045"/>
      <w:r>
        <w:rPr>
          <w:rFonts w:hint="eastAsia" w:ascii="黑体" w:hAnsi="黑体" w:eastAsia="黑体" w:cs="Times New Roman"/>
          <w:szCs w:val="24"/>
        </w:rPr>
        <w:t>二、</w:t>
      </w:r>
      <w:r>
        <w:rPr>
          <w:rFonts w:hint="eastAsia" w:ascii="黑体" w:hAnsi="黑体" w:eastAsia="黑体" w:cs="Times New Roman"/>
          <w:b w:val="0"/>
          <w:bCs w:val="0"/>
          <w:szCs w:val="24"/>
        </w:rPr>
        <w:t>基本原则</w:t>
      </w:r>
      <w:bookmarkEnd w:id="32"/>
      <w:bookmarkEnd w:id="33"/>
    </w:p>
    <w:p w14:paraId="21B6B09A">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坚持以人民为核心。始终</w:t>
      </w:r>
      <w:r>
        <w:rPr>
          <w:rFonts w:ascii="仿宋_GB2312" w:hAnsi="微软雅黑" w:eastAsia="仿宋_GB2312"/>
          <w:color w:val="000000" w:themeColor="text1"/>
          <w:sz w:val="32"/>
          <w:szCs w:val="32"/>
          <w14:textFill>
            <w14:solidFill>
              <w14:schemeClr w14:val="tx1"/>
            </w14:solidFill>
          </w14:textFill>
        </w:rPr>
        <w:t>围绕初心使命，</w:t>
      </w:r>
      <w:r>
        <w:rPr>
          <w:rFonts w:hint="eastAsia" w:ascii="仿宋_GB2312" w:hAnsi="微软雅黑" w:eastAsia="仿宋_GB2312"/>
          <w:color w:val="000000" w:themeColor="text1"/>
          <w:sz w:val="32"/>
          <w:szCs w:val="32"/>
          <w14:textFill>
            <w14:solidFill>
              <w14:schemeClr w14:val="tx1"/>
            </w14:solidFill>
          </w14:textFill>
        </w:rPr>
        <w:t>以</w:t>
      </w:r>
      <w:r>
        <w:rPr>
          <w:rFonts w:ascii="仿宋_GB2312" w:hAnsi="微软雅黑" w:eastAsia="仿宋_GB2312"/>
          <w:color w:val="000000" w:themeColor="text1"/>
          <w:sz w:val="32"/>
          <w:szCs w:val="32"/>
          <w14:textFill>
            <w14:solidFill>
              <w14:schemeClr w14:val="tx1"/>
            </w14:solidFill>
          </w14:textFill>
        </w:rPr>
        <w:t>服务人民对美好生活向往的战略高度</w:t>
      </w:r>
      <w:r>
        <w:rPr>
          <w:rFonts w:hint="eastAsia" w:ascii="仿宋_GB2312" w:hAnsi="微软雅黑" w:eastAsia="仿宋_GB2312"/>
          <w:color w:val="000000" w:themeColor="text1"/>
          <w:sz w:val="32"/>
          <w:szCs w:val="32"/>
          <w14:textFill>
            <w14:solidFill>
              <w14:schemeClr w14:val="tx1"/>
            </w14:solidFill>
          </w14:textFill>
        </w:rPr>
        <w:t>，将工作重心</w:t>
      </w:r>
      <w:r>
        <w:rPr>
          <w:rFonts w:ascii="仿宋_GB2312" w:hAnsi="微软雅黑" w:eastAsia="仿宋_GB2312"/>
          <w:color w:val="000000" w:themeColor="text1"/>
          <w:sz w:val="32"/>
          <w:szCs w:val="32"/>
          <w14:textFill>
            <w14:solidFill>
              <w14:schemeClr w14:val="tx1"/>
            </w14:solidFill>
          </w14:textFill>
        </w:rPr>
        <w:t>聚焦</w:t>
      </w:r>
      <w:r>
        <w:rPr>
          <w:rFonts w:hint="eastAsia" w:ascii="仿宋_GB2312" w:hAnsi="微软雅黑" w:eastAsia="仿宋_GB2312"/>
          <w:color w:val="000000" w:themeColor="text1"/>
          <w:sz w:val="32"/>
          <w:szCs w:val="32"/>
          <w14:textFill>
            <w14:solidFill>
              <w14:schemeClr w14:val="tx1"/>
            </w14:solidFill>
          </w14:textFill>
        </w:rPr>
        <w:t>于</w:t>
      </w:r>
      <w:r>
        <w:rPr>
          <w:rFonts w:ascii="仿宋_GB2312" w:hAnsi="微软雅黑" w:eastAsia="仿宋_GB2312"/>
          <w:color w:val="000000" w:themeColor="text1"/>
          <w:sz w:val="32"/>
          <w:szCs w:val="32"/>
          <w14:textFill>
            <w14:solidFill>
              <w14:schemeClr w14:val="tx1"/>
            </w14:solidFill>
          </w14:textFill>
        </w:rPr>
        <w:t>涉民、涉安、涉农</w:t>
      </w:r>
      <w:r>
        <w:rPr>
          <w:rFonts w:hint="eastAsia" w:ascii="仿宋_GB2312" w:hAnsi="微软雅黑" w:eastAsia="仿宋_GB2312"/>
          <w:color w:val="000000" w:themeColor="text1"/>
          <w:sz w:val="32"/>
          <w:szCs w:val="32"/>
          <w14:textFill>
            <w14:solidFill>
              <w14:schemeClr w14:val="tx1"/>
            </w14:solidFill>
          </w14:textFill>
        </w:rPr>
        <w:t>等重要领域，打造安全放心的消费市场，为人民群众安居乐业构筑安全防护网</w:t>
      </w:r>
      <w:r>
        <w:rPr>
          <w:rFonts w:ascii="仿宋_GB2312" w:hAnsi="微软雅黑" w:eastAsia="仿宋_GB2312"/>
          <w:color w:val="000000" w:themeColor="text1"/>
          <w:sz w:val="32"/>
          <w:szCs w:val="32"/>
          <w14:textFill>
            <w14:solidFill>
              <w14:schemeClr w14:val="tx1"/>
            </w14:solidFill>
          </w14:textFill>
        </w:rPr>
        <w:t>。</w:t>
      </w:r>
    </w:p>
    <w:p w14:paraId="0012DE01">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坚持依法依规监管。坚持运用法治思维和法治方式履行市场监管职能，构建与经济发展新常态相适应的市场监管法规体系，明确市场监管规则、程序、标准和结果，推进市场监管制度化、程序化、规范化。</w:t>
      </w:r>
    </w:p>
    <w:p w14:paraId="1B940FD6">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坚持深化改革创新。加大行政审批改革力度，深化商事制度改革，降低市场准入门槛，还权于企业，还权于市场，激发市场活力和社会创造力。充分发挥新科技在市场监管中的作用，依托互联网和大数据实现智慧监管，提高监管智能化水平。</w:t>
      </w:r>
    </w:p>
    <w:p w14:paraId="2B2A4193">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坚持严守底线。</w:t>
      </w:r>
      <w:r>
        <w:rPr>
          <w:rFonts w:ascii="仿宋_GB2312" w:hAnsi="微软雅黑" w:eastAsia="仿宋_GB2312"/>
          <w:color w:val="000000" w:themeColor="text1"/>
          <w:sz w:val="32"/>
          <w:szCs w:val="32"/>
          <w14:textFill>
            <w14:solidFill>
              <w14:schemeClr w14:val="tx1"/>
            </w14:solidFill>
          </w14:textFill>
        </w:rPr>
        <w:t>履行“守底线、保安全”的职能职责，以监督抽查、生产许可、风险监测、质量体检为手段，形成生产与流通、线上与线下全方位一体化监管模式。努力让人民群众穿得放心、住得舒心、用得安心，不断满足人民群众对美好生活的需要。</w:t>
      </w:r>
    </w:p>
    <w:p w14:paraId="49AF5301">
      <w:pPr>
        <w:pStyle w:val="2"/>
        <w:rPr>
          <w:rFonts w:ascii="黑体" w:hAnsi="黑体" w:eastAsia="黑体" w:cs="Times New Roman"/>
          <w:szCs w:val="24"/>
        </w:rPr>
      </w:pPr>
      <w:bookmarkStart w:id="34" w:name="_Toc63151491"/>
      <w:bookmarkStart w:id="35" w:name="_Toc56587046"/>
      <w:r>
        <w:rPr>
          <w:rFonts w:hint="eastAsia" w:ascii="黑体" w:hAnsi="黑体" w:eastAsia="黑体" w:cs="Times New Roman"/>
          <w:szCs w:val="24"/>
        </w:rPr>
        <w:t>三、发展目标</w:t>
      </w:r>
      <w:bookmarkEnd w:id="34"/>
      <w:bookmarkEnd w:id="35"/>
    </w:p>
    <w:p w14:paraId="5FA96791">
      <w:pPr>
        <w:widowControl/>
        <w:shd w:val="clear" w:color="auto" w:fill="FFFFFF"/>
        <w:spacing w:line="360" w:lineRule="atLeast"/>
        <w:ind w:firstLine="640" w:firstLineChars="20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到2025年，基本建成统一开放、竞争有序、诚信守法、监管有力的现代市场体系，构建“政府负责、部门协作、行业规范、公众参与”四位一体的市场监管体系的新格局。</w:t>
      </w:r>
    </w:p>
    <w:p w14:paraId="3DB7000E">
      <w:pPr>
        <w:widowControl/>
        <w:shd w:val="clear" w:color="auto" w:fill="FFFFFF"/>
        <w:spacing w:line="360" w:lineRule="atLeast"/>
        <w:ind w:firstLine="720" w:firstLineChars="20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olor w:val="000000" w:themeColor="text1"/>
          <w:sz w:val="36"/>
          <w:szCs w:val="36"/>
          <w14:textFill>
            <w14:solidFill>
              <w14:schemeClr w14:val="tx1"/>
            </w14:solidFill>
          </w14:textFill>
        </w:rPr>
        <w:t>---一流的营商环境基本形成。</w:t>
      </w:r>
      <w:r>
        <w:rPr>
          <w:rFonts w:hint="eastAsia" w:ascii="仿宋_GB2312" w:hAnsi="微软雅黑" w:eastAsia="仿宋_GB2312" w:cs="宋体"/>
          <w:color w:val="000000" w:themeColor="text1"/>
          <w:kern w:val="0"/>
          <w:sz w:val="32"/>
          <w:szCs w:val="32"/>
          <w14:textFill>
            <w14:solidFill>
              <w14:schemeClr w14:val="tx1"/>
            </w14:solidFill>
          </w14:textFill>
        </w:rPr>
        <w:t>坚持问题导向，对标国际一流，事项办理流程进一步简化，“最多跑一次”改革取得新突破，新形势下改善营商环境思路清、举措多、办法好，形成创新创业、公平竞争、安全放心的市场营商环境，进入昆明市营商环境红榜前三名。</w:t>
      </w:r>
    </w:p>
    <w:p w14:paraId="1BBA33E3">
      <w:pPr>
        <w:widowControl/>
        <w:shd w:val="clear" w:color="auto" w:fill="FFFFFF"/>
        <w:spacing w:line="360" w:lineRule="atLeast"/>
        <w:ind w:firstLine="720" w:firstLineChars="200"/>
        <w:textAlignment w:val="baseline"/>
        <w:rPr>
          <w:rFonts w:ascii="仿宋_GB2312" w:hAnsi="微软雅黑" w:eastAsia="仿宋_GB2312" w:cs="宋体"/>
          <w:color w:val="000000" w:themeColor="text1"/>
          <w:kern w:val="0"/>
          <w:sz w:val="32"/>
          <w:szCs w:val="32"/>
          <w14:textFill>
            <w14:solidFill>
              <w14:schemeClr w14:val="tx1"/>
            </w14:solidFill>
          </w14:textFill>
        </w:rPr>
      </w:pPr>
      <w:r>
        <w:rPr>
          <w:rFonts w:hint="eastAsia" w:ascii="楷体" w:hAnsi="楷体" w:eastAsia="楷体"/>
          <w:color w:val="000000" w:themeColor="text1"/>
          <w:sz w:val="36"/>
          <w:szCs w:val="36"/>
          <w14:textFill>
            <w14:solidFill>
              <w14:schemeClr w14:val="tx1"/>
            </w14:solidFill>
          </w14:textFill>
        </w:rPr>
        <w:t>---市场竞争环境更加公平有序。</w:t>
      </w:r>
      <w:r>
        <w:rPr>
          <w:rFonts w:hint="eastAsia" w:ascii="仿宋_GB2312" w:hAnsi="微软雅黑" w:eastAsia="仿宋_GB2312" w:cs="宋体"/>
          <w:color w:val="000000" w:themeColor="text1"/>
          <w:kern w:val="0"/>
          <w:sz w:val="32"/>
          <w:szCs w:val="32"/>
          <w14:textFill>
            <w14:solidFill>
              <w14:schemeClr w14:val="tx1"/>
            </w14:solidFill>
          </w14:textFill>
        </w:rPr>
        <w:t>推动实施竞争政策，完善市场监管体制，持续加大执法力度，市场秩序得到进一步规范，形成企业自律守信、政府公平公正、市场竞争有序的市场环境。</w:t>
      </w:r>
    </w:p>
    <w:p w14:paraId="12747F9D">
      <w:pPr>
        <w:widowControl/>
        <w:shd w:val="clear" w:color="auto" w:fill="FFFFFF"/>
        <w:spacing w:line="480" w:lineRule="atLeast"/>
        <w:ind w:firstLine="480"/>
        <w:jc w:val="left"/>
        <w:textAlignment w:val="baseline"/>
        <w:rPr>
          <w:rFonts w:ascii="微软雅黑" w:hAnsi="微软雅黑" w:eastAsia="微软雅黑" w:cs="宋体"/>
          <w:color w:val="2B2B2B"/>
          <w:kern w:val="0"/>
          <w:sz w:val="24"/>
          <w:szCs w:val="24"/>
        </w:rPr>
      </w:pPr>
      <w:r>
        <w:rPr>
          <w:rFonts w:hint="eastAsia" w:ascii="楷体" w:hAnsi="楷体" w:eastAsia="楷体"/>
          <w:color w:val="000000" w:themeColor="text1"/>
          <w:sz w:val="36"/>
          <w:szCs w:val="36"/>
          <w14:textFill>
            <w14:solidFill>
              <w14:schemeClr w14:val="tx1"/>
            </w14:solidFill>
          </w14:textFill>
        </w:rPr>
        <w:t>---市场消费环境更加安全放心。</w:t>
      </w:r>
      <w:r>
        <w:rPr>
          <w:rFonts w:hint="eastAsia" w:ascii="仿宋_GB2312" w:hAnsi="微软雅黑" w:eastAsia="仿宋_GB2312" w:cs="宋体"/>
          <w:color w:val="000000" w:themeColor="text1"/>
          <w:kern w:val="0"/>
          <w:sz w:val="32"/>
          <w:szCs w:val="32"/>
          <w14:textFill>
            <w14:solidFill>
              <w14:schemeClr w14:val="tx1"/>
            </w14:solidFill>
          </w14:textFill>
        </w:rPr>
        <w:t>消费维权机制进一步健全，商品和服务消费的质量安全水平全面提升，消费满意度持续提高。建立起与我市经济社会发展水平相适应的市场监管安全治理体系，确保不发生食品、药品、特种设备、重点工业产品重特大安全事故。</w:t>
      </w:r>
    </w:p>
    <w:p w14:paraId="64BA0A17">
      <w:pPr>
        <w:widowControl/>
        <w:shd w:val="clear" w:color="auto" w:fill="FFFFFF"/>
        <w:spacing w:line="360" w:lineRule="atLeast"/>
        <w:ind w:firstLine="720" w:firstLineChars="200"/>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楷体" w:hAnsi="楷体" w:eastAsia="楷体"/>
          <w:color w:val="000000" w:themeColor="text1"/>
          <w:sz w:val="36"/>
          <w:szCs w:val="36"/>
          <w14:textFill>
            <w14:solidFill>
              <w14:schemeClr w14:val="tx1"/>
            </w14:solidFill>
          </w14:textFill>
        </w:rPr>
        <w:t>---市场监管体系更加智能高效。</w:t>
      </w:r>
      <w:r>
        <w:rPr>
          <w:rFonts w:hint="eastAsia" w:ascii="仿宋_GB2312" w:hAnsi="微软雅黑" w:eastAsia="仿宋_GB2312"/>
          <w:color w:val="000000" w:themeColor="text1"/>
          <w:sz w:val="32"/>
          <w:szCs w:val="32"/>
          <w14:textFill>
            <w14:solidFill>
              <w14:schemeClr w14:val="tx1"/>
            </w14:solidFill>
          </w14:textFill>
        </w:rPr>
        <w:t>数智化监管平台投入使用，</w:t>
      </w:r>
      <w:r>
        <w:rPr>
          <w:rFonts w:ascii="仿宋_GB2312" w:hAnsi="微软雅黑" w:eastAsia="仿宋_GB2312"/>
          <w:color w:val="000000" w:themeColor="text1"/>
          <w:sz w:val="32"/>
          <w:szCs w:val="32"/>
          <w14:textFill>
            <w14:solidFill>
              <w14:schemeClr w14:val="tx1"/>
            </w14:solidFill>
          </w14:textFill>
        </w:rPr>
        <w:t>智慧审批</w:t>
      </w:r>
      <w:r>
        <w:rPr>
          <w:rFonts w:hint="eastAsia" w:ascii="仿宋_GB2312" w:hAnsi="微软雅黑" w:eastAsia="仿宋_GB2312"/>
          <w:color w:val="000000" w:themeColor="text1"/>
          <w:sz w:val="32"/>
          <w:szCs w:val="32"/>
          <w14:textFill>
            <w14:solidFill>
              <w14:schemeClr w14:val="tx1"/>
            </w14:solidFill>
          </w14:textFill>
        </w:rPr>
        <w:t>、智能集市、数字监管、智慧办结等得到全面推广，执法人员素质全面提升，形成人员专业、设备先进、执法规范的市场监管长效机制。</w:t>
      </w:r>
    </w:p>
    <w:p w14:paraId="1E6C622D">
      <w:pPr>
        <w:pStyle w:val="2"/>
        <w:rPr>
          <w:rFonts w:ascii="黑体" w:hAnsi="黑体" w:eastAsia="黑体" w:cs="Times New Roman"/>
          <w:szCs w:val="24"/>
        </w:rPr>
      </w:pPr>
      <w:bookmarkStart w:id="36" w:name="_Toc56587047"/>
      <w:bookmarkStart w:id="37" w:name="_Toc63151492"/>
      <w:r>
        <w:rPr>
          <w:rFonts w:hint="eastAsia" w:ascii="黑体" w:hAnsi="黑体" w:eastAsia="黑体" w:cs="Times New Roman"/>
          <w:szCs w:val="24"/>
        </w:rPr>
        <w:t>四、预期发展指标体系</w:t>
      </w:r>
      <w:bookmarkEnd w:id="36"/>
      <w:bookmarkEnd w:id="37"/>
    </w:p>
    <w:bookmarkEnd w:id="29"/>
    <w:tbl>
      <w:tblPr>
        <w:tblStyle w:val="15"/>
        <w:tblW w:w="824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927"/>
        <w:gridCol w:w="1203"/>
        <w:gridCol w:w="3304"/>
        <w:gridCol w:w="827"/>
        <w:gridCol w:w="693"/>
        <w:gridCol w:w="861"/>
      </w:tblGrid>
      <w:tr w14:paraId="2656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71D7D3C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bookmarkStart w:id="38" w:name="_Toc56587048"/>
            <w:bookmarkStart w:id="39" w:name="_Hlk55832138"/>
            <w:r>
              <w:rPr>
                <w:rFonts w:hint="eastAsia" w:ascii="微软雅黑" w:hAnsi="微软雅黑" w:eastAsia="微软雅黑" w:cs="宋体"/>
                <w:color w:val="000000" w:themeColor="text1"/>
                <w:kern w:val="0"/>
                <w:sz w:val="18"/>
                <w:szCs w:val="18"/>
                <w14:textFill>
                  <w14:solidFill>
                    <w14:schemeClr w14:val="tx1"/>
                  </w14:solidFill>
                </w14:textFill>
              </w:rPr>
              <w:t>序号</w:t>
            </w:r>
          </w:p>
        </w:tc>
        <w:tc>
          <w:tcPr>
            <w:tcW w:w="927" w:type="dxa"/>
          </w:tcPr>
          <w:p w14:paraId="683E8CE1">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一级指标</w:t>
            </w:r>
          </w:p>
        </w:tc>
        <w:tc>
          <w:tcPr>
            <w:tcW w:w="1203" w:type="dxa"/>
          </w:tcPr>
          <w:p w14:paraId="06F0272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二级指标</w:t>
            </w:r>
          </w:p>
        </w:tc>
        <w:tc>
          <w:tcPr>
            <w:tcW w:w="3304" w:type="dxa"/>
          </w:tcPr>
          <w:p w14:paraId="457BAC5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三级指标</w:t>
            </w:r>
          </w:p>
        </w:tc>
        <w:tc>
          <w:tcPr>
            <w:tcW w:w="827" w:type="dxa"/>
          </w:tcPr>
          <w:p w14:paraId="1F32E15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2020年</w:t>
            </w:r>
          </w:p>
        </w:tc>
        <w:tc>
          <w:tcPr>
            <w:tcW w:w="693" w:type="dxa"/>
          </w:tcPr>
          <w:p w14:paraId="00E41B9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2025年</w:t>
            </w:r>
          </w:p>
        </w:tc>
        <w:tc>
          <w:tcPr>
            <w:tcW w:w="861" w:type="dxa"/>
          </w:tcPr>
          <w:p w14:paraId="1F66A32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备注</w:t>
            </w:r>
          </w:p>
        </w:tc>
      </w:tr>
      <w:tr w14:paraId="6D2C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74A8719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w:t>
            </w:r>
          </w:p>
        </w:tc>
        <w:tc>
          <w:tcPr>
            <w:tcW w:w="927" w:type="dxa"/>
            <w:vMerge w:val="restart"/>
          </w:tcPr>
          <w:p w14:paraId="06F1234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一流的营商环境</w:t>
            </w:r>
          </w:p>
        </w:tc>
        <w:tc>
          <w:tcPr>
            <w:tcW w:w="1203" w:type="dxa"/>
          </w:tcPr>
          <w:p w14:paraId="7F7829D1">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开办企业</w:t>
            </w:r>
          </w:p>
        </w:tc>
        <w:tc>
          <w:tcPr>
            <w:tcW w:w="3304" w:type="dxa"/>
          </w:tcPr>
          <w:p w14:paraId="0C35C41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开办企业办理流程（个）</w:t>
            </w:r>
          </w:p>
        </w:tc>
        <w:tc>
          <w:tcPr>
            <w:tcW w:w="827" w:type="dxa"/>
          </w:tcPr>
          <w:p w14:paraId="45905FCD">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5</w:t>
            </w:r>
          </w:p>
        </w:tc>
        <w:tc>
          <w:tcPr>
            <w:tcW w:w="693" w:type="dxa"/>
          </w:tcPr>
          <w:p w14:paraId="6E64A10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w:t>
            </w:r>
          </w:p>
        </w:tc>
        <w:tc>
          <w:tcPr>
            <w:tcW w:w="861" w:type="dxa"/>
          </w:tcPr>
          <w:p w14:paraId="678B4EB5">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r>
      <w:tr w14:paraId="3229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531315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w:t>
            </w:r>
          </w:p>
        </w:tc>
        <w:tc>
          <w:tcPr>
            <w:tcW w:w="927" w:type="dxa"/>
            <w:vMerge w:val="continue"/>
          </w:tcPr>
          <w:p w14:paraId="631A6D1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tcPr>
          <w:p w14:paraId="1DB2BBB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市场主体退出（简易注销）</w:t>
            </w:r>
          </w:p>
        </w:tc>
        <w:tc>
          <w:tcPr>
            <w:tcW w:w="3304" w:type="dxa"/>
          </w:tcPr>
          <w:p w14:paraId="3409741D">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公示时间（天）</w:t>
            </w:r>
          </w:p>
        </w:tc>
        <w:tc>
          <w:tcPr>
            <w:tcW w:w="827" w:type="dxa"/>
          </w:tcPr>
          <w:p w14:paraId="24B1FAF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45</w:t>
            </w:r>
          </w:p>
        </w:tc>
        <w:tc>
          <w:tcPr>
            <w:tcW w:w="693" w:type="dxa"/>
          </w:tcPr>
          <w:p w14:paraId="3E3E8104">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20</w:t>
            </w:r>
          </w:p>
        </w:tc>
        <w:tc>
          <w:tcPr>
            <w:tcW w:w="861" w:type="dxa"/>
          </w:tcPr>
          <w:p w14:paraId="5238AB59">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报纸公示转为网上公示</w:t>
            </w:r>
          </w:p>
        </w:tc>
      </w:tr>
      <w:tr w14:paraId="0E2D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2AEE65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w:t>
            </w:r>
          </w:p>
        </w:tc>
        <w:tc>
          <w:tcPr>
            <w:tcW w:w="927" w:type="dxa"/>
            <w:vMerge w:val="continue"/>
          </w:tcPr>
          <w:p w14:paraId="7F12591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tcPr>
          <w:p w14:paraId="3F2355B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智慧营商</w:t>
            </w:r>
          </w:p>
        </w:tc>
        <w:tc>
          <w:tcPr>
            <w:tcW w:w="3304" w:type="dxa"/>
          </w:tcPr>
          <w:p w14:paraId="4BE3D94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网上办理覆盖率（%）</w:t>
            </w:r>
          </w:p>
        </w:tc>
        <w:tc>
          <w:tcPr>
            <w:tcW w:w="827" w:type="dxa"/>
          </w:tcPr>
          <w:p w14:paraId="0E90F9F7">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70</w:t>
            </w:r>
          </w:p>
        </w:tc>
        <w:tc>
          <w:tcPr>
            <w:tcW w:w="693" w:type="dxa"/>
          </w:tcPr>
          <w:p w14:paraId="7041FBE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80</w:t>
            </w:r>
          </w:p>
        </w:tc>
        <w:tc>
          <w:tcPr>
            <w:tcW w:w="861" w:type="dxa"/>
          </w:tcPr>
          <w:p w14:paraId="52E13FD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r>
      <w:tr w14:paraId="2B46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BACD02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4</w:t>
            </w:r>
          </w:p>
        </w:tc>
        <w:tc>
          <w:tcPr>
            <w:tcW w:w="927" w:type="dxa"/>
            <w:vMerge w:val="continue"/>
          </w:tcPr>
          <w:p w14:paraId="49563B60">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vMerge w:val="restart"/>
          </w:tcPr>
          <w:p w14:paraId="599C88DD">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知识产权创造</w:t>
            </w:r>
          </w:p>
        </w:tc>
        <w:tc>
          <w:tcPr>
            <w:tcW w:w="3304" w:type="dxa"/>
          </w:tcPr>
          <w:p w14:paraId="1A2A54D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昆明市级以上知识产权试点示范企业（家）</w:t>
            </w:r>
          </w:p>
        </w:tc>
        <w:tc>
          <w:tcPr>
            <w:tcW w:w="827" w:type="dxa"/>
          </w:tcPr>
          <w:p w14:paraId="6CBA4EB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24</w:t>
            </w:r>
          </w:p>
        </w:tc>
        <w:tc>
          <w:tcPr>
            <w:tcW w:w="693" w:type="dxa"/>
          </w:tcPr>
          <w:p w14:paraId="20A53F24">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30</w:t>
            </w:r>
          </w:p>
        </w:tc>
        <w:tc>
          <w:tcPr>
            <w:tcW w:w="861" w:type="dxa"/>
          </w:tcPr>
          <w:p w14:paraId="0DF62FC0">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r>
      <w:tr w14:paraId="1F9D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0DD4B800">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5</w:t>
            </w:r>
          </w:p>
        </w:tc>
        <w:tc>
          <w:tcPr>
            <w:tcW w:w="927" w:type="dxa"/>
            <w:vMerge w:val="continue"/>
          </w:tcPr>
          <w:p w14:paraId="251D9A7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vMerge w:val="continue"/>
          </w:tcPr>
          <w:p w14:paraId="06616202">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3304" w:type="dxa"/>
          </w:tcPr>
          <w:p w14:paraId="69F7BE4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万人发明专利拥有量（件）</w:t>
            </w:r>
          </w:p>
        </w:tc>
        <w:tc>
          <w:tcPr>
            <w:tcW w:w="827" w:type="dxa"/>
          </w:tcPr>
          <w:p w14:paraId="56D483C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8.7</w:t>
            </w:r>
          </w:p>
        </w:tc>
        <w:tc>
          <w:tcPr>
            <w:tcW w:w="693" w:type="dxa"/>
          </w:tcPr>
          <w:p w14:paraId="7A3D526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10</w:t>
            </w:r>
          </w:p>
        </w:tc>
        <w:tc>
          <w:tcPr>
            <w:tcW w:w="861" w:type="dxa"/>
          </w:tcPr>
          <w:p w14:paraId="27F1769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r>
      <w:tr w14:paraId="2C6E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FAE9F35">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9</w:t>
            </w:r>
          </w:p>
        </w:tc>
        <w:tc>
          <w:tcPr>
            <w:tcW w:w="927" w:type="dxa"/>
            <w:vMerge w:val="continue"/>
          </w:tcPr>
          <w:p w14:paraId="6FC4EDA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vMerge w:val="continue"/>
          </w:tcPr>
          <w:p w14:paraId="7556296A">
            <w:pPr>
              <w:widowControl/>
              <w:spacing w:line="360" w:lineRule="atLeast"/>
              <w:textAlignment w:val="baseline"/>
              <w:rPr>
                <w:rFonts w:ascii="微软雅黑" w:hAnsi="微软雅黑" w:eastAsia="微软雅黑" w:cs="宋体"/>
                <w:color w:val="000000" w:themeColor="text1"/>
                <w:kern w:val="0"/>
                <w:sz w:val="18"/>
                <w:szCs w:val="18"/>
                <w:highlight w:val="yellow"/>
                <w14:textFill>
                  <w14:solidFill>
                    <w14:schemeClr w14:val="tx1"/>
                  </w14:solidFill>
                </w14:textFill>
              </w:rPr>
            </w:pPr>
          </w:p>
        </w:tc>
        <w:tc>
          <w:tcPr>
            <w:tcW w:w="3304" w:type="dxa"/>
          </w:tcPr>
          <w:p w14:paraId="17CC3E69">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信用体系建设</w:t>
            </w:r>
          </w:p>
        </w:tc>
        <w:tc>
          <w:tcPr>
            <w:tcW w:w="827" w:type="dxa"/>
          </w:tcPr>
          <w:p w14:paraId="4553AE5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未建立</w:t>
            </w:r>
          </w:p>
        </w:tc>
        <w:tc>
          <w:tcPr>
            <w:tcW w:w="693" w:type="dxa"/>
          </w:tcPr>
          <w:p w14:paraId="669AEB2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建立</w:t>
            </w:r>
          </w:p>
        </w:tc>
        <w:tc>
          <w:tcPr>
            <w:tcW w:w="861" w:type="dxa"/>
          </w:tcPr>
          <w:p w14:paraId="1A025F0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r>
      <w:tr w14:paraId="25C3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7FB9809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11</w:t>
            </w:r>
          </w:p>
        </w:tc>
        <w:tc>
          <w:tcPr>
            <w:tcW w:w="927" w:type="dxa"/>
            <w:vMerge w:val="restart"/>
          </w:tcPr>
          <w:p w14:paraId="5A2CC019">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安全放心的消费市场</w:t>
            </w:r>
          </w:p>
        </w:tc>
        <w:tc>
          <w:tcPr>
            <w:tcW w:w="1203" w:type="dxa"/>
            <w:vMerge w:val="restart"/>
          </w:tcPr>
          <w:p w14:paraId="1EA83CC9">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食品安全</w:t>
            </w:r>
          </w:p>
        </w:tc>
        <w:tc>
          <w:tcPr>
            <w:tcW w:w="3304" w:type="dxa"/>
          </w:tcPr>
          <w:p w14:paraId="6CA1CEB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食品安全风险分级覆盖率（%）</w:t>
            </w:r>
          </w:p>
        </w:tc>
        <w:tc>
          <w:tcPr>
            <w:tcW w:w="827" w:type="dxa"/>
          </w:tcPr>
          <w:p w14:paraId="7A331E21">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70</w:t>
            </w:r>
          </w:p>
        </w:tc>
        <w:tc>
          <w:tcPr>
            <w:tcW w:w="693" w:type="dxa"/>
          </w:tcPr>
          <w:p w14:paraId="4E3F62C6">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97</w:t>
            </w:r>
          </w:p>
        </w:tc>
        <w:tc>
          <w:tcPr>
            <w:tcW w:w="861" w:type="dxa"/>
          </w:tcPr>
          <w:p w14:paraId="62879C14">
            <w:pPr>
              <w:widowControl/>
              <w:spacing w:line="360" w:lineRule="atLeast"/>
              <w:textAlignment w:val="baseline"/>
              <w:rPr>
                <w:rFonts w:ascii="微软雅黑" w:hAnsi="微软雅黑" w:eastAsia="微软雅黑" w:cs="宋体"/>
                <w:kern w:val="0"/>
                <w:sz w:val="18"/>
                <w:szCs w:val="18"/>
              </w:rPr>
            </w:pPr>
          </w:p>
        </w:tc>
      </w:tr>
      <w:tr w14:paraId="6EAB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895960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12</w:t>
            </w:r>
          </w:p>
        </w:tc>
        <w:tc>
          <w:tcPr>
            <w:tcW w:w="927" w:type="dxa"/>
            <w:vMerge w:val="continue"/>
          </w:tcPr>
          <w:p w14:paraId="7400E191">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727C88BB">
            <w:pPr>
              <w:widowControl/>
              <w:spacing w:line="360" w:lineRule="atLeast"/>
              <w:textAlignment w:val="baseline"/>
              <w:rPr>
                <w:rFonts w:ascii="微软雅黑" w:hAnsi="微软雅黑" w:eastAsia="微软雅黑" w:cs="宋体"/>
                <w:kern w:val="0"/>
                <w:sz w:val="18"/>
                <w:szCs w:val="18"/>
              </w:rPr>
            </w:pPr>
          </w:p>
        </w:tc>
        <w:tc>
          <w:tcPr>
            <w:tcW w:w="3304" w:type="dxa"/>
          </w:tcPr>
          <w:p w14:paraId="44D7406D">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食品监督抽检总数（批次/千人）</w:t>
            </w:r>
          </w:p>
        </w:tc>
        <w:tc>
          <w:tcPr>
            <w:tcW w:w="827" w:type="dxa"/>
          </w:tcPr>
          <w:p w14:paraId="1E57D01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693" w:type="dxa"/>
          </w:tcPr>
          <w:p w14:paraId="029FC9A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5</w:t>
            </w:r>
          </w:p>
        </w:tc>
        <w:tc>
          <w:tcPr>
            <w:tcW w:w="861" w:type="dxa"/>
          </w:tcPr>
          <w:p w14:paraId="428E7764">
            <w:pPr>
              <w:widowControl/>
              <w:spacing w:line="360" w:lineRule="atLeast"/>
              <w:textAlignment w:val="baseline"/>
              <w:rPr>
                <w:rFonts w:ascii="微软雅黑" w:hAnsi="微软雅黑" w:eastAsia="微软雅黑" w:cs="宋体"/>
                <w:kern w:val="0"/>
                <w:sz w:val="18"/>
                <w:szCs w:val="18"/>
              </w:rPr>
            </w:pPr>
          </w:p>
        </w:tc>
      </w:tr>
      <w:tr w14:paraId="03C3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0E2A4BDD">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13</w:t>
            </w:r>
          </w:p>
        </w:tc>
        <w:tc>
          <w:tcPr>
            <w:tcW w:w="927" w:type="dxa"/>
            <w:vMerge w:val="continue"/>
          </w:tcPr>
          <w:p w14:paraId="6E83DBB4">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65D59EA8">
            <w:pPr>
              <w:widowControl/>
              <w:spacing w:line="360" w:lineRule="atLeast"/>
              <w:textAlignment w:val="baseline"/>
              <w:rPr>
                <w:rFonts w:ascii="微软雅黑" w:hAnsi="微软雅黑" w:eastAsia="微软雅黑" w:cs="宋体"/>
                <w:kern w:val="0"/>
                <w:sz w:val="18"/>
                <w:szCs w:val="18"/>
              </w:rPr>
            </w:pPr>
          </w:p>
        </w:tc>
        <w:tc>
          <w:tcPr>
            <w:tcW w:w="3304" w:type="dxa"/>
          </w:tcPr>
          <w:p w14:paraId="67389DA2">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农药兽药残留年度抽检量（份/千人）</w:t>
            </w:r>
          </w:p>
        </w:tc>
        <w:tc>
          <w:tcPr>
            <w:tcW w:w="827" w:type="dxa"/>
          </w:tcPr>
          <w:p w14:paraId="70AFB70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&lt;</w:t>
            </w:r>
            <w:r>
              <w:rPr>
                <w:rFonts w:ascii="微软雅黑" w:hAnsi="微软雅黑" w:eastAsia="微软雅黑" w:cs="宋体"/>
                <w:kern w:val="0"/>
                <w:sz w:val="18"/>
                <w:szCs w:val="18"/>
              </w:rPr>
              <w:t>2</w:t>
            </w:r>
          </w:p>
        </w:tc>
        <w:tc>
          <w:tcPr>
            <w:tcW w:w="693" w:type="dxa"/>
          </w:tcPr>
          <w:p w14:paraId="7B370D9E">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2.5</w:t>
            </w:r>
          </w:p>
        </w:tc>
        <w:tc>
          <w:tcPr>
            <w:tcW w:w="861" w:type="dxa"/>
          </w:tcPr>
          <w:p w14:paraId="59BC9FBD">
            <w:pPr>
              <w:widowControl/>
              <w:spacing w:line="360" w:lineRule="atLeast"/>
              <w:textAlignment w:val="baseline"/>
              <w:rPr>
                <w:rFonts w:ascii="微软雅黑" w:hAnsi="微软雅黑" w:eastAsia="微软雅黑" w:cs="宋体"/>
                <w:kern w:val="0"/>
                <w:sz w:val="18"/>
                <w:szCs w:val="18"/>
              </w:rPr>
            </w:pPr>
          </w:p>
        </w:tc>
      </w:tr>
      <w:tr w14:paraId="120B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260246E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14</w:t>
            </w:r>
          </w:p>
        </w:tc>
        <w:tc>
          <w:tcPr>
            <w:tcW w:w="927" w:type="dxa"/>
            <w:vMerge w:val="continue"/>
          </w:tcPr>
          <w:p w14:paraId="39D4015D">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2C8AFA36">
            <w:pPr>
              <w:widowControl/>
              <w:spacing w:line="360" w:lineRule="atLeast"/>
              <w:textAlignment w:val="baseline"/>
              <w:rPr>
                <w:rFonts w:ascii="微软雅黑" w:hAnsi="微软雅黑" w:eastAsia="微软雅黑" w:cs="宋体"/>
                <w:kern w:val="0"/>
                <w:sz w:val="18"/>
                <w:szCs w:val="18"/>
              </w:rPr>
            </w:pPr>
          </w:p>
        </w:tc>
        <w:tc>
          <w:tcPr>
            <w:tcW w:w="3304" w:type="dxa"/>
          </w:tcPr>
          <w:p w14:paraId="3E822778">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农村客堂登记台账使用率（%）</w:t>
            </w:r>
          </w:p>
        </w:tc>
        <w:tc>
          <w:tcPr>
            <w:tcW w:w="827" w:type="dxa"/>
          </w:tcPr>
          <w:p w14:paraId="7127E10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&lt;100</w:t>
            </w:r>
          </w:p>
        </w:tc>
        <w:tc>
          <w:tcPr>
            <w:tcW w:w="693" w:type="dxa"/>
          </w:tcPr>
          <w:p w14:paraId="2FF9268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861" w:type="dxa"/>
          </w:tcPr>
          <w:p w14:paraId="3069D875">
            <w:pPr>
              <w:widowControl/>
              <w:spacing w:line="360" w:lineRule="atLeast"/>
              <w:textAlignment w:val="baseline"/>
              <w:rPr>
                <w:rFonts w:ascii="微软雅黑" w:hAnsi="微软雅黑" w:eastAsia="微软雅黑" w:cs="宋体"/>
                <w:kern w:val="0"/>
                <w:sz w:val="18"/>
                <w:szCs w:val="18"/>
              </w:rPr>
            </w:pPr>
          </w:p>
        </w:tc>
      </w:tr>
      <w:tr w14:paraId="71F4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5783999">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15</w:t>
            </w:r>
          </w:p>
        </w:tc>
        <w:tc>
          <w:tcPr>
            <w:tcW w:w="927" w:type="dxa"/>
            <w:vMerge w:val="continue"/>
          </w:tcPr>
          <w:p w14:paraId="06315B81">
            <w:pPr>
              <w:widowControl/>
              <w:spacing w:line="360" w:lineRule="atLeast"/>
              <w:textAlignment w:val="baseline"/>
              <w:rPr>
                <w:rFonts w:ascii="微软雅黑" w:hAnsi="微软雅黑" w:eastAsia="微软雅黑" w:cs="宋体"/>
                <w:kern w:val="0"/>
                <w:sz w:val="18"/>
                <w:szCs w:val="18"/>
              </w:rPr>
            </w:pPr>
          </w:p>
        </w:tc>
        <w:tc>
          <w:tcPr>
            <w:tcW w:w="1203" w:type="dxa"/>
            <w:vMerge w:val="restart"/>
          </w:tcPr>
          <w:p w14:paraId="1992B34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药品安全</w:t>
            </w:r>
          </w:p>
        </w:tc>
        <w:tc>
          <w:tcPr>
            <w:tcW w:w="3304" w:type="dxa"/>
          </w:tcPr>
          <w:p w14:paraId="17C77958">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药品抽检批次（批次/每百万人）</w:t>
            </w:r>
          </w:p>
        </w:tc>
        <w:tc>
          <w:tcPr>
            <w:tcW w:w="827" w:type="dxa"/>
          </w:tcPr>
          <w:p w14:paraId="010B816D">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79</w:t>
            </w:r>
          </w:p>
        </w:tc>
        <w:tc>
          <w:tcPr>
            <w:tcW w:w="693" w:type="dxa"/>
          </w:tcPr>
          <w:p w14:paraId="515BC974">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158</w:t>
            </w:r>
          </w:p>
        </w:tc>
        <w:tc>
          <w:tcPr>
            <w:tcW w:w="861" w:type="dxa"/>
          </w:tcPr>
          <w:p w14:paraId="2024D62E">
            <w:pPr>
              <w:widowControl/>
              <w:spacing w:line="360" w:lineRule="atLeast"/>
              <w:textAlignment w:val="baseline"/>
              <w:rPr>
                <w:rFonts w:ascii="微软雅黑" w:hAnsi="微软雅黑" w:eastAsia="微软雅黑" w:cs="宋体"/>
                <w:kern w:val="0"/>
                <w:sz w:val="18"/>
                <w:szCs w:val="18"/>
              </w:rPr>
            </w:pPr>
          </w:p>
        </w:tc>
      </w:tr>
      <w:tr w14:paraId="646A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CE6B7F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16</w:t>
            </w:r>
          </w:p>
        </w:tc>
        <w:tc>
          <w:tcPr>
            <w:tcW w:w="927" w:type="dxa"/>
            <w:vMerge w:val="continue"/>
          </w:tcPr>
          <w:p w14:paraId="1DD20E2A">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3B6BF2C5">
            <w:pPr>
              <w:widowControl/>
              <w:spacing w:line="360" w:lineRule="atLeast"/>
              <w:textAlignment w:val="baseline"/>
              <w:rPr>
                <w:rFonts w:ascii="微软雅黑" w:hAnsi="微软雅黑" w:eastAsia="微软雅黑" w:cs="宋体"/>
                <w:kern w:val="0"/>
                <w:sz w:val="18"/>
                <w:szCs w:val="18"/>
              </w:rPr>
            </w:pPr>
          </w:p>
        </w:tc>
        <w:tc>
          <w:tcPr>
            <w:tcW w:w="3304" w:type="dxa"/>
          </w:tcPr>
          <w:p w14:paraId="7B58479E">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医疗器械抽检批次（批次/每百万人）</w:t>
            </w:r>
          </w:p>
        </w:tc>
        <w:tc>
          <w:tcPr>
            <w:tcW w:w="827" w:type="dxa"/>
          </w:tcPr>
          <w:p w14:paraId="53858CF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693" w:type="dxa"/>
          </w:tcPr>
          <w:p w14:paraId="5A1651E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26</w:t>
            </w:r>
          </w:p>
        </w:tc>
        <w:tc>
          <w:tcPr>
            <w:tcW w:w="861" w:type="dxa"/>
          </w:tcPr>
          <w:p w14:paraId="688E3F44">
            <w:pPr>
              <w:widowControl/>
              <w:spacing w:line="360" w:lineRule="atLeast"/>
              <w:textAlignment w:val="baseline"/>
              <w:rPr>
                <w:rFonts w:ascii="微软雅黑" w:hAnsi="微软雅黑" w:eastAsia="微软雅黑" w:cs="宋体"/>
                <w:kern w:val="0"/>
                <w:sz w:val="18"/>
                <w:szCs w:val="18"/>
              </w:rPr>
            </w:pPr>
          </w:p>
        </w:tc>
      </w:tr>
      <w:tr w14:paraId="0A5E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602B74B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17</w:t>
            </w:r>
          </w:p>
        </w:tc>
        <w:tc>
          <w:tcPr>
            <w:tcW w:w="927" w:type="dxa"/>
            <w:vMerge w:val="continue"/>
          </w:tcPr>
          <w:p w14:paraId="476814D2">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0B44A9C7">
            <w:pPr>
              <w:widowControl/>
              <w:spacing w:line="360" w:lineRule="atLeast"/>
              <w:textAlignment w:val="baseline"/>
              <w:rPr>
                <w:rFonts w:ascii="微软雅黑" w:hAnsi="微软雅黑" w:eastAsia="微软雅黑" w:cs="宋体"/>
                <w:kern w:val="0"/>
                <w:sz w:val="18"/>
                <w:szCs w:val="18"/>
              </w:rPr>
            </w:pPr>
          </w:p>
        </w:tc>
        <w:tc>
          <w:tcPr>
            <w:tcW w:w="3304" w:type="dxa"/>
          </w:tcPr>
          <w:p w14:paraId="2707D63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化妆品抽检批次（批次/每百万人）</w:t>
            </w:r>
          </w:p>
        </w:tc>
        <w:tc>
          <w:tcPr>
            <w:tcW w:w="827" w:type="dxa"/>
          </w:tcPr>
          <w:p w14:paraId="102A0FE4">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37</w:t>
            </w:r>
          </w:p>
        </w:tc>
        <w:tc>
          <w:tcPr>
            <w:tcW w:w="693" w:type="dxa"/>
          </w:tcPr>
          <w:p w14:paraId="1F95AFA3">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74</w:t>
            </w:r>
          </w:p>
        </w:tc>
        <w:tc>
          <w:tcPr>
            <w:tcW w:w="861" w:type="dxa"/>
          </w:tcPr>
          <w:p w14:paraId="43895F3E">
            <w:pPr>
              <w:widowControl/>
              <w:spacing w:line="360" w:lineRule="atLeast"/>
              <w:textAlignment w:val="baseline"/>
              <w:rPr>
                <w:rFonts w:ascii="微软雅黑" w:hAnsi="微软雅黑" w:eastAsia="微软雅黑" w:cs="宋体"/>
                <w:kern w:val="0"/>
                <w:sz w:val="18"/>
                <w:szCs w:val="18"/>
              </w:rPr>
            </w:pPr>
          </w:p>
        </w:tc>
      </w:tr>
      <w:tr w14:paraId="721D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264A3BD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18</w:t>
            </w:r>
          </w:p>
        </w:tc>
        <w:tc>
          <w:tcPr>
            <w:tcW w:w="927" w:type="dxa"/>
            <w:vMerge w:val="continue"/>
          </w:tcPr>
          <w:p w14:paraId="4C78C433">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40CD54B3">
            <w:pPr>
              <w:widowControl/>
              <w:spacing w:line="360" w:lineRule="atLeast"/>
              <w:textAlignment w:val="baseline"/>
              <w:rPr>
                <w:rFonts w:ascii="微软雅黑" w:hAnsi="微软雅黑" w:eastAsia="微软雅黑" w:cs="宋体"/>
                <w:kern w:val="0"/>
                <w:sz w:val="18"/>
                <w:szCs w:val="18"/>
              </w:rPr>
            </w:pPr>
          </w:p>
        </w:tc>
        <w:tc>
          <w:tcPr>
            <w:tcW w:w="3304" w:type="dxa"/>
          </w:tcPr>
          <w:p w14:paraId="6EB97A7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选调药品检察员（人）</w:t>
            </w:r>
          </w:p>
        </w:tc>
        <w:tc>
          <w:tcPr>
            <w:tcW w:w="827" w:type="dxa"/>
          </w:tcPr>
          <w:p w14:paraId="6FFDEB5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693" w:type="dxa"/>
          </w:tcPr>
          <w:p w14:paraId="49B92684">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861" w:type="dxa"/>
          </w:tcPr>
          <w:p w14:paraId="78958450">
            <w:pPr>
              <w:widowControl/>
              <w:spacing w:line="360" w:lineRule="atLeast"/>
              <w:textAlignment w:val="baseline"/>
              <w:rPr>
                <w:rFonts w:ascii="微软雅黑" w:hAnsi="微软雅黑" w:eastAsia="微软雅黑" w:cs="宋体"/>
                <w:kern w:val="0"/>
                <w:sz w:val="18"/>
                <w:szCs w:val="18"/>
              </w:rPr>
            </w:pPr>
          </w:p>
        </w:tc>
      </w:tr>
      <w:tr w14:paraId="3D6D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50D9475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19</w:t>
            </w:r>
          </w:p>
        </w:tc>
        <w:tc>
          <w:tcPr>
            <w:tcW w:w="927" w:type="dxa"/>
            <w:vMerge w:val="continue"/>
          </w:tcPr>
          <w:p w14:paraId="0915257F">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59AD86AB">
            <w:pPr>
              <w:widowControl/>
              <w:spacing w:line="360" w:lineRule="atLeast"/>
              <w:textAlignment w:val="baseline"/>
              <w:rPr>
                <w:rFonts w:ascii="微软雅黑" w:hAnsi="微软雅黑" w:eastAsia="微软雅黑" w:cs="宋体"/>
                <w:kern w:val="0"/>
                <w:sz w:val="18"/>
                <w:szCs w:val="18"/>
              </w:rPr>
            </w:pPr>
          </w:p>
        </w:tc>
        <w:tc>
          <w:tcPr>
            <w:tcW w:w="3304" w:type="dxa"/>
          </w:tcPr>
          <w:p w14:paraId="75DAC4B6">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过期药品回收体系</w:t>
            </w:r>
          </w:p>
        </w:tc>
        <w:tc>
          <w:tcPr>
            <w:tcW w:w="827" w:type="dxa"/>
          </w:tcPr>
          <w:p w14:paraId="2A6C2A1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未建立</w:t>
            </w:r>
          </w:p>
        </w:tc>
        <w:tc>
          <w:tcPr>
            <w:tcW w:w="693" w:type="dxa"/>
          </w:tcPr>
          <w:p w14:paraId="5957172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建立</w:t>
            </w:r>
          </w:p>
        </w:tc>
        <w:tc>
          <w:tcPr>
            <w:tcW w:w="861" w:type="dxa"/>
          </w:tcPr>
          <w:p w14:paraId="41F33307">
            <w:pPr>
              <w:widowControl/>
              <w:spacing w:line="360" w:lineRule="atLeast"/>
              <w:textAlignment w:val="baseline"/>
              <w:rPr>
                <w:rFonts w:ascii="微软雅黑" w:hAnsi="微软雅黑" w:eastAsia="微软雅黑" w:cs="宋体"/>
                <w:kern w:val="0"/>
                <w:sz w:val="18"/>
                <w:szCs w:val="18"/>
              </w:rPr>
            </w:pPr>
          </w:p>
        </w:tc>
      </w:tr>
      <w:tr w14:paraId="1B10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2AA1DE7">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20</w:t>
            </w:r>
          </w:p>
        </w:tc>
        <w:tc>
          <w:tcPr>
            <w:tcW w:w="927" w:type="dxa"/>
            <w:vMerge w:val="continue"/>
          </w:tcPr>
          <w:p w14:paraId="2D27D7D4">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73F0F914">
            <w:pPr>
              <w:widowControl/>
              <w:spacing w:line="360" w:lineRule="atLeast"/>
              <w:textAlignment w:val="baseline"/>
              <w:rPr>
                <w:rFonts w:ascii="微软雅黑" w:hAnsi="微软雅黑" w:eastAsia="微软雅黑" w:cs="宋体"/>
                <w:kern w:val="0"/>
                <w:sz w:val="18"/>
                <w:szCs w:val="18"/>
              </w:rPr>
            </w:pPr>
          </w:p>
        </w:tc>
        <w:tc>
          <w:tcPr>
            <w:tcW w:w="3304" w:type="dxa"/>
          </w:tcPr>
          <w:p w14:paraId="76893FFE">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化妆品经营企业信用评级体系</w:t>
            </w:r>
          </w:p>
        </w:tc>
        <w:tc>
          <w:tcPr>
            <w:tcW w:w="827" w:type="dxa"/>
          </w:tcPr>
          <w:p w14:paraId="2DA0DD7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未建立</w:t>
            </w:r>
          </w:p>
        </w:tc>
        <w:tc>
          <w:tcPr>
            <w:tcW w:w="693" w:type="dxa"/>
          </w:tcPr>
          <w:p w14:paraId="1A048190">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建立</w:t>
            </w:r>
          </w:p>
        </w:tc>
        <w:tc>
          <w:tcPr>
            <w:tcW w:w="861" w:type="dxa"/>
          </w:tcPr>
          <w:p w14:paraId="75010AAA">
            <w:pPr>
              <w:widowControl/>
              <w:spacing w:line="360" w:lineRule="atLeast"/>
              <w:textAlignment w:val="baseline"/>
              <w:rPr>
                <w:rFonts w:ascii="微软雅黑" w:hAnsi="微软雅黑" w:eastAsia="微软雅黑" w:cs="宋体"/>
                <w:kern w:val="0"/>
                <w:sz w:val="18"/>
                <w:szCs w:val="18"/>
              </w:rPr>
            </w:pPr>
          </w:p>
        </w:tc>
      </w:tr>
      <w:tr w14:paraId="15E4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5E87967A">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21</w:t>
            </w:r>
          </w:p>
        </w:tc>
        <w:tc>
          <w:tcPr>
            <w:tcW w:w="927" w:type="dxa"/>
            <w:vMerge w:val="continue"/>
          </w:tcPr>
          <w:p w14:paraId="5B29396E">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6E89884B">
            <w:pPr>
              <w:widowControl/>
              <w:spacing w:line="360" w:lineRule="atLeast"/>
              <w:textAlignment w:val="baseline"/>
              <w:rPr>
                <w:rFonts w:ascii="微软雅黑" w:hAnsi="微软雅黑" w:eastAsia="微软雅黑" w:cs="宋体"/>
                <w:kern w:val="0"/>
                <w:sz w:val="18"/>
                <w:szCs w:val="18"/>
              </w:rPr>
            </w:pPr>
          </w:p>
        </w:tc>
        <w:tc>
          <w:tcPr>
            <w:tcW w:w="3304" w:type="dxa"/>
          </w:tcPr>
          <w:p w14:paraId="2E24ED41">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农村“两网”小药柜升级改造为农村“便民”药柜覆盖率（%）</w:t>
            </w:r>
          </w:p>
        </w:tc>
        <w:tc>
          <w:tcPr>
            <w:tcW w:w="827" w:type="dxa"/>
          </w:tcPr>
          <w:p w14:paraId="02B7A61B">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33%</w:t>
            </w:r>
          </w:p>
        </w:tc>
        <w:tc>
          <w:tcPr>
            <w:tcW w:w="693" w:type="dxa"/>
          </w:tcPr>
          <w:p w14:paraId="0995E2E2">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861" w:type="dxa"/>
          </w:tcPr>
          <w:p w14:paraId="69E9C602">
            <w:pPr>
              <w:widowControl/>
              <w:spacing w:line="360" w:lineRule="atLeast"/>
              <w:textAlignment w:val="baseline"/>
              <w:rPr>
                <w:rFonts w:ascii="微软雅黑" w:hAnsi="微软雅黑" w:eastAsia="微软雅黑" w:cs="宋体"/>
                <w:kern w:val="0"/>
                <w:sz w:val="18"/>
                <w:szCs w:val="18"/>
              </w:rPr>
            </w:pPr>
          </w:p>
        </w:tc>
      </w:tr>
      <w:tr w14:paraId="1A74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6CAA479D">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22</w:t>
            </w:r>
          </w:p>
        </w:tc>
        <w:tc>
          <w:tcPr>
            <w:tcW w:w="927" w:type="dxa"/>
            <w:vMerge w:val="continue"/>
          </w:tcPr>
          <w:p w14:paraId="41806108">
            <w:pPr>
              <w:widowControl/>
              <w:spacing w:line="360" w:lineRule="atLeast"/>
              <w:textAlignment w:val="baseline"/>
              <w:rPr>
                <w:rFonts w:ascii="微软雅黑" w:hAnsi="微软雅黑" w:eastAsia="微软雅黑" w:cs="宋体"/>
                <w:kern w:val="0"/>
                <w:sz w:val="18"/>
                <w:szCs w:val="18"/>
              </w:rPr>
            </w:pPr>
          </w:p>
        </w:tc>
        <w:tc>
          <w:tcPr>
            <w:tcW w:w="1203" w:type="dxa"/>
            <w:vMerge w:val="restart"/>
          </w:tcPr>
          <w:p w14:paraId="673535C4">
            <w:pPr>
              <w:widowControl/>
              <w:spacing w:line="360" w:lineRule="atLeast"/>
              <w:textAlignment w:val="baseline"/>
              <w:rPr>
                <w:rFonts w:ascii="微软雅黑" w:hAnsi="微软雅黑" w:eastAsia="微软雅黑" w:cs="宋体"/>
                <w:kern w:val="0"/>
                <w:sz w:val="18"/>
                <w:szCs w:val="18"/>
              </w:rPr>
            </w:pPr>
            <w:r>
              <w:rPr>
                <w:rFonts w:hint="eastAsia"/>
              </w:rPr>
              <w:t>消费维权体系建设</w:t>
            </w:r>
          </w:p>
        </w:tc>
        <w:tc>
          <w:tcPr>
            <w:tcW w:w="3304" w:type="dxa"/>
          </w:tcPr>
          <w:p w14:paraId="09D6CFF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达标商场、超市、市场、企业、风景区（省级、国家级）消费维权站的建设覆盖率</w:t>
            </w:r>
          </w:p>
        </w:tc>
        <w:tc>
          <w:tcPr>
            <w:tcW w:w="827" w:type="dxa"/>
          </w:tcPr>
          <w:p w14:paraId="0A3EAFA1">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&lt;100%</w:t>
            </w:r>
          </w:p>
        </w:tc>
        <w:tc>
          <w:tcPr>
            <w:tcW w:w="693" w:type="dxa"/>
          </w:tcPr>
          <w:p w14:paraId="615A4C1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861" w:type="dxa"/>
          </w:tcPr>
          <w:p w14:paraId="22931B69">
            <w:pPr>
              <w:widowControl/>
              <w:spacing w:line="360" w:lineRule="atLeast"/>
              <w:textAlignment w:val="baseline"/>
              <w:rPr>
                <w:rFonts w:ascii="微软雅黑" w:hAnsi="微软雅黑" w:eastAsia="微软雅黑" w:cs="宋体"/>
                <w:kern w:val="0"/>
                <w:sz w:val="18"/>
                <w:szCs w:val="18"/>
              </w:rPr>
            </w:pPr>
          </w:p>
        </w:tc>
      </w:tr>
      <w:tr w14:paraId="06D6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28B173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23</w:t>
            </w:r>
          </w:p>
        </w:tc>
        <w:tc>
          <w:tcPr>
            <w:tcW w:w="927" w:type="dxa"/>
            <w:vMerge w:val="continue"/>
          </w:tcPr>
          <w:p w14:paraId="245179AB">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18E66F0D">
            <w:pPr>
              <w:widowControl/>
              <w:spacing w:line="360" w:lineRule="atLeast"/>
              <w:textAlignment w:val="baseline"/>
              <w:rPr>
                <w:rFonts w:ascii="微软雅黑" w:hAnsi="微软雅黑" w:eastAsia="微软雅黑" w:cs="宋体"/>
                <w:kern w:val="0"/>
                <w:sz w:val="18"/>
                <w:szCs w:val="18"/>
              </w:rPr>
            </w:pPr>
          </w:p>
        </w:tc>
        <w:tc>
          <w:tcPr>
            <w:tcW w:w="3304" w:type="dxa"/>
          </w:tcPr>
          <w:p w14:paraId="00398F7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全国“12315”互联网平台线上和解入驻企业（家次/年）</w:t>
            </w:r>
          </w:p>
        </w:tc>
        <w:tc>
          <w:tcPr>
            <w:tcW w:w="827" w:type="dxa"/>
          </w:tcPr>
          <w:p w14:paraId="23681A9B">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&lt;5</w:t>
            </w:r>
          </w:p>
        </w:tc>
        <w:tc>
          <w:tcPr>
            <w:tcW w:w="693" w:type="dxa"/>
          </w:tcPr>
          <w:p w14:paraId="56B3DA98">
            <w:pPr>
              <w:widowControl/>
              <w:spacing w:line="360" w:lineRule="atLeast"/>
              <w:textAlignment w:val="baseline"/>
              <w:rPr>
                <w:rFonts w:ascii="微软雅黑" w:hAnsi="微软雅黑" w:eastAsia="微软雅黑" w:cs="宋体"/>
                <w:kern w:val="0"/>
                <w:sz w:val="18"/>
                <w:szCs w:val="18"/>
              </w:rPr>
            </w:pPr>
            <w:r>
              <w:rPr>
                <w:rFonts w:hint="eastAsia" w:ascii="宋体" w:hAnsi="宋体" w:eastAsia="宋体" w:cs="宋体"/>
                <w:kern w:val="0"/>
                <w:sz w:val="18"/>
                <w:szCs w:val="18"/>
              </w:rPr>
              <w:t>≥</w:t>
            </w:r>
            <w:r>
              <w:rPr>
                <w:rFonts w:hint="eastAsia" w:ascii="微软雅黑" w:hAnsi="微软雅黑" w:eastAsia="微软雅黑" w:cs="宋体"/>
                <w:kern w:val="0"/>
                <w:sz w:val="18"/>
                <w:szCs w:val="18"/>
              </w:rPr>
              <w:t>5</w:t>
            </w:r>
          </w:p>
        </w:tc>
        <w:tc>
          <w:tcPr>
            <w:tcW w:w="861" w:type="dxa"/>
          </w:tcPr>
          <w:p w14:paraId="0396A97E">
            <w:pPr>
              <w:widowControl/>
              <w:spacing w:line="360" w:lineRule="atLeast"/>
              <w:textAlignment w:val="baseline"/>
              <w:rPr>
                <w:rFonts w:ascii="微软雅黑" w:hAnsi="微软雅黑" w:eastAsia="微软雅黑" w:cs="宋体"/>
                <w:kern w:val="0"/>
                <w:sz w:val="18"/>
                <w:szCs w:val="18"/>
              </w:rPr>
            </w:pPr>
          </w:p>
        </w:tc>
      </w:tr>
      <w:tr w14:paraId="5576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4BA65B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24</w:t>
            </w:r>
          </w:p>
        </w:tc>
        <w:tc>
          <w:tcPr>
            <w:tcW w:w="927" w:type="dxa"/>
            <w:vMerge w:val="continue"/>
          </w:tcPr>
          <w:p w14:paraId="34C7C095">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4B95B0A0">
            <w:pPr>
              <w:widowControl/>
              <w:spacing w:line="360" w:lineRule="atLeast"/>
              <w:textAlignment w:val="baseline"/>
              <w:rPr>
                <w:rFonts w:ascii="微软雅黑" w:hAnsi="微软雅黑" w:eastAsia="微软雅黑" w:cs="宋体"/>
                <w:kern w:val="0"/>
                <w:sz w:val="18"/>
                <w:szCs w:val="18"/>
              </w:rPr>
            </w:pPr>
          </w:p>
        </w:tc>
        <w:tc>
          <w:tcPr>
            <w:tcW w:w="3304" w:type="dxa"/>
          </w:tcPr>
          <w:p w14:paraId="47038B4B">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基层消费维权站规范率（%）</w:t>
            </w:r>
          </w:p>
        </w:tc>
        <w:tc>
          <w:tcPr>
            <w:tcW w:w="827" w:type="dxa"/>
          </w:tcPr>
          <w:p w14:paraId="48208C18">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&lt;20</w:t>
            </w:r>
          </w:p>
        </w:tc>
        <w:tc>
          <w:tcPr>
            <w:tcW w:w="693" w:type="dxa"/>
          </w:tcPr>
          <w:p w14:paraId="604A77B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≥75</w:t>
            </w:r>
          </w:p>
        </w:tc>
        <w:tc>
          <w:tcPr>
            <w:tcW w:w="861" w:type="dxa"/>
          </w:tcPr>
          <w:p w14:paraId="728E6E99">
            <w:pPr>
              <w:widowControl/>
              <w:spacing w:line="360" w:lineRule="atLeast"/>
              <w:textAlignment w:val="baseline"/>
              <w:rPr>
                <w:rFonts w:ascii="微软雅黑" w:hAnsi="微软雅黑" w:eastAsia="微软雅黑" w:cs="宋体"/>
                <w:kern w:val="0"/>
                <w:sz w:val="18"/>
                <w:szCs w:val="18"/>
              </w:rPr>
            </w:pPr>
          </w:p>
        </w:tc>
      </w:tr>
      <w:tr w14:paraId="395E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59476961">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25</w:t>
            </w:r>
          </w:p>
        </w:tc>
        <w:tc>
          <w:tcPr>
            <w:tcW w:w="927" w:type="dxa"/>
            <w:vMerge w:val="continue"/>
          </w:tcPr>
          <w:p w14:paraId="20ECB63C">
            <w:pPr>
              <w:widowControl/>
              <w:spacing w:line="360" w:lineRule="atLeast"/>
              <w:textAlignment w:val="baseline"/>
              <w:rPr>
                <w:rFonts w:ascii="微软雅黑" w:hAnsi="微软雅黑" w:eastAsia="微软雅黑" w:cs="宋体"/>
                <w:kern w:val="0"/>
                <w:sz w:val="18"/>
                <w:szCs w:val="18"/>
              </w:rPr>
            </w:pPr>
          </w:p>
        </w:tc>
        <w:tc>
          <w:tcPr>
            <w:tcW w:w="1203" w:type="dxa"/>
            <w:vMerge w:val="restart"/>
          </w:tcPr>
          <w:p w14:paraId="23F8C840">
            <w:pPr>
              <w:jc w:val="left"/>
            </w:pPr>
          </w:p>
          <w:p w14:paraId="1CD8DA14">
            <w:pPr>
              <w:widowControl/>
              <w:spacing w:line="360" w:lineRule="atLeast"/>
              <w:textAlignment w:val="baseline"/>
              <w:rPr>
                <w:rFonts w:ascii="微软雅黑" w:hAnsi="微软雅黑" w:eastAsia="微软雅黑" w:cs="宋体"/>
                <w:kern w:val="0"/>
                <w:sz w:val="18"/>
                <w:szCs w:val="18"/>
              </w:rPr>
            </w:pPr>
            <w:r>
              <w:rPr>
                <w:rFonts w:hint="eastAsia"/>
              </w:rPr>
              <w:t>消费投诉处置效率</w:t>
            </w:r>
          </w:p>
        </w:tc>
        <w:tc>
          <w:tcPr>
            <w:tcW w:w="3304" w:type="dxa"/>
          </w:tcPr>
          <w:p w14:paraId="035DC32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消费投诉受理时限（工作日）</w:t>
            </w:r>
          </w:p>
        </w:tc>
        <w:tc>
          <w:tcPr>
            <w:tcW w:w="827" w:type="dxa"/>
          </w:tcPr>
          <w:p w14:paraId="71275974">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7</w:t>
            </w:r>
          </w:p>
        </w:tc>
        <w:tc>
          <w:tcPr>
            <w:tcW w:w="693" w:type="dxa"/>
          </w:tcPr>
          <w:p w14:paraId="33DEFA4B">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3</w:t>
            </w:r>
          </w:p>
        </w:tc>
        <w:tc>
          <w:tcPr>
            <w:tcW w:w="861" w:type="dxa"/>
          </w:tcPr>
          <w:p w14:paraId="6ED2A622">
            <w:pPr>
              <w:widowControl/>
              <w:spacing w:line="360" w:lineRule="atLeast"/>
              <w:textAlignment w:val="baseline"/>
              <w:rPr>
                <w:rFonts w:ascii="微软雅黑" w:hAnsi="微软雅黑" w:eastAsia="微软雅黑" w:cs="宋体"/>
                <w:kern w:val="0"/>
                <w:sz w:val="18"/>
                <w:szCs w:val="18"/>
              </w:rPr>
            </w:pPr>
          </w:p>
        </w:tc>
      </w:tr>
      <w:tr w14:paraId="2135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78287D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26</w:t>
            </w:r>
          </w:p>
        </w:tc>
        <w:tc>
          <w:tcPr>
            <w:tcW w:w="927" w:type="dxa"/>
            <w:vMerge w:val="continue"/>
          </w:tcPr>
          <w:p w14:paraId="440E28D7">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1F46E409">
            <w:pPr>
              <w:widowControl/>
              <w:spacing w:line="360" w:lineRule="atLeast"/>
              <w:textAlignment w:val="baseline"/>
              <w:rPr>
                <w:rFonts w:ascii="微软雅黑" w:hAnsi="微软雅黑" w:eastAsia="微软雅黑" w:cs="宋体"/>
                <w:kern w:val="0"/>
                <w:sz w:val="18"/>
                <w:szCs w:val="18"/>
              </w:rPr>
            </w:pPr>
          </w:p>
        </w:tc>
        <w:tc>
          <w:tcPr>
            <w:tcW w:w="3304" w:type="dxa"/>
          </w:tcPr>
          <w:p w14:paraId="70720BC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消费投诉处理时限（工作日）</w:t>
            </w:r>
          </w:p>
        </w:tc>
        <w:tc>
          <w:tcPr>
            <w:tcW w:w="827" w:type="dxa"/>
          </w:tcPr>
          <w:p w14:paraId="10A79C52">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60</w:t>
            </w:r>
          </w:p>
        </w:tc>
        <w:tc>
          <w:tcPr>
            <w:tcW w:w="693" w:type="dxa"/>
          </w:tcPr>
          <w:p w14:paraId="3AC2880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30</w:t>
            </w:r>
          </w:p>
        </w:tc>
        <w:tc>
          <w:tcPr>
            <w:tcW w:w="861" w:type="dxa"/>
          </w:tcPr>
          <w:p w14:paraId="224D458C">
            <w:pPr>
              <w:widowControl/>
              <w:spacing w:line="360" w:lineRule="atLeast"/>
              <w:textAlignment w:val="baseline"/>
              <w:rPr>
                <w:rFonts w:ascii="微软雅黑" w:hAnsi="微软雅黑" w:eastAsia="微软雅黑" w:cs="宋体"/>
                <w:kern w:val="0"/>
                <w:sz w:val="18"/>
                <w:szCs w:val="18"/>
              </w:rPr>
            </w:pPr>
          </w:p>
        </w:tc>
      </w:tr>
      <w:tr w14:paraId="505B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8C7C575">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27</w:t>
            </w:r>
          </w:p>
        </w:tc>
        <w:tc>
          <w:tcPr>
            <w:tcW w:w="927" w:type="dxa"/>
            <w:vMerge w:val="continue"/>
          </w:tcPr>
          <w:p w14:paraId="4C4A9514">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6377559A">
            <w:pPr>
              <w:widowControl/>
              <w:spacing w:line="360" w:lineRule="atLeast"/>
              <w:textAlignment w:val="baseline"/>
              <w:rPr>
                <w:rFonts w:ascii="微软雅黑" w:hAnsi="微软雅黑" w:eastAsia="微软雅黑" w:cs="宋体"/>
                <w:kern w:val="0"/>
                <w:sz w:val="18"/>
                <w:szCs w:val="18"/>
              </w:rPr>
            </w:pPr>
          </w:p>
        </w:tc>
        <w:tc>
          <w:tcPr>
            <w:tcW w:w="3304" w:type="dxa"/>
          </w:tcPr>
          <w:p w14:paraId="4EA8C7A2">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消费投诉调解成功率（%）</w:t>
            </w:r>
          </w:p>
        </w:tc>
        <w:tc>
          <w:tcPr>
            <w:tcW w:w="827" w:type="dxa"/>
          </w:tcPr>
          <w:p w14:paraId="7A3AFA43">
            <w:pPr>
              <w:widowControl/>
              <w:spacing w:line="360" w:lineRule="atLeast"/>
              <w:textAlignment w:val="baseline"/>
              <w:rPr>
                <w:rFonts w:ascii="微软雅黑" w:hAnsi="微软雅黑" w:eastAsia="微软雅黑" w:cs="宋体"/>
                <w:kern w:val="0"/>
                <w:sz w:val="18"/>
                <w:szCs w:val="18"/>
              </w:rPr>
            </w:pPr>
            <w:r>
              <w:rPr>
                <w:rFonts w:ascii="Arial" w:hAnsi="Arial" w:eastAsia="微软雅黑" w:cs="Arial"/>
                <w:kern w:val="0"/>
                <w:sz w:val="18"/>
                <w:szCs w:val="18"/>
              </w:rPr>
              <w:t>≤</w:t>
            </w:r>
            <w:r>
              <w:rPr>
                <w:rFonts w:hint="eastAsia" w:ascii="微软雅黑" w:hAnsi="微软雅黑" w:eastAsia="微软雅黑" w:cs="微软雅黑"/>
                <w:kern w:val="0"/>
                <w:sz w:val="18"/>
                <w:szCs w:val="18"/>
              </w:rPr>
              <w:t>55</w:t>
            </w:r>
          </w:p>
        </w:tc>
        <w:tc>
          <w:tcPr>
            <w:tcW w:w="693" w:type="dxa"/>
          </w:tcPr>
          <w:p w14:paraId="5C6DFB16">
            <w:pPr>
              <w:widowControl/>
              <w:spacing w:line="360" w:lineRule="atLeast"/>
              <w:textAlignment w:val="baseline"/>
              <w:rPr>
                <w:rFonts w:ascii="微软雅黑" w:hAnsi="微软雅黑" w:eastAsia="微软雅黑" w:cs="宋体"/>
                <w:kern w:val="0"/>
                <w:sz w:val="18"/>
                <w:szCs w:val="18"/>
              </w:rPr>
            </w:pPr>
            <w:r>
              <w:rPr>
                <w:rFonts w:ascii="微软雅黑" w:hAnsi="微软雅黑" w:eastAsia="微软雅黑" w:cs="微软雅黑"/>
                <w:kern w:val="0"/>
                <w:sz w:val="18"/>
                <w:szCs w:val="18"/>
              </w:rPr>
              <w:t>≥</w:t>
            </w:r>
            <w:r>
              <w:rPr>
                <w:rFonts w:hint="eastAsia" w:ascii="微软雅黑" w:hAnsi="微软雅黑" w:eastAsia="微软雅黑" w:cs="微软雅黑"/>
                <w:kern w:val="0"/>
                <w:sz w:val="18"/>
                <w:szCs w:val="18"/>
              </w:rPr>
              <w:t>70</w:t>
            </w:r>
          </w:p>
        </w:tc>
        <w:tc>
          <w:tcPr>
            <w:tcW w:w="861" w:type="dxa"/>
          </w:tcPr>
          <w:p w14:paraId="05D378FE">
            <w:pPr>
              <w:widowControl/>
              <w:spacing w:line="360" w:lineRule="atLeast"/>
              <w:textAlignment w:val="baseline"/>
              <w:rPr>
                <w:rFonts w:ascii="微软雅黑" w:hAnsi="微软雅黑" w:eastAsia="微软雅黑" w:cs="宋体"/>
                <w:kern w:val="0"/>
                <w:sz w:val="18"/>
                <w:szCs w:val="18"/>
              </w:rPr>
            </w:pPr>
          </w:p>
        </w:tc>
      </w:tr>
      <w:tr w14:paraId="2F9E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68508EC1">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927" w:type="dxa"/>
            <w:vMerge w:val="continue"/>
          </w:tcPr>
          <w:p w14:paraId="5A92B230">
            <w:pPr>
              <w:widowControl/>
              <w:spacing w:line="360" w:lineRule="atLeast"/>
              <w:textAlignment w:val="baseline"/>
              <w:rPr>
                <w:rFonts w:ascii="微软雅黑" w:hAnsi="微软雅黑" w:eastAsia="微软雅黑" w:cs="宋体"/>
                <w:kern w:val="0"/>
                <w:sz w:val="18"/>
                <w:szCs w:val="18"/>
              </w:rPr>
            </w:pPr>
          </w:p>
        </w:tc>
        <w:tc>
          <w:tcPr>
            <w:tcW w:w="1203" w:type="dxa"/>
            <w:vMerge w:val="restart"/>
          </w:tcPr>
          <w:p w14:paraId="1277324D">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消费维权队伍建设</w:t>
            </w:r>
          </w:p>
        </w:tc>
        <w:tc>
          <w:tcPr>
            <w:tcW w:w="3304" w:type="dxa"/>
          </w:tcPr>
          <w:p w14:paraId="166F2384">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消费调解员的设置（人）</w:t>
            </w:r>
          </w:p>
        </w:tc>
        <w:tc>
          <w:tcPr>
            <w:tcW w:w="827" w:type="dxa"/>
          </w:tcPr>
          <w:p w14:paraId="58D5C935">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0</w:t>
            </w:r>
          </w:p>
        </w:tc>
        <w:tc>
          <w:tcPr>
            <w:tcW w:w="693" w:type="dxa"/>
          </w:tcPr>
          <w:p w14:paraId="2ACA26D4">
            <w:pPr>
              <w:widowControl/>
              <w:spacing w:line="360" w:lineRule="atLeast"/>
              <w:textAlignment w:val="baseline"/>
              <w:rPr>
                <w:rFonts w:ascii="微软雅黑" w:hAnsi="微软雅黑" w:eastAsia="微软雅黑" w:cs="宋体"/>
                <w:kern w:val="0"/>
                <w:sz w:val="18"/>
                <w:szCs w:val="18"/>
              </w:rPr>
            </w:pPr>
            <w:r>
              <w:rPr>
                <w:rFonts w:hint="eastAsia" w:ascii="宋体" w:hAnsi="宋体" w:eastAsia="宋体" w:cs="宋体"/>
                <w:kern w:val="0"/>
                <w:sz w:val="18"/>
                <w:szCs w:val="18"/>
              </w:rPr>
              <w:t>≥</w:t>
            </w:r>
            <w:r>
              <w:rPr>
                <w:rFonts w:hint="eastAsia" w:ascii="微软雅黑" w:hAnsi="微软雅黑" w:eastAsia="微软雅黑" w:cs="宋体"/>
                <w:kern w:val="0"/>
                <w:sz w:val="18"/>
                <w:szCs w:val="18"/>
              </w:rPr>
              <w:t>10</w:t>
            </w:r>
          </w:p>
        </w:tc>
        <w:tc>
          <w:tcPr>
            <w:tcW w:w="861" w:type="dxa"/>
          </w:tcPr>
          <w:p w14:paraId="7858277B">
            <w:pPr>
              <w:widowControl/>
              <w:spacing w:line="360" w:lineRule="atLeast"/>
              <w:textAlignment w:val="baseline"/>
              <w:rPr>
                <w:rFonts w:ascii="微软雅黑" w:hAnsi="微软雅黑" w:eastAsia="微软雅黑" w:cs="宋体"/>
                <w:kern w:val="0"/>
                <w:sz w:val="18"/>
                <w:szCs w:val="18"/>
              </w:rPr>
            </w:pPr>
          </w:p>
        </w:tc>
      </w:tr>
      <w:tr w14:paraId="47FD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1D394B72">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927" w:type="dxa"/>
            <w:vMerge w:val="continue"/>
          </w:tcPr>
          <w:p w14:paraId="6E96ADA2">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67E697B4">
            <w:pPr>
              <w:widowControl/>
              <w:spacing w:line="360" w:lineRule="atLeast"/>
              <w:textAlignment w:val="baseline"/>
              <w:rPr>
                <w:rFonts w:ascii="微软雅黑" w:hAnsi="微软雅黑" w:eastAsia="微软雅黑" w:cs="宋体"/>
                <w:kern w:val="0"/>
                <w:sz w:val="18"/>
                <w:szCs w:val="18"/>
              </w:rPr>
            </w:pPr>
          </w:p>
        </w:tc>
        <w:tc>
          <w:tcPr>
            <w:tcW w:w="3304" w:type="dxa"/>
          </w:tcPr>
          <w:p w14:paraId="1D430C9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消费维权工作人员培训（次）</w:t>
            </w:r>
          </w:p>
        </w:tc>
        <w:tc>
          <w:tcPr>
            <w:tcW w:w="827" w:type="dxa"/>
          </w:tcPr>
          <w:p w14:paraId="345C711C">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0-1</w:t>
            </w:r>
          </w:p>
        </w:tc>
        <w:tc>
          <w:tcPr>
            <w:tcW w:w="693" w:type="dxa"/>
          </w:tcPr>
          <w:p w14:paraId="2D548346">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微软雅黑"/>
                <w:kern w:val="0"/>
                <w:sz w:val="18"/>
                <w:szCs w:val="18"/>
              </w:rPr>
              <w:t>≥4</w:t>
            </w:r>
          </w:p>
        </w:tc>
        <w:tc>
          <w:tcPr>
            <w:tcW w:w="861" w:type="dxa"/>
          </w:tcPr>
          <w:p w14:paraId="1AE6DBF2">
            <w:pPr>
              <w:widowControl/>
              <w:spacing w:line="360" w:lineRule="atLeast"/>
              <w:textAlignment w:val="baseline"/>
              <w:rPr>
                <w:rFonts w:ascii="微软雅黑" w:hAnsi="微软雅黑" w:eastAsia="微软雅黑" w:cs="宋体"/>
                <w:kern w:val="0"/>
                <w:sz w:val="18"/>
                <w:szCs w:val="18"/>
              </w:rPr>
            </w:pPr>
          </w:p>
        </w:tc>
      </w:tr>
      <w:tr w14:paraId="01A8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234BB772">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28</w:t>
            </w:r>
          </w:p>
        </w:tc>
        <w:tc>
          <w:tcPr>
            <w:tcW w:w="927" w:type="dxa"/>
            <w:vMerge w:val="continue"/>
          </w:tcPr>
          <w:p w14:paraId="301F9782">
            <w:pPr>
              <w:widowControl/>
              <w:spacing w:line="360" w:lineRule="atLeast"/>
              <w:textAlignment w:val="baseline"/>
              <w:rPr>
                <w:rFonts w:ascii="微软雅黑" w:hAnsi="微软雅黑" w:eastAsia="微软雅黑" w:cs="宋体"/>
                <w:kern w:val="0"/>
                <w:sz w:val="18"/>
                <w:szCs w:val="18"/>
              </w:rPr>
            </w:pPr>
          </w:p>
        </w:tc>
        <w:tc>
          <w:tcPr>
            <w:tcW w:w="1203" w:type="dxa"/>
            <w:vMerge w:val="restart"/>
          </w:tcPr>
          <w:p w14:paraId="54626317">
            <w:pPr>
              <w:widowControl/>
              <w:spacing w:line="360" w:lineRule="atLeast"/>
              <w:textAlignment w:val="baseline"/>
              <w:rPr>
                <w:rFonts w:ascii="微软雅黑" w:hAnsi="微软雅黑" w:eastAsia="微软雅黑" w:cs="宋体"/>
                <w:kern w:val="0"/>
                <w:sz w:val="18"/>
                <w:szCs w:val="18"/>
              </w:rPr>
            </w:pPr>
          </w:p>
          <w:p w14:paraId="77B03378">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消费环境建设及公示</w:t>
            </w:r>
          </w:p>
        </w:tc>
        <w:tc>
          <w:tcPr>
            <w:tcW w:w="3304" w:type="dxa"/>
          </w:tcPr>
          <w:p w14:paraId="4FD8C573">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消费预警提示（次/年）</w:t>
            </w:r>
          </w:p>
        </w:tc>
        <w:tc>
          <w:tcPr>
            <w:tcW w:w="827" w:type="dxa"/>
          </w:tcPr>
          <w:p w14:paraId="62396A1A">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693" w:type="dxa"/>
          </w:tcPr>
          <w:p w14:paraId="3960B6C3">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8</w:t>
            </w:r>
          </w:p>
        </w:tc>
        <w:tc>
          <w:tcPr>
            <w:tcW w:w="861" w:type="dxa"/>
          </w:tcPr>
          <w:p w14:paraId="2CB18B04">
            <w:pPr>
              <w:widowControl/>
              <w:spacing w:line="360" w:lineRule="atLeast"/>
              <w:textAlignment w:val="baseline"/>
              <w:rPr>
                <w:rFonts w:ascii="微软雅黑" w:hAnsi="微软雅黑" w:eastAsia="微软雅黑" w:cs="宋体"/>
                <w:kern w:val="0"/>
                <w:sz w:val="18"/>
                <w:szCs w:val="18"/>
              </w:rPr>
            </w:pPr>
          </w:p>
        </w:tc>
      </w:tr>
      <w:tr w14:paraId="3995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2CA023F9">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29</w:t>
            </w:r>
          </w:p>
        </w:tc>
        <w:tc>
          <w:tcPr>
            <w:tcW w:w="927" w:type="dxa"/>
            <w:vMerge w:val="continue"/>
          </w:tcPr>
          <w:p w14:paraId="2F89AEF3">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4557F027">
            <w:pPr>
              <w:widowControl/>
              <w:spacing w:line="360" w:lineRule="atLeast"/>
              <w:textAlignment w:val="baseline"/>
              <w:rPr>
                <w:rFonts w:ascii="微软雅黑" w:hAnsi="微软雅黑" w:eastAsia="微软雅黑" w:cs="宋体"/>
                <w:kern w:val="0"/>
                <w:sz w:val="18"/>
                <w:szCs w:val="18"/>
              </w:rPr>
            </w:pPr>
          </w:p>
        </w:tc>
        <w:tc>
          <w:tcPr>
            <w:tcW w:w="3304" w:type="dxa"/>
          </w:tcPr>
          <w:p w14:paraId="018E80F9">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多部门联合约谈（次/年）</w:t>
            </w:r>
          </w:p>
        </w:tc>
        <w:tc>
          <w:tcPr>
            <w:tcW w:w="827" w:type="dxa"/>
          </w:tcPr>
          <w:p w14:paraId="6532F10F">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1-2</w:t>
            </w:r>
          </w:p>
        </w:tc>
        <w:tc>
          <w:tcPr>
            <w:tcW w:w="693" w:type="dxa"/>
          </w:tcPr>
          <w:p w14:paraId="02214170">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4</w:t>
            </w:r>
          </w:p>
        </w:tc>
        <w:tc>
          <w:tcPr>
            <w:tcW w:w="861" w:type="dxa"/>
          </w:tcPr>
          <w:p w14:paraId="180CEA03">
            <w:pPr>
              <w:widowControl/>
              <w:spacing w:line="360" w:lineRule="atLeast"/>
              <w:textAlignment w:val="baseline"/>
              <w:rPr>
                <w:rFonts w:ascii="微软雅黑" w:hAnsi="微软雅黑" w:eastAsia="微软雅黑" w:cs="宋体"/>
                <w:kern w:val="0"/>
                <w:sz w:val="18"/>
                <w:szCs w:val="18"/>
              </w:rPr>
            </w:pPr>
          </w:p>
        </w:tc>
      </w:tr>
      <w:tr w14:paraId="195B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35E47496">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30</w:t>
            </w:r>
          </w:p>
        </w:tc>
        <w:tc>
          <w:tcPr>
            <w:tcW w:w="927" w:type="dxa"/>
            <w:vMerge w:val="continue"/>
          </w:tcPr>
          <w:p w14:paraId="0AEFFC70">
            <w:pPr>
              <w:widowControl/>
              <w:spacing w:line="360" w:lineRule="atLeast"/>
              <w:textAlignment w:val="baseline"/>
              <w:rPr>
                <w:rFonts w:ascii="微软雅黑" w:hAnsi="微软雅黑" w:eastAsia="微软雅黑" w:cs="宋体"/>
                <w:kern w:val="0"/>
                <w:sz w:val="18"/>
                <w:szCs w:val="18"/>
              </w:rPr>
            </w:pPr>
          </w:p>
        </w:tc>
        <w:tc>
          <w:tcPr>
            <w:tcW w:w="1203" w:type="dxa"/>
            <w:vMerge w:val="continue"/>
          </w:tcPr>
          <w:p w14:paraId="1978242E">
            <w:pPr>
              <w:widowControl/>
              <w:spacing w:line="360" w:lineRule="atLeast"/>
              <w:textAlignment w:val="baseline"/>
              <w:rPr>
                <w:rFonts w:ascii="微软雅黑" w:hAnsi="微软雅黑" w:eastAsia="微软雅黑" w:cs="宋体"/>
                <w:kern w:val="0"/>
                <w:sz w:val="18"/>
                <w:szCs w:val="18"/>
              </w:rPr>
            </w:pPr>
          </w:p>
        </w:tc>
        <w:tc>
          <w:tcPr>
            <w:tcW w:w="3304" w:type="dxa"/>
          </w:tcPr>
          <w:p w14:paraId="5220C627">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消费风险黑榜发布（期/年）</w:t>
            </w:r>
          </w:p>
        </w:tc>
        <w:tc>
          <w:tcPr>
            <w:tcW w:w="827" w:type="dxa"/>
          </w:tcPr>
          <w:p w14:paraId="771784B6">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0</w:t>
            </w:r>
          </w:p>
        </w:tc>
        <w:tc>
          <w:tcPr>
            <w:tcW w:w="693" w:type="dxa"/>
          </w:tcPr>
          <w:p w14:paraId="53E9E4CE">
            <w:pPr>
              <w:widowControl/>
              <w:spacing w:line="360" w:lineRule="atLeast"/>
              <w:textAlignment w:val="baseline"/>
              <w:rPr>
                <w:rFonts w:ascii="微软雅黑" w:hAnsi="微软雅黑" w:eastAsia="微软雅黑" w:cs="宋体"/>
                <w:kern w:val="0"/>
                <w:sz w:val="18"/>
                <w:szCs w:val="18"/>
              </w:rPr>
            </w:pPr>
            <w:r>
              <w:rPr>
                <w:rFonts w:hint="eastAsia" w:ascii="微软雅黑" w:hAnsi="微软雅黑" w:eastAsia="微软雅黑" w:cs="宋体"/>
                <w:kern w:val="0"/>
                <w:sz w:val="18"/>
                <w:szCs w:val="18"/>
              </w:rPr>
              <w:t>2-4</w:t>
            </w:r>
          </w:p>
        </w:tc>
        <w:tc>
          <w:tcPr>
            <w:tcW w:w="861" w:type="dxa"/>
          </w:tcPr>
          <w:p w14:paraId="527E8608">
            <w:pPr>
              <w:widowControl/>
              <w:spacing w:line="360" w:lineRule="atLeast"/>
              <w:textAlignment w:val="baseline"/>
              <w:rPr>
                <w:rFonts w:ascii="微软雅黑" w:hAnsi="微软雅黑" w:eastAsia="微软雅黑" w:cs="宋体"/>
                <w:kern w:val="0"/>
                <w:sz w:val="18"/>
                <w:szCs w:val="18"/>
              </w:rPr>
            </w:pPr>
          </w:p>
        </w:tc>
      </w:tr>
      <w:tr w14:paraId="5C47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59B8A92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31</w:t>
            </w:r>
          </w:p>
        </w:tc>
        <w:tc>
          <w:tcPr>
            <w:tcW w:w="927" w:type="dxa"/>
            <w:vMerge w:val="restart"/>
          </w:tcPr>
          <w:p w14:paraId="2B00815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智能高效的监管体系</w:t>
            </w:r>
          </w:p>
        </w:tc>
        <w:tc>
          <w:tcPr>
            <w:tcW w:w="1203" w:type="dxa"/>
          </w:tcPr>
          <w:p w14:paraId="56379C2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设备配备</w:t>
            </w:r>
          </w:p>
        </w:tc>
        <w:tc>
          <w:tcPr>
            <w:tcW w:w="3304" w:type="dxa"/>
          </w:tcPr>
          <w:p w14:paraId="448EDF3C">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执法人员智能设备配置率（%）</w:t>
            </w:r>
          </w:p>
        </w:tc>
        <w:tc>
          <w:tcPr>
            <w:tcW w:w="827" w:type="dxa"/>
          </w:tcPr>
          <w:p w14:paraId="754E5845">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&lt;100</w:t>
            </w:r>
          </w:p>
        </w:tc>
        <w:tc>
          <w:tcPr>
            <w:tcW w:w="693" w:type="dxa"/>
          </w:tcPr>
          <w:p w14:paraId="45D6D25E">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100</w:t>
            </w:r>
          </w:p>
        </w:tc>
        <w:tc>
          <w:tcPr>
            <w:tcW w:w="861" w:type="dxa"/>
          </w:tcPr>
          <w:p w14:paraId="58BEA7CA">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p>
        </w:tc>
      </w:tr>
      <w:tr w14:paraId="14AD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0BDACA59">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32</w:t>
            </w:r>
          </w:p>
        </w:tc>
        <w:tc>
          <w:tcPr>
            <w:tcW w:w="927" w:type="dxa"/>
            <w:vMerge w:val="continue"/>
          </w:tcPr>
          <w:p w14:paraId="00DCA744">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tcPr>
          <w:p w14:paraId="24033C37">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平台建设</w:t>
            </w:r>
          </w:p>
        </w:tc>
        <w:tc>
          <w:tcPr>
            <w:tcW w:w="3304" w:type="dxa"/>
          </w:tcPr>
          <w:p w14:paraId="09AFD45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数智化监管平台</w:t>
            </w:r>
          </w:p>
        </w:tc>
        <w:tc>
          <w:tcPr>
            <w:tcW w:w="827" w:type="dxa"/>
          </w:tcPr>
          <w:p w14:paraId="0C175C2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建设</w:t>
            </w:r>
          </w:p>
        </w:tc>
        <w:tc>
          <w:tcPr>
            <w:tcW w:w="693" w:type="dxa"/>
          </w:tcPr>
          <w:p w14:paraId="2A72985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投入使用</w:t>
            </w:r>
          </w:p>
        </w:tc>
        <w:tc>
          <w:tcPr>
            <w:tcW w:w="861" w:type="dxa"/>
          </w:tcPr>
          <w:p w14:paraId="24FE5B72">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p>
        </w:tc>
      </w:tr>
      <w:tr w14:paraId="77B9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8DA985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33</w:t>
            </w:r>
          </w:p>
        </w:tc>
        <w:tc>
          <w:tcPr>
            <w:tcW w:w="927" w:type="dxa"/>
            <w:vMerge w:val="continue"/>
          </w:tcPr>
          <w:p w14:paraId="029154F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vMerge w:val="restart"/>
          </w:tcPr>
          <w:p w14:paraId="53817347">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特种设备</w:t>
            </w:r>
          </w:p>
        </w:tc>
        <w:tc>
          <w:tcPr>
            <w:tcW w:w="3304" w:type="dxa"/>
          </w:tcPr>
          <w:p w14:paraId="4FAE1313">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重点时段监督检查和专项整治监督检查次数</w:t>
            </w:r>
          </w:p>
        </w:tc>
        <w:tc>
          <w:tcPr>
            <w:tcW w:w="827" w:type="dxa"/>
          </w:tcPr>
          <w:p w14:paraId="69A0D632">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&lt;5</w:t>
            </w:r>
          </w:p>
        </w:tc>
        <w:tc>
          <w:tcPr>
            <w:tcW w:w="693" w:type="dxa"/>
          </w:tcPr>
          <w:p w14:paraId="3B5CDA0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&gt;6</w:t>
            </w:r>
          </w:p>
        </w:tc>
        <w:tc>
          <w:tcPr>
            <w:tcW w:w="861" w:type="dxa"/>
          </w:tcPr>
          <w:p w14:paraId="3B1166F5">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p>
        </w:tc>
      </w:tr>
      <w:tr w14:paraId="343B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dxa"/>
          </w:tcPr>
          <w:p w14:paraId="4BCA7E4B">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34</w:t>
            </w:r>
          </w:p>
        </w:tc>
        <w:tc>
          <w:tcPr>
            <w:tcW w:w="927" w:type="dxa"/>
            <w:vMerge w:val="continue"/>
          </w:tcPr>
          <w:p w14:paraId="3EA7A1E8">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1203" w:type="dxa"/>
            <w:vMerge w:val="continue"/>
          </w:tcPr>
          <w:p w14:paraId="19537ECC">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p>
        </w:tc>
        <w:tc>
          <w:tcPr>
            <w:tcW w:w="3304" w:type="dxa"/>
          </w:tcPr>
          <w:p w14:paraId="201C3B0F">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每年日常监督检查次数</w:t>
            </w:r>
          </w:p>
        </w:tc>
        <w:tc>
          <w:tcPr>
            <w:tcW w:w="827" w:type="dxa"/>
          </w:tcPr>
          <w:p w14:paraId="6C8AD1E4">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&lt;</w:t>
            </w:r>
            <w:r>
              <w:rPr>
                <w:rFonts w:ascii="微软雅黑" w:hAnsi="微软雅黑" w:eastAsia="微软雅黑" w:cs="宋体"/>
                <w:color w:val="000000" w:themeColor="text1"/>
                <w:kern w:val="0"/>
                <w:sz w:val="18"/>
                <w:szCs w:val="18"/>
                <w14:textFill>
                  <w14:solidFill>
                    <w14:schemeClr w14:val="tx1"/>
                  </w14:solidFill>
                </w14:textFill>
              </w:rPr>
              <w:t>1</w:t>
            </w:r>
          </w:p>
        </w:tc>
        <w:tc>
          <w:tcPr>
            <w:tcW w:w="693" w:type="dxa"/>
          </w:tcPr>
          <w:p w14:paraId="08F342BE">
            <w:pPr>
              <w:widowControl/>
              <w:spacing w:line="360" w:lineRule="atLeast"/>
              <w:textAlignment w:val="baseline"/>
              <w:rPr>
                <w:rFonts w:ascii="微软雅黑" w:hAnsi="微软雅黑" w:eastAsia="微软雅黑" w:cs="宋体"/>
                <w:color w:val="000000" w:themeColor="text1"/>
                <w:kern w:val="0"/>
                <w:sz w:val="18"/>
                <w:szCs w:val="18"/>
                <w14:textFill>
                  <w14:solidFill>
                    <w14:schemeClr w14:val="tx1"/>
                  </w14:solidFill>
                </w14:textFill>
              </w:rPr>
            </w:pPr>
            <w:r>
              <w:rPr>
                <w:rFonts w:hint="eastAsia" w:ascii="微软雅黑" w:hAnsi="微软雅黑" w:eastAsia="微软雅黑" w:cs="宋体"/>
                <w:color w:val="000000" w:themeColor="text1"/>
                <w:kern w:val="0"/>
                <w:sz w:val="18"/>
                <w:szCs w:val="18"/>
                <w14:textFill>
                  <w14:solidFill>
                    <w14:schemeClr w14:val="tx1"/>
                  </w14:solidFill>
                </w14:textFill>
              </w:rPr>
              <w:t>1</w:t>
            </w:r>
          </w:p>
        </w:tc>
        <w:tc>
          <w:tcPr>
            <w:tcW w:w="861" w:type="dxa"/>
          </w:tcPr>
          <w:p w14:paraId="5F9244F2">
            <w:pPr>
              <w:widowControl/>
              <w:spacing w:line="360" w:lineRule="atLeast"/>
              <w:textAlignment w:val="baseline"/>
              <w:rPr>
                <w:rFonts w:ascii="微软雅黑" w:hAnsi="微软雅黑" w:eastAsia="微软雅黑" w:cs="宋体"/>
                <w:i/>
                <w:iCs/>
                <w:color w:val="000000" w:themeColor="text1"/>
                <w:kern w:val="0"/>
                <w:sz w:val="18"/>
                <w:szCs w:val="18"/>
                <w:highlight w:val="yellow"/>
                <w14:textFill>
                  <w14:solidFill>
                    <w14:schemeClr w14:val="tx1"/>
                  </w14:solidFill>
                </w14:textFill>
              </w:rPr>
            </w:pPr>
          </w:p>
        </w:tc>
      </w:tr>
    </w:tbl>
    <w:p w14:paraId="295EAFBB">
      <w:pPr>
        <w:pStyle w:val="13"/>
        <w:shd w:val="clear" w:color="auto" w:fill="FFFFFF"/>
        <w:spacing w:before="0" w:beforeAutospacing="0" w:after="0" w:afterAutospacing="0"/>
        <w:jc w:val="center"/>
        <w:textAlignment w:val="baseline"/>
        <w:outlineLvl w:val="0"/>
        <w:rPr>
          <w:rStyle w:val="18"/>
          <w:rFonts w:ascii="微软雅黑" w:hAnsi="微软雅黑" w:eastAsia="微软雅黑"/>
          <w:b w:val="0"/>
          <w:bCs w:val="0"/>
          <w:color w:val="000000" w:themeColor="text1"/>
          <w:sz w:val="32"/>
          <w:szCs w:val="32"/>
          <w14:textFill>
            <w14:solidFill>
              <w14:schemeClr w14:val="tx1"/>
            </w14:solidFill>
          </w14:textFill>
        </w:rPr>
      </w:pPr>
      <w:bookmarkStart w:id="40" w:name="_Toc63151493"/>
      <w:r>
        <w:rPr>
          <w:rStyle w:val="18"/>
          <w:rFonts w:hint="eastAsia" w:ascii="微软雅黑" w:hAnsi="微软雅黑" w:eastAsia="微软雅黑"/>
          <w:b w:val="0"/>
          <w:bCs w:val="0"/>
          <w:color w:val="000000" w:themeColor="text1"/>
          <w:sz w:val="32"/>
          <w:szCs w:val="32"/>
          <w14:textFill>
            <w14:solidFill>
              <w14:schemeClr w14:val="tx1"/>
            </w14:solidFill>
          </w14:textFill>
        </w:rPr>
        <w:t>第四章 市场监管主要任务</w:t>
      </w:r>
      <w:bookmarkEnd w:id="38"/>
      <w:bookmarkEnd w:id="40"/>
    </w:p>
    <w:bookmarkEnd w:id="39"/>
    <w:p w14:paraId="58F86E57">
      <w:pPr>
        <w:pStyle w:val="2"/>
        <w:rPr>
          <w:rFonts w:ascii="黑体" w:hAnsi="黑体" w:eastAsia="黑体" w:cs="Times New Roman"/>
          <w:szCs w:val="24"/>
        </w:rPr>
      </w:pPr>
      <w:bookmarkStart w:id="41" w:name="_Toc56587049"/>
      <w:bookmarkStart w:id="42" w:name="_Toc63151494"/>
      <w:bookmarkStart w:id="43" w:name="_Hlk56340953"/>
      <w:r>
        <w:rPr>
          <w:rFonts w:hint="eastAsia" w:ascii="黑体" w:hAnsi="黑体" w:eastAsia="黑体" w:cs="Times New Roman"/>
          <w:szCs w:val="24"/>
        </w:rPr>
        <w:t>一、持续深化商事制度改革，营造宽松便捷的市场准入环境</w:t>
      </w:r>
      <w:bookmarkEnd w:id="41"/>
      <w:bookmarkEnd w:id="42"/>
    </w:p>
    <w:p w14:paraId="10AA906A">
      <w:pPr>
        <w:ind w:firstLine="640" w:firstLineChars="200"/>
        <w:rPr>
          <w:rFonts w:ascii="Calibri" w:hAnsi="Calibri" w:eastAsia="仿宋_GB2312" w:cs="Times New Roman"/>
          <w:sz w:val="32"/>
          <w:szCs w:val="24"/>
        </w:rPr>
      </w:pPr>
      <w:r>
        <w:rPr>
          <w:rFonts w:ascii="Calibri" w:hAnsi="Calibri" w:eastAsia="仿宋_GB2312" w:cs="Times New Roman"/>
          <w:sz w:val="32"/>
          <w:szCs w:val="24"/>
        </w:rPr>
        <w:t>继续深化商事制度改革，进一步减少行政审批，放宽市场准入，便利投资创业。</w:t>
      </w:r>
    </w:p>
    <w:p w14:paraId="29705C6F">
      <w:pPr>
        <w:pStyle w:val="3"/>
        <w:rPr>
          <w:rFonts w:ascii="楷体" w:hAnsi="楷体" w:eastAsia="楷体" w:cs="Times New Roman"/>
          <w:sz w:val="32"/>
          <w:szCs w:val="24"/>
        </w:rPr>
      </w:pPr>
      <w:bookmarkStart w:id="44" w:name="_Toc56586983"/>
      <w:bookmarkStart w:id="45" w:name="_Toc56587050"/>
      <w:r>
        <w:rPr>
          <w:rFonts w:hint="eastAsia" w:ascii="楷体" w:hAnsi="楷体" w:eastAsia="楷体" w:cs="Times New Roman"/>
          <w:sz w:val="32"/>
          <w:szCs w:val="24"/>
        </w:rPr>
        <w:t>（一）深入商事制度和退出制度改革</w:t>
      </w:r>
      <w:bookmarkEnd w:id="44"/>
      <w:bookmarkEnd w:id="45"/>
    </w:p>
    <w:p w14:paraId="0182F1CB">
      <w:pPr>
        <w:ind w:firstLine="640" w:firstLineChars="200"/>
        <w:rPr>
          <w:rFonts w:ascii="Calibri" w:hAnsi="Calibri" w:eastAsia="仿宋_GB2312" w:cs="仿宋_GB2312"/>
          <w:sz w:val="32"/>
          <w:szCs w:val="24"/>
          <w:shd w:val="clear" w:color="auto" w:fill="FFFFFF"/>
        </w:rPr>
      </w:pPr>
      <w:r>
        <w:rPr>
          <w:rFonts w:hint="eastAsia" w:ascii="Calibri" w:hAnsi="Calibri" w:eastAsia="仿宋_GB2312" w:cs="Times New Roman"/>
          <w:sz w:val="32"/>
          <w:szCs w:val="24"/>
        </w:rPr>
        <w:t>重点围绕“准入不准营”、市场主体退出难等突出问题，推动改革向纵深拓展。全面推进“证照分离”改革，认真落实分类管理，通过“照后减证”实现“减证便民”。继续深化</w:t>
      </w:r>
      <w:r>
        <w:rPr>
          <w:rFonts w:hint="eastAsia" w:ascii="Calibri" w:hAnsi="Calibri" w:eastAsia="仿宋_GB2312" w:cs="仿宋_GB2312"/>
          <w:sz w:val="32"/>
          <w:szCs w:val="24"/>
          <w:shd w:val="clear" w:color="auto" w:fill="FFFFFF"/>
        </w:rPr>
        <w:t>“多证合一”改革，根据国家要求和安宁实际，动态更新“多证合一”目录，积极推进“证照联办”升级，继续降低企业准入成本，实现企业开办更加优质高效。进一步推进企业注销制度改革，简化企业一般注销程序，完善企业简易注销制度，实行企业注销“一网”服务，解决企业注销难、退出难问题。继续推进电子营业执照、名称登记、“一件事一次办”等企业准入便利化改革，进一步降低投资创业的制度性成本。加强非公党建、团建工作，巩固和扩大党在非公经济组织特别是小微企业、个体工商户、专业市场中的覆盖面，综合采取政策措施，支持个体私营经济和小微企业发展。</w:t>
      </w:r>
    </w:p>
    <w:tbl>
      <w:tblPr>
        <w:tblStyle w:val="15"/>
        <w:tblW w:w="815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9"/>
      </w:tblGrid>
      <w:tr w14:paraId="080A1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8159" w:type="dxa"/>
            <w:tcBorders>
              <w:bottom w:val="single" w:color="auto" w:sz="4" w:space="0"/>
            </w:tcBorders>
          </w:tcPr>
          <w:p w14:paraId="253EF7C6">
            <w:pPr>
              <w:spacing w:line="276" w:lineRule="auto"/>
              <w:ind w:firstLine="480" w:firstLineChars="200"/>
              <w:jc w:val="center"/>
              <w:rPr>
                <w:rFonts w:ascii="仿宋" w:hAnsi="仿宋" w:eastAsia="仿宋" w:cs="仿宋_GB2312"/>
                <w:color w:val="252525"/>
                <w:sz w:val="24"/>
                <w:szCs w:val="24"/>
                <w:shd w:val="clear" w:color="auto" w:fill="FFFFFF"/>
              </w:rPr>
            </w:pPr>
            <w:r>
              <w:rPr>
                <w:rFonts w:hint="eastAsia" w:ascii="黑体" w:hAnsi="黑体" w:eastAsia="黑体" w:cs="仿宋_GB2312"/>
                <w:color w:val="252525"/>
                <w:sz w:val="24"/>
                <w:szCs w:val="24"/>
                <w:shd w:val="clear" w:color="auto" w:fill="FFFFFF"/>
              </w:rPr>
              <w:t>专栏</w:t>
            </w:r>
            <w:r>
              <w:rPr>
                <w:rFonts w:hint="eastAsia" w:ascii="黑体" w:hAnsi="黑体" w:eastAsia="黑体" w:cs="Times New Roman"/>
                <w:b/>
                <w:bCs/>
                <w:sz w:val="24"/>
                <w:szCs w:val="24"/>
              </w:rPr>
              <w:t xml:space="preserve">   打造一流的营商环境</w:t>
            </w:r>
          </w:p>
        </w:tc>
      </w:tr>
      <w:tr w14:paraId="074E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0" w:hRule="atLeast"/>
        </w:trPr>
        <w:tc>
          <w:tcPr>
            <w:tcW w:w="8159" w:type="dxa"/>
            <w:tcBorders>
              <w:top w:val="single" w:color="auto" w:sz="4" w:space="0"/>
            </w:tcBorders>
          </w:tcPr>
          <w:p w14:paraId="5FF80CF8">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全面推行“企业住所承诺制”和“企业名称自主申报”。</w:t>
            </w:r>
          </w:p>
          <w:p w14:paraId="7F892C2B">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推进主题套餐服务，以市场主体便捷高效办好“一件事”为目标，推动业务整合和流程再造。</w:t>
            </w:r>
          </w:p>
          <w:p w14:paraId="10EB676D">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3.全面推广</w:t>
            </w:r>
            <w:r>
              <w:rPr>
                <w:rFonts w:ascii="仿宋" w:hAnsi="仿宋" w:eastAsia="仿宋" w:cs="Times New Roman"/>
                <w:sz w:val="24"/>
                <w:szCs w:val="24"/>
              </w:rPr>
              <w:t>电子营业执照</w:t>
            </w:r>
            <w:r>
              <w:rPr>
                <w:rFonts w:hint="eastAsia" w:ascii="仿宋" w:hAnsi="仿宋" w:eastAsia="仿宋" w:cs="Times New Roman"/>
                <w:sz w:val="24"/>
                <w:szCs w:val="24"/>
              </w:rPr>
              <w:t>和电子印章应用，实现企业开办标准对标国内一流，将企业登记、印章刻制、申领发票、社保登记和公积金缴存减为“一表申请”、“一门一窗一次发放”2个环节,实现企业开办0.5天内办结、开办成本0费用。</w:t>
            </w:r>
          </w:p>
          <w:p w14:paraId="62F97CFC">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4.深入落实负面清单管理制度，做到“非禁即入”。</w:t>
            </w:r>
          </w:p>
          <w:p w14:paraId="621A7836">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5.在特殊行业准入方面，严格按照《市场准入负面清单（2019年版）》所列清单做好有关市场主体准入相关工作。</w:t>
            </w:r>
          </w:p>
          <w:p w14:paraId="66D82249">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6.企业申请地址、经营范围（不涉及前置许可）等一般事项变更，只需提交主要文件，即可登记注册。</w:t>
            </w:r>
          </w:p>
          <w:p w14:paraId="4685444D">
            <w:pPr>
              <w:spacing w:line="300" w:lineRule="exact"/>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7.压缩企业市场主体简易注销退出时间，将在报纸公告45天改为在国家企业信用信息公示平台公告20天。</w:t>
            </w:r>
          </w:p>
        </w:tc>
      </w:tr>
    </w:tbl>
    <w:p w14:paraId="61418EDA">
      <w:pPr>
        <w:pStyle w:val="3"/>
        <w:rPr>
          <w:rFonts w:ascii="楷体" w:hAnsi="楷体" w:eastAsia="楷体" w:cs="Times New Roman"/>
          <w:sz w:val="32"/>
          <w:szCs w:val="24"/>
        </w:rPr>
      </w:pPr>
      <w:bookmarkStart w:id="46" w:name="_Toc56586984"/>
      <w:bookmarkStart w:id="47" w:name="_Toc56587051"/>
      <w:r>
        <w:rPr>
          <w:rFonts w:hint="eastAsia" w:ascii="楷体" w:hAnsi="楷体" w:eastAsia="楷体" w:cs="Times New Roman"/>
          <w:sz w:val="32"/>
          <w:szCs w:val="24"/>
        </w:rPr>
        <w:t>（二）推进产品准入制度改革</w:t>
      </w:r>
      <w:bookmarkEnd w:id="46"/>
      <w:bookmarkEnd w:id="47"/>
    </w:p>
    <w:p w14:paraId="4BED7C9A">
      <w:pPr>
        <w:ind w:firstLine="640" w:firstLineChars="200"/>
        <w:rPr>
          <w:rFonts w:ascii="Calibri" w:hAnsi="Calibri" w:eastAsia="仿宋_GB2312" w:cs="Times New Roman"/>
          <w:sz w:val="32"/>
          <w:szCs w:val="24"/>
        </w:rPr>
      </w:pPr>
      <w:r>
        <w:rPr>
          <w:rFonts w:hint="eastAsia" w:ascii="Calibri" w:hAnsi="Calibri" w:eastAsia="仿宋_GB2312" w:cs="Times New Roman"/>
          <w:sz w:val="32"/>
          <w:szCs w:val="24"/>
        </w:rPr>
        <w:t>继续压减工业产品生产许可证目录，进一步压减大类，减少层级。积极开展简化审批程序改革试点，压缩审批时间。进一步压减强制性认证种类，严格落实许可转强制认证“正面清单”，对取消许可涉及健康、安全的产品转为强制性认证。推动落实财政负担强制性认证费用政策措施，减轻企业负担。</w:t>
      </w:r>
    </w:p>
    <w:tbl>
      <w:tblPr>
        <w:tblStyle w:val="15"/>
        <w:tblW w:w="815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59"/>
      </w:tblGrid>
      <w:tr w14:paraId="0FC5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8159" w:type="dxa"/>
            <w:tcBorders>
              <w:bottom w:val="single" w:color="auto" w:sz="4" w:space="0"/>
            </w:tcBorders>
          </w:tcPr>
          <w:p w14:paraId="301A01C0">
            <w:pPr>
              <w:spacing w:line="276" w:lineRule="auto"/>
              <w:ind w:firstLine="480" w:firstLineChars="200"/>
              <w:jc w:val="center"/>
              <w:rPr>
                <w:rFonts w:ascii="黑体" w:hAnsi="黑体" w:eastAsia="黑体" w:cs="Times New Roman"/>
                <w:sz w:val="24"/>
                <w:szCs w:val="24"/>
              </w:rPr>
            </w:pPr>
            <w:r>
              <w:rPr>
                <w:rFonts w:hint="eastAsia" w:ascii="黑体" w:hAnsi="黑体" w:eastAsia="黑体" w:cs="Times New Roman"/>
                <w:sz w:val="24"/>
                <w:szCs w:val="24"/>
              </w:rPr>
              <w:t>专栏</w:t>
            </w:r>
            <w:r>
              <w:rPr>
                <w:rFonts w:hint="eastAsia" w:ascii="黑体" w:hAnsi="黑体" w:eastAsia="黑体" w:cs="Times New Roman"/>
                <w:b/>
                <w:bCs/>
                <w:sz w:val="24"/>
                <w:szCs w:val="24"/>
              </w:rPr>
              <w:t xml:space="preserve">   </w:t>
            </w:r>
            <w:r>
              <w:rPr>
                <w:rFonts w:hint="eastAsia" w:ascii="黑体" w:hAnsi="黑体" w:eastAsia="黑体" w:cs="Times New Roman"/>
                <w:sz w:val="24"/>
                <w:szCs w:val="24"/>
              </w:rPr>
              <w:t>推行“一事联办”新政</w:t>
            </w:r>
          </w:p>
        </w:tc>
      </w:tr>
      <w:tr w14:paraId="39CE2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6" w:hRule="atLeast"/>
        </w:trPr>
        <w:tc>
          <w:tcPr>
            <w:tcW w:w="8159" w:type="dxa"/>
            <w:tcBorders>
              <w:top w:val="single" w:color="auto" w:sz="4" w:space="0"/>
            </w:tcBorders>
          </w:tcPr>
          <w:p w14:paraId="0090409D">
            <w:pPr>
              <w:spacing w:line="300" w:lineRule="exact"/>
              <w:ind w:firstLine="480" w:firstLineChars="200"/>
              <w:jc w:val="left"/>
              <w:rPr>
                <w:rFonts w:ascii="黑体" w:hAnsi="黑体" w:eastAsia="黑体" w:cs="Times New Roman"/>
                <w:sz w:val="24"/>
                <w:szCs w:val="24"/>
              </w:rPr>
            </w:pPr>
            <w:r>
              <w:rPr>
                <w:rFonts w:hint="eastAsia" w:ascii="仿宋" w:hAnsi="仿宋" w:eastAsia="仿宋" w:cs="Times New Roman"/>
                <w:sz w:val="24"/>
                <w:szCs w:val="24"/>
              </w:rPr>
              <w:t>以一次办好“一件事”为目标，对涉及多个科室、多个办理环节的业务进行流程再造、环节精简，变“一事项一流程”为“一件事一流程”，实行“一个窗口受理、一张表单申请、一套材料流转”，切实解决企业群众办事跑多个窗口、重复提交资料、多次排队等问题，进一步提高办事的便利度，实现企业开办“一窗受理”、“一事联办”、“一件送达”。针对办理频率较多的事项，开发“我要开餐馆”、“我要开副食店”、“我要办个体”、“我要办公司”、“我要开物流公司”等快捷办理，</w:t>
            </w:r>
            <w:r>
              <w:rPr>
                <w:rFonts w:ascii="仿宋" w:hAnsi="仿宋" w:eastAsia="仿宋" w:cs="Times New Roman"/>
                <w:sz w:val="24"/>
                <w:szCs w:val="24"/>
              </w:rPr>
              <w:t>实现“一个部门发照、所有部门流转”。</w:t>
            </w:r>
          </w:p>
        </w:tc>
      </w:tr>
    </w:tbl>
    <w:p w14:paraId="053AE1C1">
      <w:pPr>
        <w:pStyle w:val="3"/>
        <w:rPr>
          <w:rFonts w:ascii="楷体" w:hAnsi="楷体" w:eastAsia="楷体" w:cs="Times New Roman"/>
          <w:sz w:val="32"/>
          <w:szCs w:val="24"/>
        </w:rPr>
      </w:pPr>
      <w:bookmarkStart w:id="48" w:name="_Toc56586985"/>
      <w:bookmarkStart w:id="49" w:name="_Toc56587052"/>
      <w:r>
        <w:rPr>
          <w:rFonts w:hint="eastAsia" w:ascii="楷体" w:hAnsi="楷体" w:eastAsia="楷体" w:cs="Times New Roman"/>
          <w:sz w:val="32"/>
          <w:szCs w:val="24"/>
        </w:rPr>
        <w:t>（三）全面推进食品药品医疗器械经营许可改革</w:t>
      </w:r>
      <w:bookmarkEnd w:id="48"/>
      <w:bookmarkEnd w:id="49"/>
    </w:p>
    <w:p w14:paraId="1DF6DE17">
      <w:pPr>
        <w:ind w:firstLine="640" w:firstLineChars="200"/>
        <w:rPr>
          <w:rFonts w:ascii="Calibri" w:hAnsi="Calibri" w:eastAsia="仿宋_GB2312" w:cs="Times New Roman"/>
          <w:sz w:val="32"/>
          <w:szCs w:val="24"/>
        </w:rPr>
      </w:pPr>
      <w:r>
        <w:rPr>
          <w:rFonts w:hint="eastAsia" w:ascii="Calibri" w:hAnsi="Calibri" w:eastAsia="仿宋_GB2312" w:cs="Times New Roman"/>
          <w:sz w:val="32"/>
          <w:szCs w:val="24"/>
        </w:rPr>
        <w:t>推进食品经营许可电子证书管理，开展部分风险食品告知承诺制许可试点，针对药品零售连锁门店推行药品医疗器械经营许可“告知承诺制”改革。进一步简政放权，学习借鉴先进地区改革经验，服务安宁经济发展。对预包装食品、保健食品的经营者、利用自动售货设备销售预包装食品的经营者、直营连锁餐饮服务经营企业、总公司在昆明的药品零售连锁门店办理《食品经营许可证》、《药品经营许可证》、《医疗器械经营许可证》的实施“告知承诺制”改革。实施“告知承诺制”，推行证照同发，“先证后查”，推行“最多核一次”，调整许可权限，缩减许可流程，精简审批材料，缩短许可时限，规范许可标准，完善经营许可注销机制十项改革措施。在保障食品、药械安全的前提下，市场监管局进一步优化食品、药械经营许可条件，通过推行“先证后查”“自主声明”“公开承诺”，通过减环节、减材料、压时限、降成本、优服务等措施，持续提升食品、药械经营许可的便利化、审批的智能化水平，达到不断提高行政效能，方便群众办事，强化食品、药械经营行业诚信建设的目的。转变监管理念，加强事中、事后监管，督促申请人落实审批条件，推行告知承诺制，进一步提升审批效率。</w:t>
      </w:r>
    </w:p>
    <w:p w14:paraId="2366AB9C">
      <w:pPr>
        <w:pStyle w:val="2"/>
        <w:rPr>
          <w:rFonts w:ascii="黑体" w:hAnsi="黑体" w:eastAsia="黑体" w:cs="Times New Roman"/>
          <w:szCs w:val="24"/>
        </w:rPr>
      </w:pPr>
      <w:bookmarkStart w:id="50" w:name="_Toc63151495"/>
      <w:bookmarkStart w:id="51" w:name="_Toc56587053"/>
      <w:r>
        <w:rPr>
          <w:rFonts w:hint="eastAsia" w:ascii="黑体" w:hAnsi="黑体" w:eastAsia="黑体" w:cs="Times New Roman"/>
          <w:szCs w:val="24"/>
        </w:rPr>
        <w:t>二、加强市场主体监管，推动事中事后监管</w:t>
      </w:r>
      <w:bookmarkEnd w:id="50"/>
      <w:bookmarkEnd w:id="51"/>
    </w:p>
    <w:p w14:paraId="5513F869">
      <w:pPr>
        <w:ind w:firstLine="640" w:firstLineChars="200"/>
        <w:rPr>
          <w:rFonts w:ascii="Calibri" w:hAnsi="Calibri" w:eastAsia="仿宋_GB2312" w:cs="Times New Roman"/>
          <w:sz w:val="32"/>
          <w:szCs w:val="24"/>
        </w:rPr>
      </w:pPr>
      <w:r>
        <w:rPr>
          <w:rFonts w:hint="eastAsia" w:ascii="Calibri" w:hAnsi="Calibri" w:eastAsia="仿宋_GB2312" w:cs="Times New Roman"/>
          <w:sz w:val="32"/>
          <w:szCs w:val="24"/>
        </w:rPr>
        <w:t>加强市场主体监管，</w:t>
      </w:r>
      <w:r>
        <w:rPr>
          <w:rFonts w:ascii="Calibri" w:hAnsi="Calibri" w:eastAsia="仿宋_GB2312" w:cs="Times New Roman"/>
          <w:sz w:val="32"/>
          <w:szCs w:val="24"/>
        </w:rPr>
        <w:t>强化</w:t>
      </w:r>
      <w:r>
        <w:rPr>
          <w:rFonts w:hint="eastAsia" w:ascii="Calibri" w:hAnsi="Calibri" w:eastAsia="仿宋_GB2312" w:cs="Times New Roman"/>
          <w:sz w:val="32"/>
          <w:szCs w:val="24"/>
        </w:rPr>
        <w:t>监管</w:t>
      </w:r>
      <w:r>
        <w:rPr>
          <w:rFonts w:ascii="Calibri" w:hAnsi="Calibri" w:eastAsia="仿宋_GB2312" w:cs="Times New Roman"/>
          <w:sz w:val="32"/>
          <w:szCs w:val="24"/>
        </w:rPr>
        <w:t>执法，维护市场公平竞争，打破行政性垄断、防止市场垄断，为企业优胜劣汰和经济健康发展营造良好环境。</w:t>
      </w:r>
    </w:p>
    <w:p w14:paraId="1452AD32">
      <w:pPr>
        <w:pStyle w:val="3"/>
        <w:rPr>
          <w:rFonts w:ascii="楷体" w:hAnsi="楷体" w:eastAsia="楷体" w:cs="Times New Roman"/>
          <w:sz w:val="32"/>
          <w:szCs w:val="24"/>
        </w:rPr>
      </w:pPr>
      <w:r>
        <w:rPr>
          <w:rFonts w:hint="eastAsia" w:ascii="楷体" w:hAnsi="楷体" w:eastAsia="楷体" w:cs="Times New Roman"/>
          <w:sz w:val="32"/>
          <w:szCs w:val="24"/>
        </w:rPr>
        <w:t>（一）加快推进“双随机、一公开”</w:t>
      </w:r>
    </w:p>
    <w:p w14:paraId="2DB30DEB">
      <w:pPr>
        <w:pBdr>
          <w:bottom w:val="single" w:color="FFFFFF" w:sz="4" w:space="31"/>
        </w:pBdr>
        <w:tabs>
          <w:tab w:val="left" w:pos="4830"/>
          <w:tab w:val="left" w:pos="8640"/>
        </w:tabs>
        <w:overflowPunct w:val="0"/>
        <w:autoSpaceDE w:val="0"/>
        <w:autoSpaceDN w:val="0"/>
        <w:adjustRightInd w:val="0"/>
        <w:snapToGrid w:val="0"/>
        <w:spacing w:line="360" w:lineRule="auto"/>
        <w:ind w:firstLine="640" w:firstLineChars="200"/>
        <w:rPr>
          <w:rFonts w:ascii="仿宋_GB2312" w:hAnsi="仿宋_GB2312" w:eastAsia="仿宋_GB2312" w:cs="仿宋_GB2312"/>
          <w:color w:val="333333"/>
          <w:spacing w:val="8"/>
          <w:sz w:val="32"/>
          <w:szCs w:val="32"/>
          <w:shd w:val="clear" w:color="auto" w:fill="FFFFFF"/>
        </w:rPr>
      </w:pPr>
      <w:r>
        <w:rPr>
          <w:rFonts w:hint="eastAsia" w:ascii="仿宋_GB2312" w:hAnsi="仿宋_GB2312" w:eastAsia="仿宋_GB2312" w:cs="仿宋_GB2312"/>
          <w:sz w:val="32"/>
          <w:szCs w:val="32"/>
        </w:rPr>
        <w:t>推动全市28个部门在市场监管领域，共同建立以“双随机、一公开”监管为基本手段、以重点监管为补充、以信用监管为基础的新型监管机制。进一步细化 “双随机、一公开”监管工作流程，制定抽查工作规范，明确各处室具体承担的工作，提高监管实操性。加大对市级相关部门的工作指导，督促各部门尽快完善“双随机、一公开”监管工作机制，并实际开展监管工作。在各部门清单的基础上，按照抽查领域制定市级部门联合抽查事项清单，明确各领域抽查的牵头部门、参与部门，为开展部门联合“双随机、一公开”监管打好基础。加强“</w:t>
      </w:r>
      <w:r>
        <w:rPr>
          <w:rFonts w:hint="eastAsia" w:ascii="仿宋_GB2312" w:hAnsi="仿宋_GB2312" w:eastAsia="仿宋_GB2312" w:cs="仿宋_GB2312"/>
          <w:color w:val="404040"/>
          <w:sz w:val="32"/>
          <w:szCs w:val="32"/>
        </w:rPr>
        <w:t>双随机、一公开”监管与信用监管有效衔接，推行企业信用分类监管和失信联合惩戒。</w:t>
      </w:r>
    </w:p>
    <w:p w14:paraId="4798F3E1">
      <w:pPr>
        <w:pStyle w:val="3"/>
        <w:spacing w:line="360" w:lineRule="auto"/>
        <w:rPr>
          <w:rFonts w:ascii="楷体" w:hAnsi="楷体" w:eastAsia="楷体" w:cs="Times New Roman"/>
          <w:sz w:val="32"/>
          <w:szCs w:val="24"/>
        </w:rPr>
      </w:pPr>
      <w:bookmarkStart w:id="52" w:name="_Toc56587054"/>
      <w:bookmarkStart w:id="53" w:name="_Toc56586987"/>
      <w:r>
        <w:rPr>
          <w:rFonts w:hint="eastAsia" w:ascii="楷体" w:hAnsi="楷体" w:eastAsia="楷体" w:cs="Times New Roman"/>
          <w:sz w:val="32"/>
          <w:szCs w:val="24"/>
        </w:rPr>
        <w:t>（二）加强重点领域的市场监管</w:t>
      </w:r>
      <w:bookmarkEnd w:id="52"/>
      <w:bookmarkEnd w:id="53"/>
    </w:p>
    <w:p w14:paraId="569DE8CB">
      <w:pPr>
        <w:spacing w:line="360" w:lineRule="auto"/>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加强网络市场监管。</w:t>
      </w:r>
      <w:r>
        <w:rPr>
          <w:rFonts w:hint="eastAsia" w:ascii="Calibri" w:hAnsi="Calibri" w:eastAsia="仿宋_GB2312" w:cs="Times New Roman"/>
          <w:sz w:val="32"/>
          <w:szCs w:val="24"/>
        </w:rPr>
        <w:t>把握网络市场发展规律，健全网络市场监管措施，有针对性地解决网络市场发展中出现的突出问题，促进网络市场持续健康发展。坚持依法依规监管，推进依法管网，引导、督促网络交易平台落实相关责任，规范网络商品和服务经营者行为，防范网络交易风险，提高网络市场监管的制度化、规范化、法治化水平。强化技术支撑，完善升级网络交易平台监管服务系统，推进“以网管网”，强化网络交易市场治理能力。加强对网络售假、虚假宣传、虚假促销、刷单炒信、恶意诋毁等违法行为的治理，净化网络市场环境。依托互联网、大数据技术降低监管成本，提高监管效能，提高网络市场监管的智慧化、精准化水平。创新网络市场监管机制，推进跨地域、跨部门和市场监管各业务条线之间的监管协同，加强信息共享，发挥各种监管资源的综合效益。加强社会公众、中介机构、新闻媒体等对网络市场秩序的监督，发挥消费者对网络经营活动的直接监督作用，努力构建“企业自治、行业自律、社会监督、政府监管”的社会共治新机制。</w:t>
      </w:r>
    </w:p>
    <w:tbl>
      <w:tblPr>
        <w:tblStyle w:val="15"/>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1F345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8296" w:type="dxa"/>
            <w:tcBorders>
              <w:bottom w:val="single" w:color="auto" w:sz="4" w:space="0"/>
            </w:tcBorders>
          </w:tcPr>
          <w:p w14:paraId="554D3F55">
            <w:pPr>
              <w:spacing w:line="276" w:lineRule="auto"/>
              <w:jc w:val="center"/>
              <w:rPr>
                <w:rFonts w:ascii="宋体" w:hAnsi="宋体" w:eastAsia="宋体" w:cs="宋体"/>
                <w:sz w:val="32"/>
                <w:szCs w:val="24"/>
              </w:rPr>
            </w:pPr>
            <w:r>
              <w:rPr>
                <w:rFonts w:hint="eastAsia" w:ascii="黑体" w:hAnsi="黑体" w:eastAsia="黑体" w:cs="Times New Roman"/>
                <w:sz w:val="24"/>
                <w:szCs w:val="24"/>
              </w:rPr>
              <w:t>专栏   强化网络市场监管六大举措</w:t>
            </w:r>
          </w:p>
        </w:tc>
      </w:tr>
      <w:tr w14:paraId="7C3B9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8296" w:type="dxa"/>
            <w:tcBorders>
              <w:top w:val="single" w:color="auto" w:sz="4" w:space="0"/>
            </w:tcBorders>
          </w:tcPr>
          <w:p w14:paraId="17F12CBE">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1.加强网络巡查。</w:t>
            </w:r>
            <w:r>
              <w:rPr>
                <w:rFonts w:hint="eastAsia" w:ascii="仿宋" w:hAnsi="仿宋" w:eastAsia="仿宋" w:cs="Times New Roman"/>
                <w:sz w:val="24"/>
                <w:szCs w:val="24"/>
              </w:rPr>
              <w:t>制定网络巡查制度，定期开展网络巡查，紧盯春节、五一、国庆、中秋、“双11”、元旦促销重点时段，加大巡查频率，对巡查情况及时记录，对涉嫌违规行为及时移交相关部门查处。</w:t>
            </w:r>
          </w:p>
          <w:p w14:paraId="7319C1D0">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2.推进亮证亮标。</w:t>
            </w:r>
            <w:r>
              <w:rPr>
                <w:rFonts w:hint="eastAsia" w:ascii="仿宋" w:hAnsi="仿宋" w:eastAsia="仿宋" w:cs="Times New Roman"/>
                <w:sz w:val="24"/>
                <w:szCs w:val="24"/>
              </w:rPr>
              <w:t>利用市场巡查、集中培训、企业信息年报等契机，对市域内网站进行全面指导，广泛宣传《网络交易管理办法》《互联网广告管理办法》等法律法规，指导企业完善涉网经营信息，落实网店实名制，申请电子营业执照链接标识，主动亮明其合法经营资格。</w:t>
            </w:r>
          </w:p>
          <w:p w14:paraId="53A18B94">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3.强化行政指导。</w:t>
            </w:r>
            <w:r>
              <w:rPr>
                <w:rFonts w:hint="eastAsia" w:ascii="仿宋" w:hAnsi="仿宋" w:eastAsia="仿宋" w:cs="Times New Roman"/>
                <w:sz w:val="24"/>
                <w:szCs w:val="24"/>
              </w:rPr>
              <w:t>对在检查中发现的轻微违规行为，以约谈、警示的方式告知网站经营者限期改正，引导网络经营主体履行法定义务。</w:t>
            </w:r>
          </w:p>
          <w:p w14:paraId="48CA4EB5">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4.推进“信息管网”。</w:t>
            </w:r>
            <w:r>
              <w:rPr>
                <w:rFonts w:hint="eastAsia" w:ascii="仿宋" w:hAnsi="仿宋" w:eastAsia="仿宋" w:cs="Times New Roman"/>
                <w:sz w:val="24"/>
                <w:szCs w:val="24"/>
              </w:rPr>
              <w:t>依托企业信用信息公示系统，强化网络经营企业信息公示责任；发挥“守合同、重信用”信息公示制度作用，及时披露经营异常名录、严重违法企业名单等，及时将网络经营者的行为处罚记录信用档案，实现网络违法经营者“一处违法，处处受限”。</w:t>
            </w:r>
          </w:p>
          <w:p w14:paraId="5116692D">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5.严格执法监管。</w:t>
            </w:r>
            <w:r>
              <w:rPr>
                <w:rFonts w:hint="eastAsia" w:ascii="仿宋" w:hAnsi="仿宋" w:eastAsia="仿宋" w:cs="Times New Roman"/>
                <w:sz w:val="24"/>
                <w:szCs w:val="24"/>
              </w:rPr>
              <w:t>以“出重拳、打违法、树形象”为抓手，加强对互联网广告的监测监管，加大对网络虚假违法广告、引人误解的虚假宣传、诋毁他人商业信誉等违法行为的查处力度，打开网络市场监管突破口，震慑违规网站开办者和经营者。</w:t>
            </w:r>
          </w:p>
          <w:p w14:paraId="49CC54F4">
            <w:pPr>
              <w:spacing w:line="300" w:lineRule="exact"/>
              <w:ind w:firstLine="482" w:firstLineChars="200"/>
              <w:jc w:val="left"/>
              <w:rPr>
                <w:rFonts w:ascii="黑体" w:hAnsi="黑体" w:eastAsia="黑体" w:cs="Times New Roman"/>
                <w:sz w:val="24"/>
                <w:szCs w:val="24"/>
              </w:rPr>
            </w:pPr>
            <w:r>
              <w:rPr>
                <w:rFonts w:hint="eastAsia" w:ascii="仿宋" w:hAnsi="仿宋" w:eastAsia="仿宋" w:cs="Times New Roman"/>
                <w:b/>
                <w:sz w:val="24"/>
                <w:szCs w:val="24"/>
              </w:rPr>
              <w:t>6.加强网络维权。</w:t>
            </w:r>
            <w:r>
              <w:rPr>
                <w:rFonts w:hint="eastAsia" w:ascii="仿宋" w:hAnsi="仿宋" w:eastAsia="仿宋" w:cs="Times New Roman"/>
                <w:sz w:val="24"/>
                <w:szCs w:val="24"/>
              </w:rPr>
              <w:t>以“12315”投诉举报平台为基础，加强网络消费纠纷的调解，积极处理网诉，对欺诈消费者行为依法依规移交查处，建立网购消费预警机制，及时发布消费提示、警示、促进消费投诉公开、加强消费引导。</w:t>
            </w:r>
          </w:p>
        </w:tc>
      </w:tr>
    </w:tbl>
    <w:p w14:paraId="2012E8FA">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加强合同行政监管。</w:t>
      </w:r>
      <w:r>
        <w:rPr>
          <w:rFonts w:hint="eastAsia" w:ascii="Calibri" w:hAnsi="Calibri" w:eastAsia="仿宋_GB2312" w:cs="Times New Roman"/>
          <w:sz w:val="32"/>
          <w:szCs w:val="24"/>
        </w:rPr>
        <w:t>适应新形势下合同行政监管的要求，厘清职责，依法监管，以信用监管为主要手段，全面实施线上线下一体化监管，维护国家利益和社会公共利益。以动产抵押登记为切入口，强化服务能力，促进经济社会发展。宣传推广全国市场监管动产抵押登记业务系统，全市系统线上办理率达到95%以上，实行零见面、一次办、一次清。针对商务活动逐步向线上发展的特点，将监管的重点从传统的线下转为线上。对线上重点领域利用合同格式条款侵害消费者权益的违法行为进行专项整治，加大社会参与度、影响面。对已经开展过专项整治的重点行业和领域的合同格式条款，适时采取回头看的方式，检查督促整改到位。深入开展合同帮农工作，巩固成绩，建立长效机制，防范化解生产经营风险，维护农民权益。加强合同行政指导，创新合同示范文本推广工作，鼓励基层因地制宜、研究制定符合本地实际的合同范本，指导帮助依法规范订立合同、履行合同，促进社会诚信建设。</w:t>
      </w:r>
    </w:p>
    <w:p w14:paraId="5F5E199C">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加强广告监管。</w:t>
      </w:r>
      <w:r>
        <w:rPr>
          <w:rFonts w:hint="eastAsia" w:ascii="Calibri" w:hAnsi="Calibri" w:eastAsia="仿宋_GB2312" w:cs="Times New Roman"/>
          <w:sz w:val="32"/>
          <w:szCs w:val="24"/>
        </w:rPr>
        <w:t>认真贯彻落实习近平总书记“广告宣传也要讲导向”的重要指示精神，坚持正确的政治方向、舆论导向和价值取向，不断强化广告导向监管。建立健全广告监测体系、制度、标准，全面提升广告监测水平和效能。加大执法办案力度，将药品、医药器械、食品保健品、美容化妆品、金融理财、汽车房地产、旅游服务、教育培训等关系人民群众健康安全和财产安全的广告作为重点领域，将互联网、广播电视、报刊、大型电子显示屏等作为重点媒介，将车站、高速公路、城乡结合部等作为重点地区，大力开展虚假违法广告专项整治，持续保持高压态势。按照“四个最严”要求，做好“三品一械”广告审查工作。创新监管方式，按照源头防控、常态监测、分级负责、标本兼治、综合治理、突出重点、常态长效的总体要求，坚持依法监管、从严监管、智慧监管、信用监管、协同监管，构建政府领导、部门监管、企业自治、行业自律、社会监督的治理体系，形成齐抓共管、综合施策、协同共治新格局，有效遏制违法行为，有力维护市场秩序。</w:t>
      </w:r>
    </w:p>
    <w:p w14:paraId="4AA18B5C">
      <w:pPr>
        <w:pStyle w:val="3"/>
        <w:rPr>
          <w:rFonts w:ascii="楷体" w:hAnsi="楷体" w:eastAsia="楷体" w:cs="Times New Roman"/>
          <w:sz w:val="32"/>
          <w:szCs w:val="24"/>
        </w:rPr>
      </w:pPr>
      <w:bookmarkStart w:id="54" w:name="_Toc56587055"/>
      <w:bookmarkStart w:id="55" w:name="_Toc56586988"/>
      <w:r>
        <w:rPr>
          <w:rFonts w:hint="eastAsia" w:ascii="楷体" w:hAnsi="楷体" w:eastAsia="楷体" w:cs="Times New Roman"/>
          <w:sz w:val="32"/>
          <w:szCs w:val="24"/>
        </w:rPr>
        <w:t>（三）加大综合执法力度</w:t>
      </w:r>
      <w:bookmarkEnd w:id="54"/>
      <w:bookmarkEnd w:id="55"/>
    </w:p>
    <w:p w14:paraId="3BCC09D8">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完善公平竞争审查制度。</w:t>
      </w:r>
      <w:r>
        <w:rPr>
          <w:rFonts w:hint="eastAsia" w:ascii="Calibri" w:hAnsi="Calibri" w:eastAsia="仿宋_GB2312" w:cs="Times New Roman"/>
          <w:sz w:val="32"/>
          <w:szCs w:val="24"/>
        </w:rPr>
        <w:t>把规范和约束政府行为作为实施竞争政策的重要任务，完善并实施公平竞争审查制度，指导政策制定机关开展公平竞争审查和相关政策措施清理工作，保障公平竞争审查制度有序实施。推动产业政策从选择性向功能性转型，建立产业政策与竞争政策的协调机制。开展公平竞争审查制度效应分析，对政策制定机关开展的公平竞争审查成效进行跟踪评估，及时总结经验并发现问题，推动制度不断完善。建立公平竞争审查第三方评估制度，对已经出台的政策措施进行第三方评估，对不合理的政策安排进行相应调整完善。</w:t>
      </w:r>
    </w:p>
    <w:p w14:paraId="1D78EAA8">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加大综合执法范围。</w:t>
      </w:r>
      <w:r>
        <w:rPr>
          <w:rFonts w:hint="eastAsia" w:ascii="Calibri" w:hAnsi="Calibri" w:eastAsia="仿宋_GB2312" w:cs="Times New Roman"/>
          <w:sz w:val="32"/>
          <w:szCs w:val="24"/>
        </w:rPr>
        <w:t>依法查处滥用知识产权排除、限制竞争行为，依法制止滥用行政权力排除、限制竞争行为，保障市场公平竞争、维护经营者、消费者合法权益。针对经济发展中的突出问题，把公用企业、依法实行专营专卖的行业作为监管重点，加强对供水、供电、供气、烟草、邮政等行业的监管，严厉打击滥收费用、强迫交易、搭售商品、附加不合理交易条件等限制竞争和垄断行为。促进医疗、养老、教育、文化等民生领域公平竞争、健康发展。针对经济发展的新趋势，加强网络市场、分享经济以及高技术领域市场监管，制止滥用知识产权排除和限制竞争、阻碍创新行为。加强对与百姓生活密切相关的商品和服务价格垄断行为的监管。围绕优化环境，强化反不正当竞争执法。集中优势力量，保持并不断强化联合整治工作的压倒性态势。从保护产权、优化营商环境出发，重点解决市场混淆、虚假宣传、侵犯商业秘密等突出问题，查办公布一批典型案件，形成有力震慑和强大声势，切实维护公平竞争市场秩序。</w:t>
      </w:r>
    </w:p>
    <w:p w14:paraId="1A319E17">
      <w:pPr>
        <w:pStyle w:val="3"/>
        <w:rPr>
          <w:rFonts w:ascii="楷体" w:hAnsi="楷体" w:eastAsia="楷体" w:cs="Times New Roman"/>
          <w:sz w:val="32"/>
          <w:szCs w:val="24"/>
        </w:rPr>
      </w:pPr>
      <w:bookmarkStart w:id="56" w:name="_Toc56587056"/>
      <w:bookmarkStart w:id="57" w:name="_Toc56586989"/>
      <w:r>
        <w:rPr>
          <w:rFonts w:hint="eastAsia" w:ascii="楷体" w:hAnsi="楷体" w:eastAsia="楷体" w:cs="Times New Roman"/>
          <w:sz w:val="32"/>
          <w:szCs w:val="24"/>
        </w:rPr>
        <w:t>（四）全面加强综合执法体系建设</w:t>
      </w:r>
      <w:bookmarkEnd w:id="56"/>
      <w:bookmarkEnd w:id="57"/>
    </w:p>
    <w:p w14:paraId="3C12F664">
      <w:pPr>
        <w:ind w:firstLine="643" w:firstLineChars="200"/>
        <w:rPr>
          <w:rFonts w:ascii="Calibri" w:hAnsi="Calibri" w:eastAsia="仿宋_GB2312" w:cs="Times New Roman"/>
          <w:bCs/>
          <w:sz w:val="32"/>
          <w:szCs w:val="24"/>
        </w:rPr>
      </w:pPr>
      <w:r>
        <w:rPr>
          <w:rFonts w:hint="eastAsia" w:ascii="Calibri" w:hAnsi="Calibri" w:eastAsia="仿宋_GB2312" w:cs="Times New Roman"/>
          <w:b/>
          <w:sz w:val="32"/>
          <w:szCs w:val="24"/>
        </w:rPr>
        <w:t>推进市场监管法治建设。</w:t>
      </w:r>
      <w:r>
        <w:rPr>
          <w:rFonts w:hint="eastAsia" w:ascii="Calibri" w:hAnsi="Calibri" w:eastAsia="仿宋_GB2312" w:cs="Times New Roman"/>
          <w:bCs/>
          <w:sz w:val="32"/>
          <w:szCs w:val="24"/>
        </w:rPr>
        <w:t>推进执法规范公正，规范执法程序，推行执法文书电子化、执法案卷标准化、记录方式科学化、监督管理便利化。规范行使自由裁量权，严格依照法定权限和程序行使权力、履行职责，树立公正公平的执法权威。健全执法监督机制，严格落实行政执法责任制，强化行政复议决定的执行，纠正违法或不当行政行为。建立健全行政执法评议考核制度，加大社会评议权重，建立第三方评价机制，强化考评结果运用，提高考评的科学性、效能性和公正性，促进行政机关市场监管水平提高。推行执法公示制度，坚持公开为常态、不公开为例外的原则，提高执法公开化、信息化水平。</w:t>
      </w:r>
    </w:p>
    <w:p w14:paraId="3DA25D85">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理顺市场综合行政执法体制机制。</w:t>
      </w:r>
      <w:r>
        <w:rPr>
          <w:rFonts w:hint="eastAsia" w:ascii="Calibri" w:hAnsi="Calibri" w:eastAsia="仿宋_GB2312" w:cs="Times New Roman"/>
          <w:sz w:val="32"/>
          <w:szCs w:val="24"/>
        </w:rPr>
        <w:t>理顺纵向管理体制，科学合理界定各层级市场监管机构的监管事权和监管职责，强化上下联动，形成监管系统合力。加强机构内部横向协同，推进业务职能整合，完善各业务领域问题会商、工作协同、监管联动工作机制，发挥综合优势，强化综合治理，实现一门窗口审批、一个标准管辖、“一箱工具”综治、一套程序办案、一支队伍执法、一条热线维权。加强外部工作协调联动，按照“谁审批谁监管、谁主管谁监管”的原则，厘清平行部门工作职责，加强与行业主管部门、社会组织、新闻媒体等各方协调联动，强化企业主体责任，积极推进社会共治，着力构建统一、权威、高效的市场监管体系。</w:t>
      </w:r>
    </w:p>
    <w:tbl>
      <w:tblPr>
        <w:tblStyle w:val="15"/>
        <w:tblW w:w="7762"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2"/>
      </w:tblGrid>
      <w:tr w14:paraId="0FB06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7762" w:type="dxa"/>
            <w:tcBorders>
              <w:bottom w:val="single" w:color="auto" w:sz="4" w:space="0"/>
            </w:tcBorders>
          </w:tcPr>
          <w:p w14:paraId="31004BA5">
            <w:pPr>
              <w:spacing w:line="276" w:lineRule="auto"/>
              <w:ind w:firstLine="480" w:firstLineChars="200"/>
              <w:jc w:val="center"/>
              <w:rPr>
                <w:rFonts w:ascii="Calibri" w:hAnsi="Calibri" w:eastAsia="仿宋_GB2312" w:cs="Times New Roman"/>
                <w:sz w:val="32"/>
                <w:szCs w:val="24"/>
              </w:rPr>
            </w:pPr>
            <w:r>
              <w:rPr>
                <w:rFonts w:hint="eastAsia" w:ascii="黑体" w:hAnsi="黑体" w:eastAsia="黑体" w:cs="Times New Roman"/>
                <w:sz w:val="24"/>
                <w:szCs w:val="24"/>
              </w:rPr>
              <w:t>专栏  理顺市场综合行政执法体制机制“三举措”</w:t>
            </w:r>
          </w:p>
        </w:tc>
      </w:tr>
      <w:tr w14:paraId="7F0D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 w:hRule="atLeast"/>
        </w:trPr>
        <w:tc>
          <w:tcPr>
            <w:tcW w:w="7762" w:type="dxa"/>
            <w:tcBorders>
              <w:top w:val="single" w:color="auto" w:sz="4" w:space="0"/>
            </w:tcBorders>
          </w:tcPr>
          <w:p w14:paraId="77C5FBB9">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1.整合执法资源，执法力量握指成拳。</w:t>
            </w:r>
            <w:r>
              <w:rPr>
                <w:rFonts w:hint="eastAsia" w:ascii="仿宋" w:hAnsi="仿宋" w:eastAsia="仿宋" w:cs="Times New Roman"/>
                <w:sz w:val="24"/>
                <w:szCs w:val="24"/>
              </w:rPr>
              <w:t>将原市食品药品稽查大队、质量技术监督局稽查队、工商行政管理局等执法队伍予以整合，组建市市场监督管理执法大队，统一行使市场监管领域行政执法权，避免多头执法、重复执法等问题。全面推行“一窗式”和“一号式”受理服务工作模式，积极搭建“一门受理、集中查处、协同调解”的消费维权平台，形成统一调度指挥、快速应急处置，有效推进日常用品质量、食品药品安全、公共服务领域等消费维权行动，畅通消费维权和投诉处置通道，提高办事效率和服务水平。</w:t>
            </w:r>
          </w:p>
          <w:p w14:paraId="55BB4677">
            <w:pPr>
              <w:spacing w:line="300" w:lineRule="exact"/>
              <w:ind w:firstLine="482" w:firstLineChars="200"/>
              <w:jc w:val="left"/>
              <w:rPr>
                <w:rFonts w:ascii="仿宋" w:hAnsi="仿宋" w:eastAsia="仿宋" w:cs="Times New Roman"/>
                <w:sz w:val="24"/>
                <w:szCs w:val="24"/>
              </w:rPr>
            </w:pPr>
            <w:r>
              <w:rPr>
                <w:rFonts w:hint="eastAsia" w:ascii="仿宋" w:hAnsi="仿宋" w:eastAsia="仿宋" w:cs="Times New Roman"/>
                <w:b/>
                <w:sz w:val="24"/>
                <w:szCs w:val="24"/>
              </w:rPr>
              <w:t>2.注重队伍建设，执法行为逐步规范。</w:t>
            </w:r>
            <w:r>
              <w:rPr>
                <w:rFonts w:hint="eastAsia" w:ascii="仿宋" w:hAnsi="仿宋" w:eastAsia="仿宋" w:cs="Times New Roman"/>
                <w:sz w:val="24"/>
                <w:szCs w:val="24"/>
              </w:rPr>
              <w:t xml:space="preserve">一是加强培训。邀请上级部门业务骨干讲解新修订的《食品安全法》《广告法》《行政诉讼法》《药品管理法》《特种设备安全法》及监管实务等内容，不断提升执法人员业务素养和执法工作水平。二是加强演练。日常工作中，要通过桌面演练、联合执法、日常巡查等方式，重点围绕食品经营、四品一械、特种设备监管和执法办案等不断加强执法工作力度，以实践促进业务能力提升。 </w:t>
            </w:r>
          </w:p>
          <w:p w14:paraId="3DFD5685">
            <w:pPr>
              <w:spacing w:line="300" w:lineRule="exact"/>
              <w:ind w:firstLine="482" w:firstLineChars="200"/>
              <w:jc w:val="left"/>
              <w:rPr>
                <w:rFonts w:ascii="黑体" w:hAnsi="黑体" w:eastAsia="黑体" w:cs="Times New Roman"/>
                <w:sz w:val="24"/>
                <w:szCs w:val="24"/>
              </w:rPr>
            </w:pPr>
            <w:r>
              <w:rPr>
                <w:rFonts w:hint="eastAsia" w:ascii="仿宋" w:hAnsi="仿宋" w:eastAsia="仿宋" w:cs="Times New Roman"/>
                <w:b/>
                <w:sz w:val="24"/>
                <w:szCs w:val="24"/>
              </w:rPr>
              <w:t>3.加大执法力度，执法效能不断提升。</w:t>
            </w:r>
            <w:r>
              <w:rPr>
                <w:rFonts w:hint="eastAsia" w:ascii="仿宋" w:hAnsi="仿宋" w:eastAsia="仿宋" w:cs="Times New Roman"/>
                <w:sz w:val="24"/>
                <w:szCs w:val="24"/>
              </w:rPr>
              <w:t>不断加大违法违规案件的执法力度，重点开展查处酒类、医疗器械等专项整治，组织开展特种设备安全百日行动、电梯安全大检查、特种设备安全大检查等行动，根据全市行业发展状况，组织开展农资产品、网络交易市场、虚假广告宣传、合同监管等专项整治，严厉打击制售假冒伪劣产商品和侵犯知识产权违法行为。同时拓宽案件线索来源，积极办理群众投诉举报，坚持“有诉必接、有接必查、有查必果、有果必复”，把投诉举报案件的查处作为维护消费者利益的重要方式抓紧抓好，保护好群众的合法权益。</w:t>
            </w:r>
          </w:p>
        </w:tc>
      </w:tr>
    </w:tbl>
    <w:p w14:paraId="6010F307">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规范执法行为。</w:t>
      </w:r>
      <w:r>
        <w:rPr>
          <w:rFonts w:hint="eastAsia" w:ascii="Calibri" w:hAnsi="Calibri" w:eastAsia="仿宋_GB2312" w:cs="Times New Roman"/>
          <w:sz w:val="32"/>
          <w:szCs w:val="24"/>
        </w:rPr>
        <w:t>全面推行行政执法公示制度、执法全过程记录制度、重大执法决定法制审核制度，公开执法职责、执法依据、执法标准、执法程序、监督途径、执法结果，提高市场监管执法规范化水平。强化对市市场监管部门综合行政执法的执法监督，实行执法监督制度、督办制度、责任追究制度和错案纠错制度，发现市场监管部门有案不查、查案不力、越权管辖、违法办案的，会同同级纪检监察部门建议有关部门追究党纪、政纪责任，触犯刑律的，移交司法部门处理，建立行刑衔接机制，切实解决有案不移、有案件难移、以罚代刑等问题。</w:t>
      </w:r>
    </w:p>
    <w:p w14:paraId="6647E72C">
      <w:pPr>
        <w:pStyle w:val="2"/>
        <w:rPr>
          <w:rFonts w:ascii="黑体" w:hAnsi="黑体" w:eastAsia="黑体" w:cs="Times New Roman"/>
          <w:szCs w:val="24"/>
        </w:rPr>
      </w:pPr>
      <w:bookmarkStart w:id="58" w:name="_Toc56587057"/>
      <w:bookmarkStart w:id="59" w:name="_Toc63151496"/>
      <w:r>
        <w:rPr>
          <w:rFonts w:hint="eastAsia" w:ascii="黑体" w:hAnsi="黑体" w:eastAsia="黑体" w:cs="Times New Roman"/>
          <w:szCs w:val="24"/>
        </w:rPr>
        <w:t>三、遵循“四个最严”要求，打造安全放心的消费环境</w:t>
      </w:r>
      <w:bookmarkEnd w:id="58"/>
      <w:bookmarkEnd w:id="59"/>
    </w:p>
    <w:p w14:paraId="50E280B9">
      <w:pPr>
        <w:ind w:firstLine="640" w:firstLineChars="200"/>
        <w:rPr>
          <w:rFonts w:ascii="Calibri" w:hAnsi="Calibri" w:eastAsia="仿宋_GB2312" w:cs="Times New Roman"/>
          <w:sz w:val="32"/>
          <w:szCs w:val="24"/>
        </w:rPr>
      </w:pPr>
      <w:r>
        <w:rPr>
          <w:rFonts w:hint="eastAsia" w:ascii="Calibri" w:hAnsi="Calibri" w:eastAsia="仿宋_GB2312" w:cs="Times New Roman"/>
          <w:sz w:val="32"/>
          <w:szCs w:val="24"/>
        </w:rPr>
        <w:t>落实最严厉处罚、最严肃问责、最严格监管和最严谨标准，夯实企业责任，加大违法成本，震慑违法行为，构建让老百姓放心安全的消费市场。</w:t>
      </w:r>
    </w:p>
    <w:p w14:paraId="6E020334">
      <w:pPr>
        <w:pStyle w:val="3"/>
        <w:rPr>
          <w:rFonts w:ascii="楷体" w:hAnsi="楷体" w:eastAsia="楷体" w:cs="Times New Roman"/>
          <w:color w:val="000000" w:themeColor="text1"/>
          <w:sz w:val="32"/>
          <w:szCs w:val="24"/>
          <w14:textFill>
            <w14:solidFill>
              <w14:schemeClr w14:val="tx1"/>
            </w14:solidFill>
          </w14:textFill>
        </w:rPr>
      </w:pPr>
      <w:bookmarkStart w:id="60" w:name="_Toc56586991"/>
      <w:bookmarkStart w:id="61" w:name="_Toc56587058"/>
      <w:r>
        <w:rPr>
          <w:rFonts w:hint="eastAsia" w:ascii="楷体" w:hAnsi="楷体" w:eastAsia="楷体" w:cs="Times New Roman"/>
          <w:sz w:val="32"/>
          <w:szCs w:val="24"/>
        </w:rPr>
        <w:t>（一</w:t>
      </w:r>
      <w:r>
        <w:rPr>
          <w:rFonts w:hint="eastAsia" w:ascii="楷体" w:hAnsi="楷体" w:eastAsia="楷体" w:cs="Times New Roman"/>
          <w:color w:val="000000" w:themeColor="text1"/>
          <w:sz w:val="32"/>
          <w:szCs w:val="24"/>
          <w14:textFill>
            <w14:solidFill>
              <w14:schemeClr w14:val="tx1"/>
            </w14:solidFill>
          </w14:textFill>
        </w:rPr>
        <w:t>）</w:t>
      </w:r>
      <w:r>
        <w:rPr>
          <w:rFonts w:hint="eastAsia" w:ascii="Calibri" w:hAnsi="Calibri" w:eastAsia="楷体" w:cs="Times New Roman"/>
          <w:color w:val="000000" w:themeColor="text1"/>
          <w:sz w:val="32"/>
          <w:szCs w:val="24"/>
          <w14:textFill>
            <w14:solidFill>
              <w14:schemeClr w14:val="tx1"/>
            </w14:solidFill>
          </w14:textFill>
        </w:rPr>
        <w:t>推</w:t>
      </w:r>
      <w:bookmarkEnd w:id="60"/>
      <w:bookmarkEnd w:id="61"/>
      <w:r>
        <w:rPr>
          <w:rFonts w:hint="eastAsia" w:ascii="楷体" w:hAnsi="楷体" w:eastAsia="楷体" w:cs="Times New Roman"/>
          <w:color w:val="000000" w:themeColor="text1"/>
          <w:sz w:val="32"/>
          <w:szCs w:val="24"/>
          <w14:textFill>
            <w14:solidFill>
              <w14:schemeClr w14:val="tx1"/>
            </w14:solidFill>
          </w14:textFill>
        </w:rPr>
        <w:t>进国家食品安全示范城市建设</w:t>
      </w:r>
    </w:p>
    <w:p w14:paraId="428F0E1D">
      <w:pPr>
        <w:ind w:firstLine="640" w:firstLineChars="200"/>
        <w:rPr>
          <w:rFonts w:ascii="Calibri" w:hAnsi="Calibri" w:eastAsia="仿宋_GB2312" w:cs="Times New Roman"/>
          <w:sz w:val="32"/>
          <w:szCs w:val="24"/>
        </w:rPr>
      </w:pPr>
      <w:r>
        <w:rPr>
          <w:rFonts w:hint="eastAsia" w:ascii="Calibri" w:hAnsi="Calibri" w:eastAsia="仿宋_GB2312" w:cs="Times New Roman"/>
          <w:color w:val="000000" w:themeColor="text1"/>
          <w:sz w:val="32"/>
          <w:szCs w:val="24"/>
          <w14:textFill>
            <w14:solidFill>
              <w14:schemeClr w14:val="tx1"/>
            </w14:solidFill>
          </w14:textFill>
        </w:rPr>
        <w:t>深入贯彻落实中央《关于深化改革加强食品安全工作的意见》《地方党政领导干部食品安全责任制规定》和《安宁市党政领导干部食品安全责任清单》、《安宁市深化改革加强食品安全工作任务清单》意见精神，遵循“四个最严”要求，全面实施食品安全战略，深入推进国家食品安全示范城市建设，着力加强监管责任体系、产品追溯体系、食品安全信用体系建设，构建“从农田到餐桌”全过程、全链条监管机制，提升食品安全治理能力，推动产业高质量发展，让人</w:t>
      </w:r>
      <w:r>
        <w:rPr>
          <w:rFonts w:hint="eastAsia" w:ascii="Calibri" w:hAnsi="Calibri" w:eastAsia="仿宋_GB2312" w:cs="Times New Roman"/>
          <w:sz w:val="32"/>
          <w:szCs w:val="24"/>
        </w:rPr>
        <w:t>民群众吃得安全、吃得健康、吃得放心。</w:t>
      </w:r>
    </w:p>
    <w:p w14:paraId="15F00277">
      <w:pPr>
        <w:ind w:firstLine="643" w:firstLineChars="200"/>
        <w:rPr>
          <w:rFonts w:ascii="Calibri" w:hAnsi="Calibri" w:eastAsia="仿宋_GB2312" w:cs="Times New Roman"/>
          <w:sz w:val="32"/>
          <w:szCs w:val="24"/>
          <w:highlight w:val="yellow"/>
        </w:rPr>
      </w:pPr>
      <w:r>
        <w:rPr>
          <w:rFonts w:hint="eastAsia" w:ascii="Calibri" w:hAnsi="Calibri" w:eastAsia="仿宋_GB2312" w:cs="Times New Roman"/>
          <w:b/>
          <w:bCs/>
          <w:sz w:val="32"/>
          <w:szCs w:val="24"/>
        </w:rPr>
        <w:t>强化食品生产经营规范化管理。</w:t>
      </w:r>
      <w:r>
        <w:rPr>
          <w:rFonts w:hint="eastAsia" w:ascii="Calibri" w:hAnsi="Calibri" w:eastAsia="仿宋_GB2312" w:cs="Times New Roman"/>
          <w:sz w:val="32"/>
          <w:szCs w:val="24"/>
        </w:rPr>
        <w:t>督促食品生产经营企业严格按照批准的工艺和事项依法组织生产经营，积极鼓励生产企业符合良好生产规范，实施危害分析与关键控制点体系，提高食品安全管理水平。建立完善打击危害食品安全违法犯罪行刑衔接、案件会商、联合督办等制度，制定食品安全工作责任清单和食品安全监管事权清单。严把食品加工质量安全关，实行食品生产经营单位安全风险分级管理，落实“处罚到人”要求，落实生产经营者主体责任，综合运用各种法律手段，严厉打击违法犯罪。推进食品工业企业诚信体系建设，加大对失信人员联合惩戒力度。改革许可认证制度，减少制度性交易成本。深化食品生产许可改革，优化许可程序，实现全程电子化。</w:t>
      </w:r>
    </w:p>
    <w:p w14:paraId="1547D5C8">
      <w:pPr>
        <w:ind w:firstLine="643" w:firstLineChars="200"/>
        <w:rPr>
          <w:rFonts w:ascii="Calibri" w:hAnsi="Calibri" w:eastAsia="仿宋_GB2312" w:cs="Times New Roman"/>
          <w:sz w:val="32"/>
          <w:szCs w:val="24"/>
        </w:rPr>
      </w:pPr>
      <w:r>
        <w:rPr>
          <w:rFonts w:hint="eastAsia" w:ascii="Calibri" w:hAnsi="Calibri" w:eastAsia="仿宋_GB2312" w:cs="Times New Roman"/>
          <w:b/>
          <w:bCs/>
          <w:sz w:val="32"/>
          <w:szCs w:val="24"/>
        </w:rPr>
        <w:t>推进食品安全监管检查体制机制改革。</w:t>
      </w:r>
      <w:r>
        <w:rPr>
          <w:rFonts w:hint="eastAsia" w:ascii="Calibri" w:hAnsi="Calibri" w:eastAsia="仿宋_GB2312" w:cs="Times New Roman"/>
          <w:sz w:val="32"/>
          <w:szCs w:val="24"/>
        </w:rPr>
        <w:t>从源头防范化解风险隐患，加快食品标准体系建设，完善餐饮服务食品安全日常监管、量化分级、风险分级相关制度，市级层面结合实际制定完善相关配套办法制度，形成科学完备的餐饮业质量安全监管体系。加快特殊食品安全系统建设和运用，探索运用“互联网+”、物联网等技术，逐步推动特殊食品安全监管“机器换人”，有效提高特殊食品安全信息化监管能力。加速建立一支与我市食品安全监管实际相适应的专业化职业化食品检查队伍。</w:t>
      </w:r>
    </w:p>
    <w:p w14:paraId="0890B312">
      <w:pPr>
        <w:ind w:firstLine="643" w:firstLineChars="200"/>
        <w:rPr>
          <w:rFonts w:ascii="Calibri" w:hAnsi="Calibri" w:eastAsia="仿宋_GB2312" w:cs="Times New Roman"/>
          <w:sz w:val="32"/>
          <w:szCs w:val="24"/>
        </w:rPr>
      </w:pPr>
      <w:r>
        <w:rPr>
          <w:rFonts w:hint="eastAsia" w:ascii="Calibri" w:hAnsi="Calibri" w:eastAsia="仿宋_GB2312" w:cs="Times New Roman"/>
          <w:b/>
          <w:bCs/>
          <w:sz w:val="32"/>
          <w:szCs w:val="24"/>
        </w:rPr>
        <w:t>健全食品安全风险预警机制。</w:t>
      </w:r>
      <w:r>
        <w:rPr>
          <w:rFonts w:hint="eastAsia" w:ascii="Calibri" w:hAnsi="Calibri" w:eastAsia="仿宋_GB2312" w:cs="Times New Roman"/>
          <w:sz w:val="32"/>
          <w:szCs w:val="24"/>
        </w:rPr>
        <w:t>夯实食品安全风险预警交流能力基础，强化食品风险预警分析和风险交流能力。加大抽检监测力度，更加突出问题导向，监督抽检、风险监测和评价性抽检三种抽检的定位更加清晰，提高食品安全抽检监测工作科学性和规范性，提升智慧抽检监测水平。每年至少组织开展一次食品安全应急演练，确保对突发群事件的处置快速反应、快速平息</w:t>
      </w:r>
    </w:p>
    <w:p w14:paraId="5E66FC39">
      <w:pPr>
        <w:ind w:firstLine="643" w:firstLineChars="200"/>
        <w:rPr>
          <w:rFonts w:ascii="Calibri" w:hAnsi="Calibri" w:eastAsia="仿宋_GB2312" w:cs="Times New Roman"/>
          <w:b/>
          <w:bCs/>
          <w:sz w:val="32"/>
          <w:szCs w:val="24"/>
        </w:rPr>
      </w:pPr>
      <w:r>
        <w:rPr>
          <w:rFonts w:hint="eastAsia" w:ascii="Calibri" w:hAnsi="Calibri" w:eastAsia="仿宋_GB2312" w:cs="Times New Roman"/>
          <w:b/>
          <w:bCs/>
          <w:sz w:val="32"/>
          <w:szCs w:val="24"/>
        </w:rPr>
        <w:t>加强农村食品安全整治力度。</w:t>
      </w:r>
      <w:r>
        <w:rPr>
          <w:rFonts w:hint="eastAsia" w:ascii="Calibri" w:hAnsi="Calibri" w:eastAsia="仿宋_GB2312" w:cs="Times New Roman"/>
          <w:sz w:val="32"/>
          <w:szCs w:val="24"/>
        </w:rPr>
        <w:t>引导城市连锁店和大型食品批发经营单位向农村地区统一配送食品，延伸发展连锁经营模式的“农家店”，构建新型农村食品流通网络，满足农民消费需求，基本消除无证无照生产经营和生产经营“三无”食品违法行为，改善农村消费环境。加强农村客堂建设，统一配备冰箱，强化自办宴席流程监管，主办村民需签订《安宁市农村自办宴席食品安全承诺书》。加强对</w:t>
      </w:r>
      <w:r>
        <w:rPr>
          <w:rFonts w:ascii="Calibri" w:hAnsi="Calibri" w:eastAsia="仿宋_GB2312" w:cs="Times New Roman"/>
          <w:sz w:val="32"/>
          <w:szCs w:val="24"/>
        </w:rPr>
        <w:t>农村客堂自办宴席加工场所、厨师、原料采购、食品加工操作</w:t>
      </w:r>
      <w:r>
        <w:rPr>
          <w:rFonts w:hint="eastAsia" w:ascii="Calibri" w:hAnsi="Calibri" w:eastAsia="仿宋_GB2312" w:cs="Times New Roman"/>
          <w:sz w:val="32"/>
          <w:szCs w:val="24"/>
        </w:rPr>
        <w:t>的培训</w:t>
      </w:r>
      <w:r>
        <w:rPr>
          <w:rFonts w:ascii="Calibri" w:hAnsi="Calibri" w:eastAsia="仿宋_GB2312" w:cs="Times New Roman"/>
          <w:sz w:val="32"/>
          <w:szCs w:val="24"/>
        </w:rPr>
        <w:t>，</w:t>
      </w:r>
      <w:r>
        <w:rPr>
          <w:rFonts w:hint="eastAsia" w:ascii="Calibri" w:hAnsi="Calibri" w:eastAsia="仿宋_GB2312" w:cs="Times New Roman"/>
          <w:sz w:val="32"/>
          <w:szCs w:val="24"/>
        </w:rPr>
        <w:t>确保</w:t>
      </w:r>
      <w:r>
        <w:rPr>
          <w:rFonts w:ascii="Calibri" w:hAnsi="Calibri" w:eastAsia="仿宋_GB2312" w:cs="Times New Roman"/>
          <w:sz w:val="32"/>
          <w:szCs w:val="24"/>
        </w:rPr>
        <w:t>不加工腐败变质、超过保质期和病死毒死禽畜肉及鱼类，</w:t>
      </w:r>
      <w:r>
        <w:rPr>
          <w:rFonts w:hint="eastAsia" w:ascii="Calibri" w:hAnsi="Calibri" w:eastAsia="仿宋_GB2312" w:cs="Times New Roman"/>
          <w:sz w:val="32"/>
          <w:szCs w:val="24"/>
        </w:rPr>
        <w:t>保障农村自办宴席食品安全。</w:t>
      </w:r>
    </w:p>
    <w:tbl>
      <w:tblPr>
        <w:tblStyle w:val="15"/>
        <w:tblW w:w="833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30"/>
      </w:tblGrid>
      <w:tr w14:paraId="64A6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trPr>
        <w:tc>
          <w:tcPr>
            <w:tcW w:w="8330" w:type="dxa"/>
            <w:tcBorders>
              <w:bottom w:val="single" w:color="auto" w:sz="4" w:space="0"/>
            </w:tcBorders>
          </w:tcPr>
          <w:p w14:paraId="42B53F69">
            <w:pPr>
              <w:spacing w:line="276" w:lineRule="auto"/>
              <w:ind w:firstLine="480" w:firstLineChars="200"/>
              <w:jc w:val="center"/>
              <w:rPr>
                <w:rFonts w:ascii="Calibri" w:hAnsi="Calibri" w:eastAsia="仿宋_GB2312" w:cs="Times New Roman"/>
                <w:sz w:val="32"/>
                <w:szCs w:val="24"/>
              </w:rPr>
            </w:pPr>
            <w:r>
              <w:rPr>
                <w:rFonts w:hint="eastAsia" w:ascii="黑体" w:hAnsi="黑体" w:eastAsia="黑体" w:cs="Times New Roman"/>
                <w:sz w:val="24"/>
                <w:szCs w:val="24"/>
              </w:rPr>
              <w:t>专栏  食品安全</w:t>
            </w:r>
            <w:r>
              <w:rPr>
                <w:rFonts w:hint="eastAsia" w:ascii="黑体" w:hAnsi="黑体" w:eastAsia="黑体" w:cs="Times New Roman"/>
                <w:color w:val="000000" w:themeColor="text1"/>
                <w:sz w:val="24"/>
                <w:szCs w:val="24"/>
                <w14:textFill>
                  <w14:solidFill>
                    <w14:schemeClr w14:val="tx1"/>
                  </w14:solidFill>
                </w14:textFill>
              </w:rPr>
              <w:t>工程</w:t>
            </w:r>
          </w:p>
        </w:tc>
      </w:tr>
      <w:tr w14:paraId="57F8F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1" w:hRule="atLeast"/>
        </w:trPr>
        <w:tc>
          <w:tcPr>
            <w:tcW w:w="8330" w:type="dxa"/>
            <w:tcBorders>
              <w:top w:val="single" w:color="auto" w:sz="4" w:space="0"/>
            </w:tcBorders>
          </w:tcPr>
          <w:p w14:paraId="294944EA">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1.</w:t>
            </w:r>
            <w:r>
              <w:rPr>
                <w:rFonts w:ascii="仿宋" w:hAnsi="仿宋" w:eastAsia="仿宋" w:cs="Times New Roman"/>
                <w:b/>
                <w:color w:val="000000" w:themeColor="text1"/>
                <w:sz w:val="24"/>
                <w:szCs w:val="24"/>
                <w14:textFill>
                  <w14:solidFill>
                    <w14:schemeClr w14:val="tx1"/>
                  </w14:solidFill>
                </w14:textFill>
              </w:rPr>
              <w:t>食品安全抽检</w:t>
            </w:r>
            <w:r>
              <w:rPr>
                <w:rFonts w:hint="eastAsia" w:ascii="仿宋" w:hAnsi="仿宋" w:eastAsia="仿宋" w:cs="Times New Roman"/>
                <w:b/>
                <w:color w:val="000000" w:themeColor="text1"/>
                <w:sz w:val="24"/>
                <w:szCs w:val="24"/>
                <w14:textFill>
                  <w14:solidFill>
                    <w14:schemeClr w14:val="tx1"/>
                  </w14:solidFill>
                </w14:textFill>
              </w:rPr>
              <w:t>工程。</w:t>
            </w:r>
            <w:r>
              <w:rPr>
                <w:rFonts w:hint="eastAsia" w:ascii="仿宋" w:hAnsi="仿宋" w:eastAsia="仿宋" w:cs="Times New Roman"/>
                <w:color w:val="000000" w:themeColor="text1"/>
                <w:sz w:val="24"/>
                <w:szCs w:val="24"/>
                <w14:textFill>
                  <w14:solidFill>
                    <w14:schemeClr w14:val="tx1"/>
                  </w14:solidFill>
                </w14:textFill>
              </w:rPr>
              <w:t>基于风险分析和供应链管理的食品安全监管体系初步建立，农产品和食品抽检量稳定在5批次/千人以上，主要农产品质量安全监测总体合格率稳定在97%以上，食品评价性抽检合格率稳定在98%以上。</w:t>
            </w:r>
          </w:p>
          <w:p w14:paraId="7A6545AF">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2.</w:t>
            </w:r>
            <w:r>
              <w:rPr>
                <w:rFonts w:ascii="仿宋" w:hAnsi="仿宋" w:eastAsia="仿宋" w:cs="Times New Roman"/>
                <w:b/>
                <w:color w:val="000000" w:themeColor="text1"/>
                <w:sz w:val="24"/>
                <w:szCs w:val="24"/>
                <w14:textFill>
                  <w14:solidFill>
                    <w14:schemeClr w14:val="tx1"/>
                  </w14:solidFill>
                </w14:textFill>
              </w:rPr>
              <w:t>食品安全监管和技术支撑</w:t>
            </w:r>
            <w:r>
              <w:rPr>
                <w:rFonts w:hint="eastAsia" w:ascii="仿宋" w:hAnsi="仿宋" w:eastAsia="仿宋" w:cs="Times New Roman"/>
                <w:b/>
                <w:color w:val="000000" w:themeColor="text1"/>
                <w:sz w:val="24"/>
                <w:szCs w:val="24"/>
                <w14:textFill>
                  <w14:solidFill>
                    <w14:schemeClr w14:val="tx1"/>
                  </w14:solidFill>
                </w14:textFill>
              </w:rPr>
              <w:t>工程。</w:t>
            </w:r>
            <w:r>
              <w:rPr>
                <w:rFonts w:hint="eastAsia" w:ascii="仿宋" w:hAnsi="仿宋" w:eastAsia="仿宋" w:cs="Times New Roman"/>
                <w:color w:val="000000" w:themeColor="text1"/>
                <w:sz w:val="24"/>
                <w:szCs w:val="24"/>
                <w14:textFill>
                  <w14:solidFill>
                    <w14:schemeClr w14:val="tx1"/>
                  </w14:solidFill>
                </w14:textFill>
              </w:rPr>
              <w:t>探索建设</w:t>
            </w:r>
            <w:r>
              <w:rPr>
                <w:rFonts w:ascii="仿宋" w:hAnsi="仿宋" w:eastAsia="仿宋" w:cs="Times New Roman"/>
                <w:color w:val="000000" w:themeColor="text1"/>
                <w:sz w:val="24"/>
                <w:szCs w:val="24"/>
                <w14:textFill>
                  <w14:solidFill>
                    <w14:schemeClr w14:val="tx1"/>
                  </w14:solidFill>
                </w14:textFill>
              </w:rPr>
              <w:t>食品检验机构</w:t>
            </w:r>
            <w:r>
              <w:rPr>
                <w:rFonts w:hint="eastAsia" w:ascii="仿宋" w:hAnsi="仿宋" w:eastAsia="仿宋" w:cs="Times New Roman"/>
                <w:color w:val="000000" w:themeColor="text1"/>
                <w:sz w:val="24"/>
                <w:szCs w:val="24"/>
                <w14:textFill>
                  <w14:solidFill>
                    <w14:schemeClr w14:val="tx1"/>
                  </w14:solidFill>
                </w14:textFill>
              </w:rPr>
              <w:t>，综合考虑人口、面积、食品产业规模、检验需求量等各种因素，明确建设规模及建设标准，</w:t>
            </w:r>
            <w:r>
              <w:rPr>
                <w:rFonts w:ascii="仿宋" w:hAnsi="仿宋" w:eastAsia="仿宋" w:cs="Times New Roman"/>
                <w:color w:val="000000" w:themeColor="text1"/>
                <w:sz w:val="24"/>
                <w:szCs w:val="24"/>
                <w14:textFill>
                  <w14:solidFill>
                    <w14:schemeClr w14:val="tx1"/>
                  </w14:solidFill>
                </w14:textFill>
              </w:rPr>
              <w:t>建设一支专业化、职业化的检查队伍，全面提升食品安全监管能力</w:t>
            </w:r>
            <w:r>
              <w:rPr>
                <w:rFonts w:hint="eastAsia" w:ascii="仿宋" w:hAnsi="仿宋" w:eastAsia="仿宋" w:cs="Times New Roman"/>
                <w:color w:val="000000" w:themeColor="text1"/>
                <w:sz w:val="24"/>
                <w:szCs w:val="24"/>
                <w14:textFill>
                  <w14:solidFill>
                    <w14:schemeClr w14:val="tx1"/>
                  </w14:solidFill>
                </w14:textFill>
              </w:rPr>
              <w:t>。</w:t>
            </w:r>
          </w:p>
          <w:p w14:paraId="4F3C8955">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3.</w:t>
            </w:r>
            <w:r>
              <w:rPr>
                <w:rFonts w:ascii="仿宋" w:hAnsi="仿宋" w:eastAsia="仿宋" w:cs="Times New Roman"/>
                <w:b/>
                <w:color w:val="000000" w:themeColor="text1"/>
                <w:sz w:val="24"/>
                <w:szCs w:val="24"/>
                <w14:textFill>
                  <w14:solidFill>
                    <w14:schemeClr w14:val="tx1"/>
                  </w14:solidFill>
                </w14:textFill>
              </w:rPr>
              <w:t>食品安全智慧监管</w:t>
            </w:r>
            <w:r>
              <w:rPr>
                <w:rFonts w:hint="eastAsia" w:ascii="仿宋" w:hAnsi="仿宋" w:eastAsia="仿宋" w:cs="Times New Roman"/>
                <w:b/>
                <w:color w:val="000000" w:themeColor="text1"/>
                <w:sz w:val="24"/>
                <w:szCs w:val="24"/>
                <w14:textFill>
                  <w14:solidFill>
                    <w14:schemeClr w14:val="tx1"/>
                  </w14:solidFill>
                </w14:textFill>
              </w:rPr>
              <w:t>工程</w:t>
            </w:r>
            <w:r>
              <w:rPr>
                <w:rFonts w:ascii="仿宋" w:hAnsi="仿宋" w:eastAsia="仿宋" w:cs="Times New Roman"/>
                <w:b/>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完善“1+3+N”餐饮智慧监管系统的运行工作，将全市所有餐饮单位食品安全管理相关信息接入指挥中心系统，</w:t>
            </w:r>
            <w:r>
              <w:rPr>
                <w:rFonts w:ascii="仿宋" w:hAnsi="仿宋" w:eastAsia="仿宋" w:cs="Times New Roman"/>
                <w:color w:val="000000" w:themeColor="text1"/>
                <w:sz w:val="24"/>
                <w:szCs w:val="24"/>
                <w14:textFill>
                  <w14:solidFill>
                    <w14:schemeClr w14:val="tx1"/>
                  </w14:solidFill>
                </w14:textFill>
              </w:rPr>
              <w:t>利用</w:t>
            </w:r>
            <w:r>
              <w:rPr>
                <w:rFonts w:hint="eastAsia" w:ascii="仿宋" w:hAnsi="仿宋" w:eastAsia="仿宋" w:cs="Times New Roman"/>
                <w:color w:val="000000" w:themeColor="text1"/>
                <w:sz w:val="24"/>
                <w:szCs w:val="24"/>
                <w14:textFill>
                  <w14:solidFill>
                    <w14:schemeClr w14:val="tx1"/>
                  </w14:solidFill>
                </w14:textFill>
              </w:rPr>
              <w:t>指挥中心</w:t>
            </w:r>
            <w:r>
              <w:rPr>
                <w:rFonts w:ascii="仿宋" w:hAnsi="仿宋" w:eastAsia="仿宋" w:cs="Times New Roman"/>
                <w:color w:val="000000" w:themeColor="text1"/>
                <w:sz w:val="24"/>
                <w:szCs w:val="24"/>
                <w14:textFill>
                  <w14:solidFill>
                    <w14:schemeClr w14:val="tx1"/>
                  </w14:solidFill>
                </w14:textFill>
              </w:rPr>
              <w:t>对餐饮单位开展</w:t>
            </w:r>
            <w:r>
              <w:rPr>
                <w:rFonts w:hint="eastAsia" w:ascii="仿宋" w:hAnsi="仿宋" w:eastAsia="仿宋" w:cs="Times New Roman"/>
                <w:color w:val="000000" w:themeColor="text1"/>
                <w:sz w:val="24"/>
                <w:szCs w:val="24"/>
                <w14:textFill>
                  <w14:solidFill>
                    <w14:schemeClr w14:val="tx1"/>
                  </w14:solidFill>
                </w14:textFill>
              </w:rPr>
              <w:t>在线检查及实时指挥调度</w:t>
            </w:r>
            <w:r>
              <w:rPr>
                <w:rFonts w:ascii="仿宋" w:hAnsi="仿宋" w:eastAsia="仿宋" w:cs="Times New Roman"/>
                <w:color w:val="000000" w:themeColor="text1"/>
                <w:sz w:val="24"/>
                <w:szCs w:val="24"/>
                <w14:textFill>
                  <w14:solidFill>
                    <w14:schemeClr w14:val="tx1"/>
                  </w14:solidFill>
                </w14:textFill>
              </w:rPr>
              <w:t>。</w:t>
            </w:r>
          </w:p>
          <w:p w14:paraId="7FEA33FB">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5.打击食品安全犯罪工程。</w:t>
            </w:r>
            <w:r>
              <w:rPr>
                <w:rFonts w:hint="eastAsia" w:ascii="仿宋" w:hAnsi="仿宋" w:eastAsia="仿宋" w:cs="Times New Roman"/>
                <w:color w:val="000000" w:themeColor="text1"/>
                <w:sz w:val="24"/>
                <w:szCs w:val="24"/>
                <w14:textFill>
                  <w14:solidFill>
                    <w14:schemeClr w14:val="tx1"/>
                  </w14:solidFill>
                </w14:textFill>
              </w:rPr>
              <w:t>对涉及食品安全</w:t>
            </w:r>
            <w:r>
              <w:rPr>
                <w:rFonts w:ascii="仿宋" w:hAnsi="仿宋" w:eastAsia="仿宋" w:cs="Times New Roman"/>
                <w:color w:val="000000" w:themeColor="text1"/>
                <w:sz w:val="24"/>
                <w:szCs w:val="24"/>
                <w14:textFill>
                  <w14:solidFill>
                    <w14:schemeClr w14:val="tx1"/>
                  </w14:solidFill>
                </w14:textFill>
              </w:rPr>
              <w:t>刑事犯罪，情节严重、影响恶劣的危害食品安全刑事案件依法从重判罚。积极完善食品安全民事和行政公益诉讼，做好与民事和行政诉讼的衔接与配合，探索建立食品安全民事公益诉讼惩罚性赔偿制度。</w:t>
            </w:r>
          </w:p>
          <w:p w14:paraId="404C39AF">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6.食品安全统筹协调工程。</w:t>
            </w:r>
            <w:r>
              <w:rPr>
                <w:rFonts w:hint="eastAsia" w:ascii="仿宋" w:hAnsi="仿宋" w:eastAsia="仿宋" w:cs="Times New Roman"/>
                <w:color w:val="000000" w:themeColor="text1"/>
                <w:sz w:val="24"/>
                <w:szCs w:val="24"/>
                <w14:textFill>
                  <w14:solidFill>
                    <w14:schemeClr w14:val="tx1"/>
                  </w14:solidFill>
                </w14:textFill>
              </w:rPr>
              <w:t>加强对食品安全工作的统一领导和组织协调，坚持“抓统筹、补漏洞、填空白、强基层”，建立长效的食品安全监管体制机制；继续扎实做好国家食品安全示范城市创建工作，加强对各创建成员单位的督导检查，确保创建工作顺利推进；每年组织食品安全应急演练加强食品安全应急处置能力。</w:t>
            </w:r>
          </w:p>
          <w:p w14:paraId="13765956">
            <w:pPr>
              <w:spacing w:line="300" w:lineRule="exact"/>
              <w:ind w:firstLine="482" w:firstLineChars="200"/>
              <w:jc w:val="left"/>
              <w:rPr>
                <w:rFonts w:ascii="黑体" w:hAnsi="黑体" w:eastAsia="黑体"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7.食品安全示范城市创建工程。</w:t>
            </w:r>
            <w:r>
              <w:rPr>
                <w:rFonts w:hint="eastAsia" w:ascii="仿宋" w:hAnsi="仿宋" w:eastAsia="仿宋" w:cs="Times New Roman"/>
                <w:color w:val="000000" w:themeColor="text1"/>
                <w:sz w:val="24"/>
                <w:szCs w:val="24"/>
                <w14:textFill>
                  <w14:solidFill>
                    <w14:schemeClr w14:val="tx1"/>
                  </w14:solidFill>
                </w14:textFill>
              </w:rPr>
              <w:t>不断提升食品安全综合治理水平，推动国家食品安全城市创建。</w:t>
            </w:r>
          </w:p>
        </w:tc>
      </w:tr>
    </w:tbl>
    <w:p w14:paraId="69C4D2CB">
      <w:pPr>
        <w:spacing w:line="276" w:lineRule="auto"/>
        <w:ind w:firstLine="640" w:firstLineChars="200"/>
        <w:jc w:val="center"/>
        <w:rPr>
          <w:rFonts w:ascii="楷体" w:hAnsi="楷体" w:eastAsia="楷体" w:cs="Times New Roman"/>
          <w:color w:val="000000" w:themeColor="text1"/>
          <w:sz w:val="32"/>
          <w:szCs w:val="24"/>
          <w14:textFill>
            <w14:solidFill>
              <w14:schemeClr w14:val="tx1"/>
            </w14:solidFill>
          </w14:textFill>
        </w:rPr>
      </w:pPr>
      <w:bookmarkStart w:id="62" w:name="_Toc56587059"/>
      <w:bookmarkStart w:id="63" w:name="_Toc56586992"/>
    </w:p>
    <w:tbl>
      <w:tblPr>
        <w:tblStyle w:val="15"/>
        <w:tblW w:w="8306" w:type="dxa"/>
        <w:tblInd w:w="0" w:type="dxa"/>
        <w:tblLayout w:type="fixed"/>
        <w:tblCellMar>
          <w:top w:w="0" w:type="dxa"/>
          <w:left w:w="108" w:type="dxa"/>
          <w:bottom w:w="0" w:type="dxa"/>
          <w:right w:w="108" w:type="dxa"/>
        </w:tblCellMar>
      </w:tblPr>
      <w:tblGrid>
        <w:gridCol w:w="8306"/>
      </w:tblGrid>
      <w:tr w14:paraId="3B81FDA9">
        <w:tblPrEx>
          <w:tblCellMar>
            <w:top w:w="0" w:type="dxa"/>
            <w:left w:w="108" w:type="dxa"/>
            <w:bottom w:w="0" w:type="dxa"/>
            <w:right w:w="108" w:type="dxa"/>
          </w:tblCellMar>
        </w:tblPrEx>
        <w:tc>
          <w:tcPr>
            <w:tcW w:w="8306" w:type="dxa"/>
          </w:tcPr>
          <w:p w14:paraId="21EB7AD5">
            <w:pPr>
              <w:spacing w:line="276" w:lineRule="auto"/>
              <w:ind w:firstLine="480" w:firstLineChars="200"/>
              <w:jc w:val="center"/>
              <w:rPr>
                <w:rFonts w:ascii="黑体" w:hAnsi="黑体" w:eastAsia="黑体" w:cs="Times New Roman"/>
                <w:color w:val="000000" w:themeColor="text1"/>
                <w:sz w:val="24"/>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专栏   安宁市十大食品安全专项整治</w:t>
            </w:r>
          </w:p>
        </w:tc>
      </w:tr>
      <w:tr w14:paraId="2777B1CD">
        <w:tblPrEx>
          <w:tblCellMar>
            <w:top w:w="0" w:type="dxa"/>
            <w:left w:w="108" w:type="dxa"/>
            <w:bottom w:w="0" w:type="dxa"/>
            <w:right w:w="108" w:type="dxa"/>
          </w:tblCellMar>
        </w:tblPrEx>
        <w:tc>
          <w:tcPr>
            <w:tcW w:w="8306" w:type="dxa"/>
          </w:tcPr>
          <w:p w14:paraId="01C49E71">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聚焦人民群众最关心、最担忧、反映最强烈的突出问题，开展食品安全专项整治。</w:t>
            </w:r>
          </w:p>
          <w:p w14:paraId="2D9C97EA">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1.开展农村假冒伪劣食品治理行动。规范农村食品市场秩序，加快建立规范的农村食品流通供应体系，净化农村消费市场，切实提高农村地区食品安全保障水平。</w:t>
            </w:r>
          </w:p>
          <w:p w14:paraId="7E06B7AC">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2.持续开展白酒生产经营专项整治行动。对不符合生产规范要求和生产条件不能保证质量安全的白酒加工小作坊要坚决依法予以取缔，严禁家庭自酿酒进入市场销售。</w:t>
            </w:r>
          </w:p>
          <w:p w14:paraId="4F940F23">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3.开展肉制品生产过程管理规范提升行动。进一步加强肉制品生产加工监督管理，规范肉制品生产经营秩序，确保肉制品质量安全。</w:t>
            </w:r>
          </w:p>
          <w:p w14:paraId="6609321F">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4.开展粮食及粮食制品专项整治。严厉打击粮食收购、储存、运输，以及粮食制品生产、加工、销售等环节违法违规行为。</w:t>
            </w:r>
          </w:p>
          <w:p w14:paraId="7855131F">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5.开展校园食品安全守护行动。把保障农村校园食品安全作为食品安全工作的重点任务来抓，不断提升学校食品安全水平，切实保障广大师生饮食安全。</w:t>
            </w:r>
          </w:p>
          <w:p w14:paraId="099B60CF">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6.开展餐饮业质量安全提升行动。加强农村地区餐饮质量安全治理，强化食品全链条质量安全监管，不断提高餐饮业质量安全保障水平。依法加强养老机构、农村集体聚餐、景区餐饮、建筑工地食堂、集体用餐配送单位、大中型餐饮企业等聚集性就餐单位整治，严防群体性食物中毒事故的发生。</w:t>
            </w:r>
          </w:p>
          <w:p w14:paraId="7775D023">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7.持续开展“过桥米线放心消费”专项行动。严格许可准入、原料控制、加工制作等环节监管，督促过桥米线经营者落实主体责任，让过桥米线消费更加安全放心。</w:t>
            </w:r>
          </w:p>
          <w:p w14:paraId="11A2BAA7">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8.开展保健食品行业专项清理整治行动。严厉打击以保健食品非法销售、非法宣传、非法集资等手段欺诈老年群众的违法犯罪行为，铲除保健食品营销欺诈的社会公害毒瘤，为老年群众营造放心安全的保健食品消费环境。</w:t>
            </w:r>
          </w:p>
          <w:p w14:paraId="22021639">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9.严格落实网络第三方平台的食品安全管理责任，重点加强对互联网销售、网络订餐等行为的规范和监管。</w:t>
            </w:r>
          </w:p>
          <w:p w14:paraId="6904B64B">
            <w:pPr>
              <w:spacing w:line="300" w:lineRule="exact"/>
              <w:ind w:firstLine="480" w:firstLineChars="200"/>
              <w:jc w:val="left"/>
              <w:rPr>
                <w:rFonts w:ascii="黑体" w:hAnsi="黑体" w:eastAsia="黑体"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10.加大对温泉旅游等安宁知名休闲目的地食品安全监管，对温泉、酒店、度假区等地食品安全严格把关，为游客营造“放心吃、大口吃”的消费环境。</w:t>
            </w:r>
          </w:p>
        </w:tc>
      </w:tr>
    </w:tbl>
    <w:p w14:paraId="1AC35C6C">
      <w:pPr>
        <w:rPr>
          <w:color w:val="000000" w:themeColor="text1"/>
          <w14:textFill>
            <w14:solidFill>
              <w14:schemeClr w14:val="tx1"/>
            </w14:solidFill>
          </w14:textFill>
        </w:rPr>
      </w:pPr>
    </w:p>
    <w:p w14:paraId="6022EFB4">
      <w:pPr>
        <w:pStyle w:val="3"/>
        <w:rPr>
          <w:rFonts w:ascii="楷体" w:hAnsi="楷体" w:eastAsia="楷体" w:cs="Times New Roman"/>
          <w:color w:val="000000" w:themeColor="text1"/>
          <w:sz w:val="32"/>
          <w:szCs w:val="24"/>
          <w14:textFill>
            <w14:solidFill>
              <w14:schemeClr w14:val="tx1"/>
            </w14:solidFill>
          </w14:textFill>
        </w:rPr>
      </w:pPr>
      <w:r>
        <w:rPr>
          <w:rFonts w:hint="eastAsia" w:ascii="楷体" w:hAnsi="楷体" w:eastAsia="楷体" w:cs="Times New Roman"/>
          <w:color w:val="000000" w:themeColor="text1"/>
          <w:sz w:val="32"/>
          <w:szCs w:val="24"/>
          <w14:textFill>
            <w14:solidFill>
              <w14:schemeClr w14:val="tx1"/>
            </w14:solidFill>
          </w14:textFill>
        </w:rPr>
        <w:t>（二）强化药品安全体系建设</w:t>
      </w:r>
      <w:bookmarkEnd w:id="62"/>
      <w:bookmarkEnd w:id="63"/>
    </w:p>
    <w:p w14:paraId="5C820A6D">
      <w:pPr>
        <w:pStyle w:val="13"/>
        <w:shd w:val="clear" w:color="auto" w:fill="FFFFFF"/>
        <w:spacing w:before="0" w:beforeAutospacing="0" w:after="0" w:afterAutospacing="0"/>
        <w:ind w:firstLine="480"/>
        <w:jc w:val="both"/>
        <w:rPr>
          <w:rFonts w:ascii="仿宋_GB2312" w:hAnsi="华文仿宋" w:eastAsia="仿宋_GB2312"/>
          <w:sz w:val="32"/>
          <w:szCs w:val="32"/>
        </w:rPr>
      </w:pPr>
      <w:r>
        <w:rPr>
          <w:rFonts w:hint="eastAsia" w:ascii="Calibri" w:hAnsi="Calibri" w:eastAsia="仿宋_GB2312" w:cs="Times New Roman"/>
          <w:color w:val="000000" w:themeColor="text1"/>
          <w:sz w:val="32"/>
          <w14:textFill>
            <w14:solidFill>
              <w14:schemeClr w14:val="tx1"/>
            </w14:solidFill>
          </w14:textFill>
        </w:rPr>
        <w:t>创新监管手段，完善药品安全的全过程、全链条监管机制，深入推进药品安全治理行动，强化药品全生命周期监管和新生业态监管。</w:t>
      </w:r>
      <w:r>
        <w:rPr>
          <w:rFonts w:ascii="Calibri" w:hAnsi="Calibri" w:eastAsia="仿宋_GB2312" w:cs="Times New Roman"/>
          <w:color w:val="000000" w:themeColor="text1"/>
          <w:sz w:val="32"/>
          <w14:textFill>
            <w14:solidFill>
              <w14:schemeClr w14:val="tx1"/>
            </w14:solidFill>
          </w14:textFill>
        </w:rPr>
        <w:t>重点关注无菌输注器械、植（介）入类医用耗材等医疗器械产品</w:t>
      </w:r>
      <w:r>
        <w:rPr>
          <w:rFonts w:hint="eastAsia" w:ascii="Calibri" w:hAnsi="Calibri" w:eastAsia="仿宋_GB2312" w:cs="Times New Roman"/>
          <w:color w:val="000000" w:themeColor="text1"/>
          <w:sz w:val="32"/>
          <w14:textFill>
            <w14:solidFill>
              <w14:schemeClr w14:val="tx1"/>
            </w14:solidFill>
          </w14:textFill>
        </w:rPr>
        <w:t>，全面提升疫苗把保存监管力度，加快推进化妆品不良反应监测哨点建设，监测哨点覆盖全市部分医疗机构、化妆品经营企业实现信息渠道畅通。推进药品安全诚信体系建设，强化市场主体的安全责任，构建多元、和谐的社会共治格局。加强药品监督管理基本装备类、取证工具类装备建设，提升基层和一线执法装备水平及监管能力。</w:t>
      </w:r>
    </w:p>
    <w:tbl>
      <w:tblPr>
        <w:tblStyle w:val="15"/>
        <w:tblW w:w="790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04"/>
      </w:tblGrid>
      <w:tr w14:paraId="34BB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 w:hRule="atLeast"/>
        </w:trPr>
        <w:tc>
          <w:tcPr>
            <w:tcW w:w="7904" w:type="dxa"/>
            <w:tcBorders>
              <w:bottom w:val="single" w:color="auto" w:sz="4" w:space="0"/>
            </w:tcBorders>
          </w:tcPr>
          <w:p w14:paraId="31BEA872">
            <w:pPr>
              <w:spacing w:line="276" w:lineRule="auto"/>
              <w:ind w:firstLine="1920" w:firstLineChars="800"/>
              <w:rPr>
                <w:rFonts w:ascii="Calibri" w:hAnsi="Calibri" w:eastAsia="仿宋_GB2312" w:cs="Times New Roman"/>
                <w:color w:val="000000" w:themeColor="text1"/>
                <w:sz w:val="32"/>
                <w:szCs w:val="24"/>
                <w14:textFill>
                  <w14:solidFill>
                    <w14:schemeClr w14:val="tx1"/>
                  </w14:solidFill>
                </w14:textFill>
              </w:rPr>
            </w:pPr>
            <w:r>
              <w:rPr>
                <w:rFonts w:hint="eastAsia" w:ascii="黑体" w:hAnsi="黑体" w:eastAsia="黑体" w:cs="Times New Roman"/>
                <w:color w:val="000000" w:themeColor="text1"/>
                <w:sz w:val="24"/>
                <w:szCs w:val="24"/>
                <w14:textFill>
                  <w14:solidFill>
                    <w14:schemeClr w14:val="tx1"/>
                  </w14:solidFill>
                </w14:textFill>
              </w:rPr>
              <w:t>专栏   药械化安全监管专项行动</w:t>
            </w:r>
          </w:p>
        </w:tc>
      </w:tr>
      <w:tr w14:paraId="1658A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6" w:hRule="atLeast"/>
        </w:trPr>
        <w:tc>
          <w:tcPr>
            <w:tcW w:w="7904" w:type="dxa"/>
            <w:tcBorders>
              <w:top w:val="single" w:color="auto" w:sz="4" w:space="0"/>
            </w:tcBorders>
          </w:tcPr>
          <w:p w14:paraId="1132F1FB">
            <w:pPr>
              <w:spacing w:line="300" w:lineRule="exact"/>
              <w:ind w:firstLine="480"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ascii="仿宋" w:hAnsi="仿宋" w:eastAsia="仿宋" w:cs="Times New Roman"/>
                <w:b/>
                <w:color w:val="000000" w:themeColor="text1"/>
                <w:sz w:val="24"/>
                <w:szCs w:val="24"/>
                <w14:textFill>
                  <w14:solidFill>
                    <w14:schemeClr w14:val="tx1"/>
                  </w14:solidFill>
                </w14:textFill>
              </w:rPr>
              <w:t>实现化妆品经营企业信用评级全覆盖</w:t>
            </w:r>
            <w:r>
              <w:rPr>
                <w:rFonts w:hint="eastAsia" w:ascii="仿宋" w:hAnsi="仿宋" w:eastAsia="仿宋" w:cs="Times New Roman"/>
                <w:b/>
                <w:color w:val="000000" w:themeColor="text1"/>
                <w:sz w:val="24"/>
                <w:szCs w:val="24"/>
                <w14:textFill>
                  <w14:solidFill>
                    <w14:schemeClr w14:val="tx1"/>
                  </w14:solidFill>
                </w14:textFill>
              </w:rPr>
              <w:t>，提高化妆品不良反应监测率。</w:t>
            </w:r>
            <w:r>
              <w:rPr>
                <w:rFonts w:ascii="仿宋" w:hAnsi="仿宋" w:eastAsia="仿宋" w:cs="Times New Roman"/>
                <w:color w:val="000000" w:themeColor="text1"/>
                <w:sz w:val="24"/>
                <w:szCs w:val="24"/>
                <w14:textFill>
                  <w14:solidFill>
                    <w14:schemeClr w14:val="tx1"/>
                  </w14:solidFill>
                </w14:textFill>
              </w:rPr>
              <w:t>化妆品监测哨点单位增至14家；化妆品不良反应监测每百万人口达到110份。</w:t>
            </w:r>
          </w:p>
          <w:p w14:paraId="57B4D900">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2.</w:t>
            </w:r>
            <w:r>
              <w:rPr>
                <w:rFonts w:ascii="仿宋" w:hAnsi="仿宋" w:eastAsia="仿宋" w:cs="Times New Roman"/>
                <w:b/>
                <w:color w:val="000000" w:themeColor="text1"/>
                <w:sz w:val="24"/>
                <w:szCs w:val="24"/>
                <w14:textFill>
                  <w14:solidFill>
                    <w14:schemeClr w14:val="tx1"/>
                  </w14:solidFill>
                </w14:textFill>
              </w:rPr>
              <w:t>实现疫苗质量全面提升</w:t>
            </w:r>
            <w:r>
              <w:rPr>
                <w:rFonts w:hint="eastAsia" w:ascii="仿宋" w:hAnsi="仿宋" w:eastAsia="仿宋" w:cs="Times New Roman"/>
                <w:b/>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实现所有疫苗接种机构冷链设施设备完善，确保</w:t>
            </w:r>
            <w:r>
              <w:rPr>
                <w:rFonts w:hint="eastAsia" w:ascii="仿宋" w:hAnsi="仿宋" w:eastAsia="仿宋" w:cs="Times New Roman"/>
                <w:color w:val="000000" w:themeColor="text1"/>
                <w:sz w:val="24"/>
                <w:szCs w:val="24"/>
                <w14:textFill>
                  <w14:solidFill>
                    <w14:schemeClr w14:val="tx1"/>
                  </w14:solidFill>
                </w14:textFill>
              </w:rPr>
              <w:t>安宁市</w:t>
            </w:r>
            <w:r>
              <w:rPr>
                <w:rFonts w:ascii="仿宋" w:hAnsi="仿宋" w:eastAsia="仿宋" w:cs="Times New Roman"/>
                <w:color w:val="000000" w:themeColor="text1"/>
                <w:sz w:val="24"/>
                <w:szCs w:val="24"/>
                <w14:textFill>
                  <w14:solidFill>
                    <w14:schemeClr w14:val="tx1"/>
                  </w14:solidFill>
                </w14:textFill>
              </w:rPr>
              <w:t>居民疫苗接种安全有效，实现疫苗质量全面提升。</w:t>
            </w:r>
          </w:p>
          <w:p w14:paraId="776AA92D">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3.</w:t>
            </w:r>
            <w:r>
              <w:rPr>
                <w:rFonts w:ascii="仿宋" w:hAnsi="仿宋" w:eastAsia="仿宋" w:cs="Times New Roman"/>
                <w:b/>
                <w:color w:val="000000" w:themeColor="text1"/>
                <w:sz w:val="24"/>
                <w:szCs w:val="24"/>
                <w14:textFill>
                  <w14:solidFill>
                    <w14:schemeClr w14:val="tx1"/>
                  </w14:solidFill>
                </w14:textFill>
              </w:rPr>
              <w:t>确保农村地区用药安全</w:t>
            </w:r>
            <w:r>
              <w:rPr>
                <w:rFonts w:hint="eastAsia" w:ascii="仿宋" w:hAnsi="仿宋" w:eastAsia="仿宋" w:cs="Times New Roman"/>
                <w:b/>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完成</w:t>
            </w:r>
            <w:r>
              <w:rPr>
                <w:rFonts w:hint="eastAsia" w:ascii="仿宋" w:hAnsi="仿宋" w:eastAsia="仿宋" w:cs="Times New Roman"/>
                <w:color w:val="000000" w:themeColor="text1"/>
                <w:sz w:val="24"/>
                <w:szCs w:val="24"/>
                <w14:textFill>
                  <w14:solidFill>
                    <w14:schemeClr w14:val="tx1"/>
                  </w14:solidFill>
                </w14:textFill>
              </w:rPr>
              <w:t>区域内全部</w:t>
            </w:r>
            <w:r>
              <w:rPr>
                <w:rFonts w:ascii="仿宋" w:hAnsi="仿宋" w:eastAsia="仿宋" w:cs="Times New Roman"/>
                <w:color w:val="000000" w:themeColor="text1"/>
                <w:sz w:val="24"/>
                <w:szCs w:val="24"/>
                <w14:textFill>
                  <w14:solidFill>
                    <w14:schemeClr w14:val="tx1"/>
                  </w14:solidFill>
                </w14:textFill>
              </w:rPr>
              <w:t>农村小药柜的升级改造，确保农村地区用药安全。</w:t>
            </w:r>
          </w:p>
          <w:p w14:paraId="6B1E1EA8">
            <w:pPr>
              <w:spacing w:line="300" w:lineRule="exact"/>
              <w:ind w:firstLine="482" w:firstLineChars="200"/>
              <w:jc w:val="lef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b/>
                <w:color w:val="000000" w:themeColor="text1"/>
                <w:sz w:val="24"/>
                <w:szCs w:val="24"/>
                <w14:textFill>
                  <w14:solidFill>
                    <w14:schemeClr w14:val="tx1"/>
                  </w14:solidFill>
                </w14:textFill>
              </w:rPr>
              <w:t>4.加强药械化抽检力度确保质量安全。</w:t>
            </w:r>
            <w:r>
              <w:rPr>
                <w:rFonts w:hint="eastAsia" w:ascii="仿宋" w:hAnsi="仿宋" w:eastAsia="仿宋" w:cs="Times New Roman"/>
                <w:color w:val="000000" w:themeColor="text1"/>
                <w:sz w:val="24"/>
                <w:szCs w:val="24"/>
                <w14:textFill>
                  <w14:solidFill>
                    <w14:schemeClr w14:val="tx1"/>
                  </w14:solidFill>
                </w14:textFill>
              </w:rPr>
              <w:t>药品每百万人158批次；医疗器械每百万人26批次；化妆品每百万人74批次。</w:t>
            </w:r>
          </w:p>
        </w:tc>
      </w:tr>
    </w:tbl>
    <w:p w14:paraId="73B0C822">
      <w:pPr>
        <w:pStyle w:val="3"/>
        <w:rPr>
          <w:rFonts w:ascii="楷体" w:hAnsi="楷体" w:eastAsia="楷体" w:cs="Times New Roman"/>
          <w:sz w:val="32"/>
          <w:szCs w:val="24"/>
        </w:rPr>
      </w:pPr>
      <w:bookmarkStart w:id="64" w:name="_Toc56586993"/>
      <w:bookmarkStart w:id="65" w:name="_Toc56587060"/>
      <w:r>
        <w:rPr>
          <w:rFonts w:hint="eastAsia" w:ascii="楷体" w:hAnsi="楷体" w:eastAsia="楷体" w:cs="Times New Roman"/>
          <w:sz w:val="32"/>
          <w:szCs w:val="24"/>
        </w:rPr>
        <w:t>（三）加强产品质量安全监管</w:t>
      </w:r>
      <w:bookmarkEnd w:id="64"/>
      <w:bookmarkEnd w:id="65"/>
    </w:p>
    <w:p w14:paraId="50DAA876">
      <w:pPr>
        <w:ind w:firstLine="640" w:firstLineChars="200"/>
        <w:rPr>
          <w:rFonts w:ascii="Calibri" w:hAnsi="Calibri" w:eastAsia="仿宋_GB2312" w:cs="Times New Roman"/>
          <w:sz w:val="32"/>
          <w:szCs w:val="24"/>
        </w:rPr>
      </w:pPr>
      <w:r>
        <w:rPr>
          <w:rFonts w:hint="eastAsia" w:ascii="Calibri" w:hAnsi="Calibri" w:eastAsia="仿宋_GB2312" w:cs="Times New Roman"/>
          <w:sz w:val="32"/>
          <w:szCs w:val="24"/>
        </w:rPr>
        <w:t>突出重点工业产品、重要消费品、涉学涉童产品、电子商务产品和食品相关产品五个监管重点，深化生产许可、监督抽查和风险监控三项制度改革，全面提升质量监督服务提质增效升级的工作效能。坚持从源头抓起，规范准入审核，强化事中事后监管。实施产品质量安全分类监管，制定重点监管产品目录。加快建立消费品质量安全市场反溯机制，严格抽查不合格企业后处理，加大质量违法行为曝光力度。建立消费品质量安全风险快速响应和联动处置机制。及时发布消费警示，向公众提供消费品质量安全信息服务。加强生产与流通领域监管联动，更加突出流通领域抽样，加大风险监测和监督抽查力度。推动综合执法监管形成上下联动、横向协同的监管合力。建立健全承担监督检查检验工作的制度规范，推广随机选取、匹配抽检机构和拟抽查企业的“双随机”模式，严格落实承检机构抽检分离。开展质量分级试点工作，引导企业开展质量安全追溯试点工作。争取地方政府支持，依法将产品质量监督检查经费，特别是监督抽查经费足额纳入各级政府财政预算。全面提高质量安全风险监测、研判、预警和处置能力，及时跟踪监测和防范化解行业性、区域性产品质量安全风险。</w:t>
      </w:r>
    </w:p>
    <w:p w14:paraId="6969048C">
      <w:pPr>
        <w:pStyle w:val="3"/>
        <w:rPr>
          <w:rFonts w:ascii="楷体" w:hAnsi="楷体" w:eastAsia="楷体" w:cs="Times New Roman"/>
          <w:sz w:val="32"/>
          <w:szCs w:val="24"/>
        </w:rPr>
      </w:pPr>
      <w:bookmarkStart w:id="66" w:name="_Toc56586994"/>
      <w:bookmarkStart w:id="67" w:name="_Toc56587061"/>
      <w:r>
        <w:rPr>
          <w:rFonts w:hint="eastAsia" w:ascii="楷体" w:hAnsi="楷体" w:eastAsia="楷体" w:cs="Times New Roman"/>
          <w:sz w:val="32"/>
          <w:szCs w:val="24"/>
        </w:rPr>
        <w:t>（四）加强特种设备监管</w:t>
      </w:r>
      <w:bookmarkEnd w:id="66"/>
      <w:bookmarkEnd w:id="67"/>
    </w:p>
    <w:p w14:paraId="35963897">
      <w:pPr>
        <w:ind w:firstLine="640" w:firstLineChars="200"/>
        <w:rPr>
          <w:rFonts w:ascii="仿宋_GB2312" w:hAnsi="微软雅黑" w:eastAsia="仿宋_GB2312" w:cs="仿宋_GB2312"/>
          <w:color w:val="3D3D3D"/>
          <w:sz w:val="32"/>
          <w:szCs w:val="32"/>
          <w:shd w:val="clear" w:color="auto" w:fill="FFFFFF"/>
        </w:rPr>
      </w:pPr>
      <w:r>
        <w:rPr>
          <w:rFonts w:hint="eastAsia" w:ascii="Calibri" w:hAnsi="Calibri" w:eastAsia="仿宋_GB2312" w:cs="Times New Roman"/>
          <w:sz w:val="32"/>
          <w:szCs w:val="24"/>
        </w:rPr>
        <w:t>推进特种设备安全数字化监管体系建设，构建以特种设备大数据平台、电梯应急救援处置中心、气瓶电子监管系统、特种设备公众信息APP等为重点的特种设备安全数字化监管系统。</w:t>
      </w:r>
      <w:r>
        <w:rPr>
          <w:rFonts w:ascii="仿宋_GB2312" w:hAnsi="微软雅黑" w:eastAsia="仿宋_GB2312" w:cs="仿宋_GB2312"/>
          <w:color w:val="3D3D3D"/>
          <w:sz w:val="32"/>
          <w:szCs w:val="32"/>
          <w:shd w:val="clear" w:color="auto" w:fill="FFFFFF"/>
        </w:rPr>
        <w:t>全面强化锅炉、压力容器（含气瓶）、压力管道、电梯、场（厂）内专用机动车辆、大型游乐设施、客运索道等特种设备的安全监察，有针对性地开展特种设备分类监管。</w:t>
      </w:r>
      <w:r>
        <w:rPr>
          <w:rFonts w:hint="eastAsia" w:ascii="仿宋_GB2312" w:hAnsi="微软雅黑" w:eastAsia="仿宋_GB2312" w:cs="仿宋_GB2312"/>
          <w:color w:val="3D3D3D"/>
          <w:sz w:val="32"/>
          <w:szCs w:val="32"/>
          <w:shd w:val="clear" w:color="auto" w:fill="FFFFFF"/>
        </w:rPr>
        <w:t>进一步夯实企业安全主体责任，</w:t>
      </w:r>
      <w:r>
        <w:rPr>
          <w:rFonts w:ascii="仿宋_GB2312" w:hAnsi="微软雅黑" w:eastAsia="仿宋_GB2312" w:cs="仿宋_GB2312"/>
          <w:color w:val="3D3D3D"/>
          <w:sz w:val="32"/>
          <w:szCs w:val="32"/>
          <w:shd w:val="clear" w:color="auto" w:fill="FFFFFF"/>
        </w:rPr>
        <w:t>健全特种设备安全管理规章制度，</w:t>
      </w:r>
      <w:r>
        <w:rPr>
          <w:rFonts w:hint="eastAsia" w:ascii="仿宋_GB2312" w:hAnsi="微软雅黑" w:eastAsia="仿宋_GB2312" w:cs="仿宋_GB2312"/>
          <w:color w:val="3D3D3D"/>
          <w:sz w:val="32"/>
          <w:szCs w:val="32"/>
          <w:shd w:val="clear" w:color="auto" w:fill="FFFFFF"/>
        </w:rPr>
        <w:t>落实操作规程、人员持证上岗，</w:t>
      </w:r>
      <w:r>
        <w:rPr>
          <w:rFonts w:ascii="仿宋_GB2312" w:hAnsi="微软雅黑" w:eastAsia="仿宋_GB2312" w:cs="仿宋_GB2312"/>
          <w:color w:val="3D3D3D"/>
          <w:sz w:val="32"/>
          <w:szCs w:val="32"/>
          <w:shd w:val="clear" w:color="auto" w:fill="FFFFFF"/>
        </w:rPr>
        <w:t>建立特种设备安全技术档案及台账，采取有效措施，排查并消除安全隐患</w:t>
      </w:r>
      <w:r>
        <w:rPr>
          <w:rFonts w:hint="eastAsia" w:ascii="仿宋_GB2312" w:hAnsi="微软雅黑" w:eastAsia="仿宋_GB2312" w:cs="仿宋_GB2312"/>
          <w:color w:val="3D3D3D"/>
          <w:sz w:val="32"/>
          <w:szCs w:val="32"/>
          <w:shd w:val="clear" w:color="auto" w:fill="FFFFFF"/>
        </w:rPr>
        <w:t>。</w:t>
      </w:r>
      <w:r>
        <w:rPr>
          <w:rFonts w:ascii="仿宋_GB2312" w:hAnsi="微软雅黑" w:eastAsia="仿宋_GB2312" w:cs="仿宋_GB2312"/>
          <w:color w:val="3D3D3D"/>
          <w:sz w:val="32"/>
          <w:szCs w:val="32"/>
          <w:shd w:val="clear" w:color="auto" w:fill="FFFFFF"/>
        </w:rPr>
        <w:t>加强</w:t>
      </w:r>
      <w:r>
        <w:rPr>
          <w:rFonts w:hint="eastAsia" w:ascii="仿宋_GB2312" w:hAnsi="微软雅黑" w:eastAsia="仿宋_GB2312" w:cs="仿宋_GB2312"/>
          <w:color w:val="3D3D3D"/>
          <w:sz w:val="32"/>
          <w:szCs w:val="32"/>
          <w:shd w:val="clear" w:color="auto" w:fill="FFFFFF"/>
        </w:rPr>
        <w:t>操作</w:t>
      </w:r>
      <w:r>
        <w:rPr>
          <w:rFonts w:ascii="仿宋_GB2312" w:hAnsi="微软雅黑" w:eastAsia="仿宋_GB2312" w:cs="仿宋_GB2312"/>
          <w:color w:val="3D3D3D"/>
          <w:sz w:val="32"/>
          <w:szCs w:val="32"/>
          <w:shd w:val="clear" w:color="auto" w:fill="FFFFFF"/>
        </w:rPr>
        <w:t>人员的安全教育培训，</w:t>
      </w:r>
      <w:r>
        <w:rPr>
          <w:rFonts w:hint="eastAsia" w:ascii="仿宋_GB2312" w:hAnsi="微软雅黑" w:eastAsia="仿宋_GB2312" w:cs="仿宋_GB2312"/>
          <w:color w:val="3D3D3D"/>
          <w:sz w:val="32"/>
          <w:szCs w:val="32"/>
          <w:shd w:val="clear" w:color="auto" w:fill="FFFFFF"/>
        </w:rPr>
        <w:t>根据设备数量定额配置设备管理员。</w:t>
      </w:r>
      <w:r>
        <w:rPr>
          <w:rFonts w:ascii="仿宋_GB2312" w:hAnsi="微软雅黑" w:eastAsia="仿宋_GB2312" w:cs="仿宋_GB2312"/>
          <w:color w:val="3D3D3D"/>
          <w:sz w:val="32"/>
          <w:szCs w:val="32"/>
          <w:shd w:val="clear" w:color="auto" w:fill="FFFFFF"/>
        </w:rPr>
        <w:t>定期开展特种设备事故应急专项预案演练，提高事故应急救援和处置能力。</w:t>
      </w:r>
      <w:r>
        <w:rPr>
          <w:rFonts w:hint="eastAsia" w:ascii="Calibri" w:hAnsi="Calibri" w:eastAsia="仿宋_GB2312" w:cs="Times New Roman"/>
          <w:sz w:val="32"/>
          <w:szCs w:val="24"/>
        </w:rPr>
        <w:t>保障节日期间和重大活动特种设备的安全。探索通过购买第三方服务的模式，发挥专家的技术作用，提高检查质量和效率。定期分析研判特种设备安全薄弱环节，研究工作对策，解决“想不到”“管不到”问题，有效防控系统性安全风险。</w:t>
      </w:r>
      <w:r>
        <w:rPr>
          <w:rFonts w:ascii="Calibri" w:hAnsi="Calibri" w:eastAsia="仿宋_GB2312" w:cs="Times New Roman"/>
          <w:sz w:val="32"/>
          <w:szCs w:val="24"/>
        </w:rPr>
        <w:t>建立</w:t>
      </w:r>
      <w:r>
        <w:rPr>
          <w:rFonts w:hint="eastAsia" w:ascii="Calibri" w:hAnsi="Calibri" w:eastAsia="仿宋_GB2312" w:cs="Times New Roman"/>
          <w:sz w:val="32"/>
          <w:szCs w:val="24"/>
        </w:rPr>
        <w:t>电梯</w:t>
      </w:r>
      <w:r>
        <w:rPr>
          <w:rFonts w:ascii="Calibri" w:hAnsi="Calibri" w:eastAsia="仿宋_GB2312" w:cs="Times New Roman"/>
          <w:sz w:val="32"/>
          <w:szCs w:val="24"/>
        </w:rPr>
        <w:t>量化考核制度，并将考核结果及时向社会公布推动维保单位的优胜劣汰，提高电梯维保质量的整体水平。</w:t>
      </w:r>
      <w:r>
        <w:rPr>
          <w:rFonts w:hint="eastAsia" w:ascii="Calibri" w:hAnsi="Calibri" w:eastAsia="仿宋_GB2312" w:cs="Times New Roman"/>
          <w:sz w:val="32"/>
          <w:szCs w:val="24"/>
        </w:rPr>
        <w:t>到2025年，实现特种设备监管形成“专业工作，专业队伍，专业监管”的工作成果。</w:t>
      </w:r>
    </w:p>
    <w:p w14:paraId="5CD043B6">
      <w:pPr>
        <w:pStyle w:val="2"/>
        <w:rPr>
          <w:rFonts w:ascii="黑体" w:hAnsi="黑体" w:eastAsia="黑体" w:cs="Times New Roman"/>
          <w:szCs w:val="24"/>
        </w:rPr>
      </w:pPr>
      <w:bookmarkStart w:id="68" w:name="_Toc63151497"/>
      <w:bookmarkStart w:id="69" w:name="_Toc56587062"/>
      <w:r>
        <w:rPr>
          <w:rFonts w:hint="eastAsia" w:ascii="黑体" w:hAnsi="黑体" w:eastAsia="黑体" w:cs="Times New Roman"/>
          <w:szCs w:val="24"/>
        </w:rPr>
        <w:t>四、实施质量强国战略，推动产品和服务质量提升</w:t>
      </w:r>
      <w:bookmarkEnd w:id="68"/>
      <w:bookmarkEnd w:id="69"/>
    </w:p>
    <w:p w14:paraId="538E6895">
      <w:pPr>
        <w:ind w:firstLine="640" w:firstLineChars="200"/>
        <w:rPr>
          <w:rFonts w:ascii="Calibri" w:hAnsi="Calibri" w:eastAsia="仿宋_GB2312" w:cs="Times New Roman"/>
          <w:sz w:val="32"/>
          <w:szCs w:val="24"/>
        </w:rPr>
      </w:pPr>
      <w:r>
        <w:rPr>
          <w:rFonts w:ascii="Calibri" w:hAnsi="Calibri" w:eastAsia="仿宋_GB2312" w:cs="Times New Roman"/>
          <w:sz w:val="32"/>
          <w:szCs w:val="24"/>
        </w:rPr>
        <w:t>强化企业在质量提升中的主体地位，发挥政府的引导作用，坚持市场化、社会化</w:t>
      </w:r>
      <w:r>
        <w:rPr>
          <w:rFonts w:hint="eastAsia" w:ascii="Calibri" w:hAnsi="Calibri" w:eastAsia="仿宋_GB2312" w:cs="Times New Roman"/>
          <w:sz w:val="32"/>
          <w:szCs w:val="24"/>
        </w:rPr>
        <w:t>，</w:t>
      </w:r>
      <w:r>
        <w:rPr>
          <w:rFonts w:ascii="Calibri" w:hAnsi="Calibri" w:eastAsia="仿宋_GB2312" w:cs="Times New Roman"/>
          <w:sz w:val="32"/>
          <w:szCs w:val="24"/>
        </w:rPr>
        <w:t>推动质量</w:t>
      </w:r>
      <w:r>
        <w:rPr>
          <w:rFonts w:hint="eastAsia" w:ascii="Calibri" w:hAnsi="Calibri" w:eastAsia="仿宋_GB2312" w:cs="Times New Roman"/>
          <w:sz w:val="32"/>
          <w:szCs w:val="24"/>
        </w:rPr>
        <w:t>管理</w:t>
      </w:r>
      <w:r>
        <w:rPr>
          <w:rFonts w:ascii="Calibri" w:hAnsi="Calibri" w:eastAsia="仿宋_GB2312" w:cs="Times New Roman"/>
          <w:sz w:val="32"/>
          <w:szCs w:val="24"/>
        </w:rPr>
        <w:t>改</w:t>
      </w:r>
      <w:r>
        <w:rPr>
          <w:rFonts w:hint="eastAsia" w:ascii="Calibri" w:hAnsi="Calibri" w:eastAsia="仿宋_GB2312" w:cs="Times New Roman"/>
          <w:sz w:val="32"/>
          <w:szCs w:val="24"/>
        </w:rPr>
        <w:t>革</w:t>
      </w:r>
      <w:r>
        <w:rPr>
          <w:rFonts w:ascii="Calibri" w:hAnsi="Calibri" w:eastAsia="仿宋_GB2312" w:cs="Times New Roman"/>
          <w:sz w:val="32"/>
          <w:szCs w:val="24"/>
        </w:rPr>
        <w:t>，促进</w:t>
      </w:r>
      <w:r>
        <w:rPr>
          <w:rFonts w:hint="eastAsia" w:ascii="Calibri" w:hAnsi="Calibri" w:eastAsia="仿宋_GB2312" w:cs="Times New Roman"/>
          <w:sz w:val="32"/>
          <w:szCs w:val="24"/>
        </w:rPr>
        <w:t>质量</w:t>
      </w:r>
      <w:r>
        <w:rPr>
          <w:rFonts w:ascii="Calibri" w:hAnsi="Calibri" w:eastAsia="仿宋_GB2312" w:cs="Times New Roman"/>
          <w:sz w:val="32"/>
          <w:szCs w:val="24"/>
        </w:rPr>
        <w:t>高质量发展</w:t>
      </w:r>
      <w:r>
        <w:rPr>
          <w:rFonts w:hint="eastAsia" w:ascii="Calibri" w:hAnsi="Calibri" w:eastAsia="仿宋_GB2312" w:cs="Times New Roman"/>
          <w:sz w:val="32"/>
          <w:szCs w:val="24"/>
        </w:rPr>
        <w:t>，坚决维护“安宁制造”质量，助推企业打造“安宁品牌”</w:t>
      </w:r>
      <w:r>
        <w:rPr>
          <w:rFonts w:ascii="Calibri" w:hAnsi="Calibri" w:eastAsia="仿宋_GB2312" w:cs="Times New Roman"/>
          <w:sz w:val="32"/>
          <w:szCs w:val="24"/>
        </w:rPr>
        <w:t>。</w:t>
      </w:r>
    </w:p>
    <w:p w14:paraId="1597C795">
      <w:pPr>
        <w:pStyle w:val="3"/>
        <w:rPr>
          <w:rFonts w:ascii="楷体" w:hAnsi="楷体" w:eastAsia="楷体" w:cs="Times New Roman"/>
          <w:sz w:val="32"/>
          <w:szCs w:val="24"/>
        </w:rPr>
      </w:pPr>
      <w:bookmarkStart w:id="70" w:name="_Toc56587066"/>
      <w:r>
        <w:rPr>
          <w:rFonts w:ascii="楷体" w:hAnsi="楷体" w:eastAsia="楷体" w:cs="Times New Roman"/>
          <w:sz w:val="32"/>
          <w:szCs w:val="24"/>
        </w:rPr>
        <w:t>（</w:t>
      </w:r>
      <w:r>
        <w:rPr>
          <w:rFonts w:hint="eastAsia" w:ascii="楷体" w:hAnsi="楷体" w:eastAsia="楷体" w:cs="Times New Roman"/>
          <w:sz w:val="32"/>
          <w:szCs w:val="24"/>
        </w:rPr>
        <w:t>一</w:t>
      </w:r>
      <w:r>
        <w:rPr>
          <w:rFonts w:ascii="楷体" w:hAnsi="楷体" w:eastAsia="楷体" w:cs="Times New Roman"/>
          <w:sz w:val="32"/>
          <w:szCs w:val="24"/>
        </w:rPr>
        <w:t>）提升质量</w:t>
      </w:r>
      <w:r>
        <w:rPr>
          <w:rFonts w:hint="eastAsia" w:ascii="楷体" w:hAnsi="楷体" w:eastAsia="楷体" w:cs="Times New Roman"/>
          <w:sz w:val="32"/>
          <w:szCs w:val="24"/>
        </w:rPr>
        <w:t>水平</w:t>
      </w:r>
      <w:bookmarkEnd w:id="70"/>
    </w:p>
    <w:p w14:paraId="5F5B6D6D">
      <w:pPr>
        <w:ind w:firstLine="643" w:firstLineChars="200"/>
        <w:rPr>
          <w:rFonts w:ascii="Calibri" w:hAnsi="Calibri" w:eastAsia="仿宋_GB2312" w:cs="Times New Roman"/>
          <w:sz w:val="32"/>
          <w:szCs w:val="24"/>
        </w:rPr>
      </w:pPr>
      <w:r>
        <w:rPr>
          <w:rFonts w:hint="eastAsia" w:ascii="Calibri" w:hAnsi="Calibri" w:eastAsia="仿宋_GB2312" w:cs="Times New Roman"/>
          <w:b/>
          <w:bCs/>
          <w:sz w:val="32"/>
          <w:szCs w:val="24"/>
        </w:rPr>
        <w:t>重视</w:t>
      </w:r>
      <w:r>
        <w:rPr>
          <w:rFonts w:ascii="Calibri" w:hAnsi="Calibri" w:eastAsia="仿宋_GB2312" w:cs="Times New Roman"/>
          <w:b/>
          <w:bCs/>
          <w:sz w:val="32"/>
          <w:szCs w:val="24"/>
        </w:rPr>
        <w:t>品牌建设</w:t>
      </w:r>
      <w:r>
        <w:rPr>
          <w:rFonts w:hint="eastAsia" w:ascii="Calibri" w:hAnsi="Calibri" w:eastAsia="仿宋_GB2312" w:cs="Times New Roman"/>
          <w:b/>
          <w:bCs/>
          <w:sz w:val="32"/>
          <w:szCs w:val="24"/>
        </w:rPr>
        <w:t>。</w:t>
      </w:r>
      <w:r>
        <w:rPr>
          <w:rFonts w:hint="eastAsia" w:ascii="Calibri" w:hAnsi="Calibri" w:eastAsia="仿宋_GB2312" w:cs="Times New Roman"/>
          <w:sz w:val="32"/>
          <w:szCs w:val="24"/>
        </w:rPr>
        <w:t>以“</w:t>
      </w:r>
      <w:r>
        <w:rPr>
          <w:rFonts w:ascii="Calibri" w:hAnsi="Calibri" w:eastAsia="仿宋_GB2312" w:cs="Times New Roman"/>
          <w:sz w:val="32"/>
          <w:szCs w:val="24"/>
        </w:rPr>
        <w:t>品牌产品—品牌企业—品牌区域—品牌城市</w:t>
      </w:r>
      <w:r>
        <w:rPr>
          <w:rFonts w:hint="eastAsia" w:ascii="Calibri" w:hAnsi="Calibri" w:eastAsia="仿宋_GB2312" w:cs="Times New Roman"/>
          <w:sz w:val="32"/>
          <w:szCs w:val="24"/>
        </w:rPr>
        <w:t>”</w:t>
      </w:r>
      <w:r>
        <w:rPr>
          <w:rFonts w:ascii="Calibri" w:hAnsi="Calibri" w:eastAsia="仿宋_GB2312" w:cs="Times New Roman"/>
          <w:sz w:val="32"/>
          <w:szCs w:val="24"/>
        </w:rPr>
        <w:t>品牌升级路线图</w:t>
      </w:r>
      <w:r>
        <w:rPr>
          <w:rFonts w:hint="eastAsia" w:ascii="Calibri" w:hAnsi="Calibri" w:eastAsia="仿宋_GB2312" w:cs="Times New Roman"/>
          <w:sz w:val="32"/>
          <w:szCs w:val="24"/>
        </w:rPr>
        <w:t>为指导</w:t>
      </w:r>
      <w:r>
        <w:rPr>
          <w:rFonts w:ascii="Calibri" w:hAnsi="Calibri" w:eastAsia="仿宋_GB2312" w:cs="Times New Roman"/>
          <w:sz w:val="32"/>
          <w:szCs w:val="24"/>
        </w:rPr>
        <w:t>，</w:t>
      </w:r>
      <w:r>
        <w:rPr>
          <w:rFonts w:hint="eastAsia" w:ascii="仿宋_GB2312" w:hAnsi="微软雅黑" w:eastAsia="仿宋_GB2312"/>
          <w:color w:val="252525"/>
          <w:sz w:val="32"/>
          <w:szCs w:val="32"/>
        </w:rPr>
        <w:t>加强和改善质量监督管理，坚决维护品牌质量。</w:t>
      </w:r>
      <w:r>
        <w:rPr>
          <w:rFonts w:ascii="Calibri" w:hAnsi="Calibri" w:eastAsia="仿宋_GB2312" w:cs="Times New Roman"/>
          <w:sz w:val="32"/>
          <w:szCs w:val="24"/>
        </w:rPr>
        <w:t>投入专项资金，围绕质量强市战略部署及全市质量与品牌中心工作，以大数据挖掘应用为主要手段，聚焦质量发展的重大问题，构建</w:t>
      </w:r>
      <w:r>
        <w:rPr>
          <w:rFonts w:hint="eastAsia" w:ascii="Calibri" w:hAnsi="Calibri" w:eastAsia="仿宋_GB2312" w:cs="Times New Roman"/>
          <w:sz w:val="32"/>
          <w:szCs w:val="24"/>
        </w:rPr>
        <w:t>安宁</w:t>
      </w:r>
      <w:r>
        <w:rPr>
          <w:rFonts w:ascii="Calibri" w:hAnsi="Calibri" w:eastAsia="仿宋_GB2312" w:cs="Times New Roman"/>
          <w:sz w:val="32"/>
          <w:szCs w:val="24"/>
        </w:rPr>
        <w:t>市质量与品牌基础数据库，打造</w:t>
      </w:r>
      <w:r>
        <w:rPr>
          <w:rFonts w:hint="eastAsia" w:ascii="Calibri" w:hAnsi="Calibri" w:eastAsia="仿宋_GB2312" w:cs="Times New Roman"/>
          <w:sz w:val="32"/>
          <w:szCs w:val="24"/>
        </w:rPr>
        <w:t>安宁</w:t>
      </w:r>
      <w:r>
        <w:rPr>
          <w:rFonts w:ascii="Calibri" w:hAnsi="Calibri" w:eastAsia="仿宋_GB2312" w:cs="Times New Roman"/>
          <w:sz w:val="32"/>
          <w:szCs w:val="24"/>
        </w:rPr>
        <w:t>市质量与品牌数据聚集平台，开展质量与品牌大数据人才培训等，为市委、市政府制定质量与品牌发展战略提供决策依据。</w:t>
      </w:r>
    </w:p>
    <w:p w14:paraId="10D94381">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提升</w:t>
      </w:r>
      <w:r>
        <w:rPr>
          <w:rFonts w:ascii="Calibri" w:hAnsi="Calibri" w:eastAsia="仿宋_GB2312" w:cs="Times New Roman"/>
          <w:b/>
          <w:sz w:val="32"/>
          <w:szCs w:val="24"/>
        </w:rPr>
        <w:t>产品质量</w:t>
      </w:r>
      <w:r>
        <w:rPr>
          <w:rFonts w:hint="eastAsia" w:ascii="Calibri" w:hAnsi="Calibri" w:eastAsia="仿宋_GB2312" w:cs="Times New Roman"/>
          <w:b/>
          <w:sz w:val="32"/>
          <w:szCs w:val="24"/>
        </w:rPr>
        <w:t>水平。</w:t>
      </w:r>
      <w:r>
        <w:rPr>
          <w:rFonts w:ascii="Calibri" w:hAnsi="Calibri" w:eastAsia="仿宋_GB2312" w:cs="Times New Roman"/>
          <w:sz w:val="32"/>
          <w:szCs w:val="24"/>
        </w:rPr>
        <w:t>建立企业质量安全控制关键岗位责任</w:t>
      </w:r>
      <w:r>
        <w:rPr>
          <w:rFonts w:hint="eastAsia" w:ascii="Calibri" w:hAnsi="Calibri" w:eastAsia="仿宋_GB2312" w:cs="Times New Roman"/>
          <w:sz w:val="32"/>
          <w:szCs w:val="24"/>
        </w:rPr>
        <w:t>，</w:t>
      </w:r>
      <w:r>
        <w:rPr>
          <w:rFonts w:ascii="Calibri" w:hAnsi="Calibri" w:eastAsia="仿宋_GB2312" w:cs="Times New Roman"/>
          <w:sz w:val="32"/>
          <w:szCs w:val="24"/>
        </w:rPr>
        <w:t>明确企业法人代表或主要负责人对质量安全负首要责任、企业质量主管人员对质量安全负直接责任。加快农业生产标准化普及。打造</w:t>
      </w:r>
      <w:r>
        <w:rPr>
          <w:rFonts w:hint="eastAsia" w:ascii="Calibri" w:hAnsi="Calibri" w:eastAsia="仿宋_GB2312" w:cs="Times New Roman"/>
          <w:sz w:val="32"/>
          <w:szCs w:val="24"/>
        </w:rPr>
        <w:t>“</w:t>
      </w:r>
      <w:r>
        <w:rPr>
          <w:rFonts w:ascii="Calibri" w:hAnsi="Calibri" w:eastAsia="仿宋_GB2312" w:cs="Times New Roman"/>
          <w:sz w:val="32"/>
          <w:szCs w:val="24"/>
        </w:rPr>
        <w:t>质量标杆企业</w:t>
      </w:r>
      <w:r>
        <w:rPr>
          <w:rFonts w:hint="eastAsia" w:ascii="Calibri" w:hAnsi="Calibri" w:eastAsia="仿宋_GB2312" w:cs="Times New Roman"/>
          <w:sz w:val="32"/>
          <w:szCs w:val="24"/>
        </w:rPr>
        <w:t>”，</w:t>
      </w:r>
      <w:r>
        <w:rPr>
          <w:rFonts w:ascii="Calibri" w:hAnsi="Calibri" w:eastAsia="仿宋_GB2312" w:cs="Times New Roman"/>
          <w:sz w:val="32"/>
          <w:szCs w:val="24"/>
        </w:rPr>
        <w:t>提高质量监测、在线</w:t>
      </w:r>
      <w:r>
        <w:rPr>
          <w:rFonts w:hint="eastAsia" w:ascii="Calibri" w:hAnsi="Calibri" w:eastAsia="仿宋_GB2312" w:cs="Times New Roman"/>
          <w:sz w:val="32"/>
          <w:szCs w:val="24"/>
        </w:rPr>
        <w:t>监管</w:t>
      </w:r>
      <w:r>
        <w:rPr>
          <w:rFonts w:ascii="Calibri" w:hAnsi="Calibri" w:eastAsia="仿宋_GB2312" w:cs="Times New Roman"/>
          <w:sz w:val="32"/>
          <w:szCs w:val="24"/>
        </w:rPr>
        <w:t>、质量持续改进和产品追溯能力，开展质量标杆企业先进经验示范推广活动。建设一批农业标准化示范项目，培育一批无公害农产品、绿色食品、有机农产品和地理标志农产品。严格食品及食品相关产品管理，强化食品质量控制，创建放心食品园区、打造标杆食品企业</w:t>
      </w:r>
      <w:r>
        <w:rPr>
          <w:rFonts w:hint="eastAsia" w:ascii="Calibri" w:hAnsi="Calibri" w:eastAsia="仿宋_GB2312" w:cs="Times New Roman"/>
          <w:sz w:val="32"/>
          <w:szCs w:val="24"/>
        </w:rPr>
        <w:t>，</w:t>
      </w:r>
      <w:r>
        <w:rPr>
          <w:rFonts w:ascii="Calibri" w:hAnsi="Calibri" w:eastAsia="仿宋_GB2312" w:cs="Times New Roman"/>
          <w:sz w:val="32"/>
          <w:szCs w:val="24"/>
        </w:rPr>
        <w:t>重点解决食品、农产品质量</w:t>
      </w:r>
      <w:r>
        <w:rPr>
          <w:rFonts w:hint="eastAsia" w:ascii="Calibri" w:hAnsi="Calibri" w:eastAsia="仿宋_GB2312" w:cs="Times New Roman"/>
          <w:sz w:val="32"/>
          <w:szCs w:val="24"/>
        </w:rPr>
        <w:t>安全</w:t>
      </w:r>
      <w:r>
        <w:rPr>
          <w:rFonts w:ascii="Calibri" w:hAnsi="Calibri" w:eastAsia="仿宋_GB2312" w:cs="Times New Roman"/>
          <w:sz w:val="32"/>
          <w:szCs w:val="24"/>
        </w:rPr>
        <w:t>等问题。</w:t>
      </w:r>
    </w:p>
    <w:p w14:paraId="74C2739A">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提升</w:t>
      </w:r>
      <w:r>
        <w:rPr>
          <w:rFonts w:ascii="Calibri" w:hAnsi="Calibri" w:eastAsia="仿宋_GB2312" w:cs="Times New Roman"/>
          <w:b/>
          <w:sz w:val="32"/>
          <w:szCs w:val="24"/>
        </w:rPr>
        <w:t>服务质量</w:t>
      </w:r>
      <w:r>
        <w:rPr>
          <w:rFonts w:hint="eastAsia" w:ascii="Calibri" w:hAnsi="Calibri" w:eastAsia="仿宋_GB2312" w:cs="Times New Roman"/>
          <w:b/>
          <w:sz w:val="32"/>
          <w:szCs w:val="24"/>
        </w:rPr>
        <w:t>水平。</w:t>
      </w:r>
      <w:r>
        <w:rPr>
          <w:rFonts w:hint="eastAsia" w:ascii="Calibri" w:hAnsi="Calibri" w:eastAsia="仿宋_GB2312" w:cs="Times New Roman"/>
          <w:sz w:val="32"/>
          <w:szCs w:val="24"/>
        </w:rPr>
        <w:t>推动</w:t>
      </w:r>
      <w:r>
        <w:rPr>
          <w:rFonts w:ascii="Calibri" w:hAnsi="Calibri" w:eastAsia="仿宋_GB2312" w:cs="Times New Roman"/>
          <w:sz w:val="32"/>
          <w:szCs w:val="24"/>
        </w:rPr>
        <w:t>服务质量实现标准化、规范化和品牌化，</w:t>
      </w:r>
      <w:r>
        <w:rPr>
          <w:rFonts w:hint="eastAsia" w:ascii="Calibri" w:hAnsi="Calibri" w:eastAsia="仿宋_GB2312" w:cs="Times New Roman"/>
          <w:sz w:val="32"/>
          <w:szCs w:val="24"/>
        </w:rPr>
        <w:t>重点加强温泉旅游、商贸服务、职教园区等服务企业质量提升，鼓励市内</w:t>
      </w:r>
      <w:r>
        <w:rPr>
          <w:rFonts w:ascii="Calibri" w:hAnsi="Calibri" w:eastAsia="仿宋_GB2312" w:cs="Times New Roman"/>
          <w:sz w:val="32"/>
          <w:szCs w:val="24"/>
        </w:rPr>
        <w:t>骨干服务企业</w:t>
      </w:r>
      <w:r>
        <w:rPr>
          <w:rFonts w:hint="eastAsia" w:ascii="Calibri" w:hAnsi="Calibri" w:eastAsia="仿宋_GB2312" w:cs="Times New Roman"/>
          <w:sz w:val="32"/>
          <w:szCs w:val="24"/>
        </w:rPr>
        <w:t>对标</w:t>
      </w:r>
      <w:r>
        <w:rPr>
          <w:rFonts w:ascii="Calibri" w:hAnsi="Calibri" w:eastAsia="仿宋_GB2312" w:cs="Times New Roman"/>
          <w:sz w:val="32"/>
          <w:szCs w:val="24"/>
        </w:rPr>
        <w:t>国际先进水平。全面贯彻实施质量管理（ISO9001-GB/T19001）体系要求，重点服务业导入质量管理体系业绩改进指南（GB/T19004）。扶持</w:t>
      </w:r>
      <w:r>
        <w:rPr>
          <w:rFonts w:hint="eastAsia" w:ascii="Calibri" w:hAnsi="Calibri" w:eastAsia="仿宋_GB2312" w:cs="Times New Roman"/>
          <w:sz w:val="32"/>
          <w:szCs w:val="24"/>
        </w:rPr>
        <w:t>安宁</w:t>
      </w:r>
      <w:r>
        <w:rPr>
          <w:rFonts w:ascii="Calibri" w:hAnsi="Calibri" w:eastAsia="仿宋_GB2312" w:cs="Times New Roman"/>
          <w:sz w:val="32"/>
          <w:szCs w:val="24"/>
        </w:rPr>
        <w:t>老字号企业发展，</w:t>
      </w:r>
      <w:r>
        <w:rPr>
          <w:rFonts w:hint="eastAsia" w:ascii="Calibri" w:hAnsi="Calibri" w:eastAsia="仿宋_GB2312" w:cs="Times New Roman"/>
          <w:sz w:val="32"/>
          <w:szCs w:val="24"/>
        </w:rPr>
        <w:t>注重</w:t>
      </w:r>
      <w:r>
        <w:rPr>
          <w:rFonts w:ascii="Calibri" w:hAnsi="Calibri" w:eastAsia="仿宋_GB2312" w:cs="Times New Roman"/>
          <w:sz w:val="32"/>
          <w:szCs w:val="24"/>
        </w:rPr>
        <w:t>加强对名称、标志、版权等无形资产的开发保护，逐步</w:t>
      </w:r>
      <w:r>
        <w:rPr>
          <w:rFonts w:hint="eastAsia" w:ascii="Calibri" w:hAnsi="Calibri" w:eastAsia="仿宋_GB2312" w:cs="Times New Roman"/>
          <w:sz w:val="32"/>
          <w:szCs w:val="24"/>
        </w:rPr>
        <w:t>引导有条件的企业</w:t>
      </w:r>
      <w:r>
        <w:rPr>
          <w:rFonts w:ascii="Calibri" w:hAnsi="Calibri" w:eastAsia="仿宋_GB2312" w:cs="Times New Roman"/>
          <w:sz w:val="32"/>
          <w:szCs w:val="24"/>
        </w:rPr>
        <w:t>形成具有自主知识产权的知名品牌。引导服务企业</w:t>
      </w:r>
      <w:r>
        <w:rPr>
          <w:rFonts w:hint="eastAsia" w:ascii="Calibri" w:hAnsi="Calibri" w:eastAsia="仿宋_GB2312" w:cs="Times New Roman"/>
          <w:sz w:val="32"/>
          <w:szCs w:val="24"/>
        </w:rPr>
        <w:t>对标</w:t>
      </w:r>
      <w:r>
        <w:rPr>
          <w:rFonts w:ascii="Calibri" w:hAnsi="Calibri" w:eastAsia="仿宋_GB2312" w:cs="Times New Roman"/>
          <w:sz w:val="32"/>
          <w:szCs w:val="24"/>
        </w:rPr>
        <w:t>顾客满意度</w:t>
      </w:r>
      <w:r>
        <w:rPr>
          <w:rFonts w:hint="eastAsia" w:ascii="Calibri" w:hAnsi="Calibri" w:eastAsia="仿宋_GB2312" w:cs="Times New Roman"/>
          <w:sz w:val="32"/>
          <w:szCs w:val="24"/>
        </w:rPr>
        <w:t>、降低12315投诉率，</w:t>
      </w:r>
      <w:r>
        <w:rPr>
          <w:rFonts w:ascii="Calibri" w:hAnsi="Calibri" w:eastAsia="仿宋_GB2312" w:cs="Times New Roman"/>
          <w:sz w:val="32"/>
          <w:szCs w:val="24"/>
        </w:rPr>
        <w:t>实现</w:t>
      </w:r>
      <w:r>
        <w:rPr>
          <w:rFonts w:hint="eastAsia" w:ascii="Calibri" w:hAnsi="Calibri" w:eastAsia="仿宋_GB2312" w:cs="Times New Roman"/>
          <w:sz w:val="32"/>
          <w:szCs w:val="24"/>
        </w:rPr>
        <w:t>我市</w:t>
      </w:r>
      <w:r>
        <w:rPr>
          <w:rFonts w:ascii="Calibri" w:hAnsi="Calibri" w:eastAsia="仿宋_GB2312" w:cs="Times New Roman"/>
          <w:sz w:val="32"/>
          <w:szCs w:val="24"/>
        </w:rPr>
        <w:t>服务产品和服务方式转变。</w:t>
      </w:r>
    </w:p>
    <w:p w14:paraId="1F10990B">
      <w:pPr>
        <w:pStyle w:val="3"/>
        <w:rPr>
          <w:rFonts w:ascii="楷体" w:hAnsi="楷体" w:eastAsia="楷体" w:cs="Times New Roman"/>
          <w:sz w:val="32"/>
          <w:szCs w:val="24"/>
        </w:rPr>
      </w:pPr>
      <w:bookmarkStart w:id="71" w:name="_Toc56587064"/>
      <w:r>
        <w:rPr>
          <w:rFonts w:hint="eastAsia" w:ascii="楷体" w:hAnsi="楷体" w:eastAsia="楷体" w:cs="Times New Roman"/>
          <w:sz w:val="32"/>
          <w:szCs w:val="24"/>
        </w:rPr>
        <w:t>（二）加快推进标准化体系建设</w:t>
      </w:r>
      <w:bookmarkEnd w:id="71"/>
    </w:p>
    <w:p w14:paraId="0E99D59A">
      <w:pPr>
        <w:ind w:firstLine="643" w:firstLineChars="200"/>
        <w:rPr>
          <w:rFonts w:ascii="Calibri" w:hAnsi="Calibri" w:eastAsia="仿宋_GB2312" w:cs="Times New Roman"/>
          <w:sz w:val="32"/>
          <w:szCs w:val="24"/>
        </w:rPr>
      </w:pPr>
      <w:r>
        <w:rPr>
          <w:rFonts w:hint="eastAsia" w:ascii="Calibri" w:hAnsi="Calibri" w:eastAsia="仿宋_GB2312" w:cs="Times New Roman"/>
          <w:b/>
          <w:sz w:val="32"/>
          <w:szCs w:val="24"/>
        </w:rPr>
        <w:t>加快标准化体系建设。</w:t>
      </w:r>
      <w:r>
        <w:rPr>
          <w:rFonts w:ascii="Calibri" w:hAnsi="Calibri" w:eastAsia="仿宋_GB2312" w:cs="Times New Roman"/>
          <w:sz w:val="32"/>
          <w:szCs w:val="24"/>
        </w:rPr>
        <w:t>围绕</w:t>
      </w:r>
      <w:r>
        <w:rPr>
          <w:rFonts w:hint="eastAsia" w:ascii="Calibri" w:hAnsi="Calibri" w:eastAsia="仿宋_GB2312" w:cs="Times New Roman"/>
          <w:sz w:val="32"/>
          <w:szCs w:val="24"/>
        </w:rPr>
        <w:t>安宁市产业发展蓝图，对</w:t>
      </w:r>
      <w:r>
        <w:rPr>
          <w:rFonts w:ascii="Calibri" w:hAnsi="Calibri" w:eastAsia="仿宋_GB2312" w:cs="Times New Roman"/>
          <w:sz w:val="32"/>
          <w:szCs w:val="24"/>
        </w:rPr>
        <w:t>都市现代农业、</w:t>
      </w:r>
      <w:r>
        <w:rPr>
          <w:rFonts w:hint="eastAsia" w:ascii="Calibri" w:hAnsi="Calibri" w:eastAsia="仿宋_GB2312" w:cs="Times New Roman"/>
          <w:sz w:val="32"/>
          <w:szCs w:val="24"/>
        </w:rPr>
        <w:t>旅游</w:t>
      </w:r>
      <w:r>
        <w:rPr>
          <w:rFonts w:ascii="Calibri" w:hAnsi="Calibri" w:eastAsia="仿宋_GB2312" w:cs="Times New Roman"/>
          <w:sz w:val="32"/>
          <w:szCs w:val="24"/>
        </w:rPr>
        <w:t>服务业、</w:t>
      </w:r>
      <w:r>
        <w:rPr>
          <w:rFonts w:hint="eastAsia" w:ascii="Calibri" w:hAnsi="Calibri" w:eastAsia="仿宋_GB2312" w:cs="Times New Roman"/>
          <w:sz w:val="32"/>
          <w:szCs w:val="24"/>
        </w:rPr>
        <w:t>供应链物流、大健康</w:t>
      </w:r>
      <w:r>
        <w:rPr>
          <w:rFonts w:ascii="Calibri" w:hAnsi="Calibri" w:eastAsia="仿宋_GB2312" w:cs="Times New Roman"/>
          <w:sz w:val="32"/>
          <w:szCs w:val="24"/>
        </w:rPr>
        <w:t>等领域开展标准体系研究</w:t>
      </w:r>
      <w:r>
        <w:rPr>
          <w:rFonts w:hint="eastAsia" w:ascii="Calibri" w:hAnsi="Calibri" w:eastAsia="仿宋_GB2312" w:cs="Times New Roman"/>
          <w:sz w:val="32"/>
          <w:szCs w:val="24"/>
        </w:rPr>
        <w:t>，探索</w:t>
      </w:r>
      <w:r>
        <w:rPr>
          <w:rFonts w:ascii="Calibri" w:hAnsi="Calibri" w:eastAsia="仿宋_GB2312" w:cs="Times New Roman"/>
          <w:sz w:val="32"/>
          <w:szCs w:val="24"/>
        </w:rPr>
        <w:t>建立与国家标准、行业标准及市地方标准相互配套、协调一致的技术标准体系，</w:t>
      </w:r>
      <w:r>
        <w:rPr>
          <w:rFonts w:hint="eastAsia" w:ascii="Calibri" w:hAnsi="Calibri" w:eastAsia="仿宋_GB2312" w:cs="Times New Roman"/>
          <w:sz w:val="32"/>
          <w:szCs w:val="24"/>
        </w:rPr>
        <w:t>助推安宁市十四五</w:t>
      </w:r>
      <w:r>
        <w:rPr>
          <w:rFonts w:ascii="Calibri" w:hAnsi="Calibri" w:eastAsia="仿宋_GB2312" w:cs="Times New Roman"/>
          <w:sz w:val="32"/>
          <w:szCs w:val="24"/>
        </w:rPr>
        <w:t>产业结构调整和转型升级。加大标准化试点示范力度</w:t>
      </w:r>
      <w:r>
        <w:rPr>
          <w:rFonts w:hint="eastAsia" w:ascii="Calibri" w:hAnsi="Calibri" w:eastAsia="仿宋_GB2312" w:cs="Times New Roman"/>
          <w:sz w:val="32"/>
          <w:szCs w:val="24"/>
        </w:rPr>
        <w:t>，</w:t>
      </w:r>
      <w:r>
        <w:rPr>
          <w:rFonts w:ascii="Calibri" w:hAnsi="Calibri" w:eastAsia="仿宋_GB2312" w:cs="Times New Roman"/>
          <w:sz w:val="32"/>
          <w:szCs w:val="24"/>
        </w:rPr>
        <w:t>围绕物流、工业园区、旅游、社会管理和公共服务等领域推进标准化试点示范。支持无公害农产品、绿色食</w:t>
      </w:r>
      <w:r>
        <w:rPr>
          <w:rFonts w:ascii="Calibri" w:hAnsi="Calibri" w:eastAsia="仿宋_GB2312" w:cs="Times New Roman"/>
          <w:color w:val="000000" w:themeColor="text1"/>
          <w:sz w:val="32"/>
          <w:szCs w:val="24"/>
          <w14:textFill>
            <w14:solidFill>
              <w14:schemeClr w14:val="tx1"/>
            </w14:solidFill>
          </w14:textFill>
        </w:rPr>
        <w:t>品、有机食品认证，</w:t>
      </w:r>
      <w:r>
        <w:rPr>
          <w:rFonts w:hint="eastAsia" w:ascii="Calibri" w:hAnsi="Calibri" w:eastAsia="仿宋_GB2312" w:cs="Times New Roman"/>
          <w:color w:val="000000" w:themeColor="text1"/>
          <w:sz w:val="32"/>
          <w:szCs w:val="24"/>
          <w14:textFill>
            <w14:solidFill>
              <w14:schemeClr w14:val="tx1"/>
            </w14:solidFill>
          </w14:textFill>
        </w:rPr>
        <w:t>配合</w:t>
      </w:r>
      <w:r>
        <w:rPr>
          <w:rFonts w:ascii="Calibri" w:hAnsi="Calibri" w:eastAsia="仿宋_GB2312" w:cs="Times New Roman"/>
          <w:sz w:val="32"/>
          <w:szCs w:val="24"/>
        </w:rPr>
        <w:t>开展</w:t>
      </w:r>
      <w:r>
        <w:rPr>
          <w:rFonts w:hint="eastAsia" w:ascii="Calibri" w:hAnsi="Calibri" w:eastAsia="仿宋_GB2312" w:cs="Times New Roman"/>
          <w:sz w:val="32"/>
          <w:szCs w:val="24"/>
        </w:rPr>
        <w:t>红梨、玫瑰</w:t>
      </w:r>
      <w:r>
        <w:rPr>
          <w:rFonts w:ascii="Calibri" w:hAnsi="Calibri" w:eastAsia="仿宋_GB2312" w:cs="Times New Roman"/>
          <w:sz w:val="32"/>
          <w:szCs w:val="24"/>
        </w:rPr>
        <w:t>等基地标准化创建</w:t>
      </w:r>
      <w:r>
        <w:rPr>
          <w:rFonts w:hint="eastAsia" w:ascii="Calibri" w:hAnsi="Calibri" w:eastAsia="仿宋_GB2312" w:cs="Times New Roman"/>
          <w:sz w:val="32"/>
          <w:szCs w:val="24"/>
        </w:rPr>
        <w:t>，协同相关部门加强农业产品质量管理</w:t>
      </w:r>
      <w:r>
        <w:rPr>
          <w:rFonts w:ascii="Calibri" w:hAnsi="Calibri" w:eastAsia="仿宋_GB2312" w:cs="Times New Roman"/>
          <w:sz w:val="32"/>
          <w:szCs w:val="24"/>
        </w:rPr>
        <w:t>。加强在旅游服务业开展对标分析工作，开展</w:t>
      </w:r>
      <w:r>
        <w:rPr>
          <w:rFonts w:hint="eastAsia" w:ascii="Calibri" w:hAnsi="Calibri" w:eastAsia="仿宋_GB2312" w:cs="Times New Roman"/>
          <w:sz w:val="32"/>
          <w:szCs w:val="24"/>
        </w:rPr>
        <w:t>温泉</w:t>
      </w:r>
      <w:r>
        <w:rPr>
          <w:rFonts w:ascii="Calibri" w:hAnsi="Calibri" w:eastAsia="仿宋_GB2312" w:cs="Times New Roman"/>
          <w:sz w:val="32"/>
          <w:szCs w:val="24"/>
        </w:rPr>
        <w:t>旅游景区</w:t>
      </w:r>
      <w:r>
        <w:rPr>
          <w:rFonts w:hint="eastAsia" w:ascii="Calibri" w:hAnsi="Calibri" w:eastAsia="仿宋_GB2312" w:cs="Times New Roman"/>
          <w:sz w:val="32"/>
          <w:szCs w:val="24"/>
        </w:rPr>
        <w:t>产品质量管理</w:t>
      </w:r>
      <w:r>
        <w:rPr>
          <w:rFonts w:ascii="Calibri" w:hAnsi="Calibri" w:eastAsia="仿宋_GB2312" w:cs="Times New Roman"/>
          <w:sz w:val="32"/>
          <w:szCs w:val="24"/>
        </w:rPr>
        <w:t>。推进重点行业、重点工业企业采用国际标准和国外先进标准</w:t>
      </w:r>
      <w:r>
        <w:rPr>
          <w:rFonts w:hint="eastAsia" w:ascii="Calibri" w:hAnsi="Calibri" w:eastAsia="仿宋_GB2312" w:cs="Times New Roman"/>
          <w:sz w:val="32"/>
          <w:szCs w:val="24"/>
        </w:rPr>
        <w:t>，</w:t>
      </w:r>
      <w:r>
        <w:rPr>
          <w:rFonts w:ascii="Calibri" w:hAnsi="Calibri" w:eastAsia="仿宋_GB2312" w:cs="Times New Roman"/>
          <w:sz w:val="32"/>
          <w:szCs w:val="24"/>
        </w:rPr>
        <w:t>支持企业和技术机构研究制定具有自主知识产权和核心关键技术的技术标准。充分发挥行业协会、中介组织优势，开发行业性质量改进方案，中小企业要建立起标准、计量检测和质量管理体系，加强质量检验工作，扎实推行质量管理小组活动（QC）、统计过程控制（SPC）等提质降耗增效方法。</w:t>
      </w:r>
    </w:p>
    <w:p w14:paraId="698C5578">
      <w:pPr>
        <w:ind w:firstLine="643" w:firstLineChars="200"/>
        <w:rPr>
          <w:rFonts w:ascii="Calibri" w:hAnsi="Calibri" w:eastAsia="仿宋_GB2312" w:cs="Times New Roman"/>
          <w:sz w:val="32"/>
          <w:szCs w:val="24"/>
        </w:rPr>
      </w:pPr>
      <w:r>
        <w:rPr>
          <w:rFonts w:ascii="Calibri" w:hAnsi="Calibri" w:eastAsia="仿宋_GB2312" w:cs="Times New Roman"/>
          <w:b/>
          <w:bCs/>
          <w:sz w:val="32"/>
          <w:szCs w:val="24"/>
        </w:rPr>
        <w:t>强化</w:t>
      </w:r>
      <w:r>
        <w:rPr>
          <w:rFonts w:hint="eastAsia" w:ascii="Calibri" w:hAnsi="Calibri" w:eastAsia="仿宋_GB2312" w:cs="Times New Roman"/>
          <w:b/>
          <w:bCs/>
          <w:sz w:val="32"/>
          <w:szCs w:val="24"/>
        </w:rPr>
        <w:t>“老百姓身边的小事”</w:t>
      </w:r>
      <w:r>
        <w:rPr>
          <w:rFonts w:ascii="Calibri" w:hAnsi="Calibri" w:eastAsia="仿宋_GB2312" w:cs="Times New Roman"/>
          <w:b/>
          <w:bCs/>
          <w:sz w:val="32"/>
          <w:szCs w:val="24"/>
        </w:rPr>
        <w:t>安全标准体系建设。</w:t>
      </w:r>
      <w:r>
        <w:rPr>
          <w:rFonts w:hint="eastAsia" w:ascii="Calibri" w:hAnsi="Calibri" w:eastAsia="仿宋_GB2312" w:cs="Times New Roman"/>
          <w:sz w:val="32"/>
          <w:szCs w:val="24"/>
        </w:rPr>
        <w:t>坚持把人民群众的小事当作自己的大事，围绕老百姓身边的小事，探索建立一批安全标准体系。</w:t>
      </w:r>
      <w:r>
        <w:rPr>
          <w:rFonts w:ascii="Calibri" w:hAnsi="Calibri" w:eastAsia="仿宋_GB2312" w:cs="Times New Roman"/>
          <w:sz w:val="32"/>
          <w:szCs w:val="24"/>
        </w:rPr>
        <w:t>推动</w:t>
      </w:r>
      <w:r>
        <w:rPr>
          <w:rFonts w:hint="eastAsia" w:ascii="Calibri" w:hAnsi="Calibri" w:eastAsia="仿宋_GB2312" w:cs="Times New Roman"/>
          <w:sz w:val="32"/>
          <w:szCs w:val="24"/>
        </w:rPr>
        <w:t>安宁市</w:t>
      </w:r>
      <w:r>
        <w:rPr>
          <w:rFonts w:ascii="Calibri" w:hAnsi="Calibri" w:eastAsia="仿宋_GB2312" w:cs="Times New Roman"/>
          <w:sz w:val="32"/>
          <w:szCs w:val="24"/>
        </w:rPr>
        <w:t>食品生产企业积极导入HACCP、ISO22000等先进管理标准，推进药品和医疗器械新版GMP认证，逐年扩大新版GMP的产品范围。加强基本社会服务标准体系建设</w:t>
      </w:r>
      <w:r>
        <w:rPr>
          <w:rFonts w:hint="eastAsia" w:ascii="Calibri" w:hAnsi="Calibri" w:eastAsia="仿宋_GB2312" w:cs="Times New Roman"/>
          <w:sz w:val="32"/>
          <w:szCs w:val="24"/>
        </w:rPr>
        <w:t>，联动各部门研究</w:t>
      </w:r>
      <w:r>
        <w:rPr>
          <w:rFonts w:ascii="Calibri" w:hAnsi="Calibri" w:eastAsia="仿宋_GB2312" w:cs="Times New Roman"/>
          <w:sz w:val="32"/>
          <w:szCs w:val="24"/>
        </w:rPr>
        <w:t>实施老龄服务、社区建设、志愿服务、社会工作、社会救助、基层民主等方面的标准，提高基本社会服务标准化水平，保障基本社会服务的质量和规模。完善社区信息化标准体系，提高社区基础设施建设标准，推动智慧社区标准建设，提升社区管理和服务标准化水平。实现80%以上质量关键岗位人员持证上岗，市场准入行业企业关键质量岗位人员全部持证上岗。</w:t>
      </w:r>
    </w:p>
    <w:p w14:paraId="65F36093">
      <w:pPr>
        <w:pStyle w:val="3"/>
        <w:rPr>
          <w:rFonts w:ascii="楷体" w:hAnsi="楷体" w:eastAsia="楷体" w:cs="Times New Roman"/>
          <w:sz w:val="32"/>
          <w:szCs w:val="24"/>
        </w:rPr>
      </w:pPr>
      <w:bookmarkStart w:id="72" w:name="_Toc56587065"/>
      <w:r>
        <w:rPr>
          <w:rFonts w:ascii="楷体" w:hAnsi="楷体" w:eastAsia="楷体" w:cs="Times New Roman"/>
          <w:sz w:val="32"/>
          <w:szCs w:val="24"/>
        </w:rPr>
        <w:t>（</w:t>
      </w:r>
      <w:r>
        <w:rPr>
          <w:rFonts w:hint="eastAsia" w:ascii="楷体" w:hAnsi="楷体" w:eastAsia="楷体" w:cs="Times New Roman"/>
          <w:sz w:val="32"/>
          <w:szCs w:val="24"/>
        </w:rPr>
        <w:t>三</w:t>
      </w:r>
      <w:r>
        <w:rPr>
          <w:rFonts w:ascii="楷体" w:hAnsi="楷体" w:eastAsia="楷体" w:cs="Times New Roman"/>
          <w:sz w:val="32"/>
          <w:szCs w:val="24"/>
        </w:rPr>
        <w:t>）</w:t>
      </w:r>
      <w:r>
        <w:rPr>
          <w:rFonts w:hint="eastAsia" w:ascii="楷体" w:hAnsi="楷体" w:eastAsia="楷体" w:cs="Times New Roman"/>
          <w:sz w:val="32"/>
          <w:szCs w:val="24"/>
        </w:rPr>
        <w:t>加强质量诚信建设</w:t>
      </w:r>
      <w:bookmarkEnd w:id="72"/>
    </w:p>
    <w:p w14:paraId="28E7606B">
      <w:pPr>
        <w:ind w:firstLine="640" w:firstLineChars="200"/>
        <w:rPr>
          <w:rFonts w:ascii="Calibri" w:hAnsi="Calibri" w:eastAsia="仿宋_GB2312" w:cs="Times New Roman"/>
          <w:sz w:val="32"/>
          <w:szCs w:val="24"/>
        </w:rPr>
      </w:pPr>
      <w:r>
        <w:rPr>
          <w:rFonts w:ascii="Calibri" w:hAnsi="Calibri" w:eastAsia="仿宋_GB2312" w:cs="Times New Roman"/>
          <w:sz w:val="32"/>
          <w:szCs w:val="24"/>
        </w:rPr>
        <w:t>实施质量诚信管理</w:t>
      </w:r>
      <w:r>
        <w:rPr>
          <w:rFonts w:hint="eastAsia" w:ascii="Calibri" w:hAnsi="Calibri" w:eastAsia="仿宋_GB2312" w:cs="Times New Roman"/>
          <w:sz w:val="32"/>
          <w:szCs w:val="24"/>
        </w:rPr>
        <w:t>。</w:t>
      </w:r>
      <w:r>
        <w:rPr>
          <w:rFonts w:ascii="Calibri" w:hAnsi="Calibri" w:eastAsia="仿宋_GB2312" w:cs="Times New Roman"/>
          <w:sz w:val="32"/>
          <w:szCs w:val="24"/>
        </w:rPr>
        <w:t>鼓励企业导入质量诚信管理体系，设立质量诚信负责人，制定企业质量诚信方针，开展质量承诺</w:t>
      </w:r>
      <w:r>
        <w:rPr>
          <w:rFonts w:hint="eastAsia" w:ascii="Calibri" w:hAnsi="Calibri" w:eastAsia="仿宋_GB2312" w:cs="Times New Roman"/>
          <w:sz w:val="32"/>
          <w:szCs w:val="24"/>
        </w:rPr>
        <w:t>。</w:t>
      </w:r>
      <w:r>
        <w:rPr>
          <w:rFonts w:ascii="Calibri" w:hAnsi="Calibri" w:eastAsia="仿宋_GB2312" w:cs="Times New Roman"/>
          <w:sz w:val="32"/>
          <w:szCs w:val="24"/>
        </w:rPr>
        <w:t>开展质量失信评估与处置</w:t>
      </w:r>
      <w:r>
        <w:rPr>
          <w:rFonts w:hint="eastAsia" w:ascii="Calibri" w:hAnsi="Calibri" w:eastAsia="仿宋_GB2312" w:cs="Times New Roman"/>
          <w:sz w:val="32"/>
          <w:szCs w:val="24"/>
        </w:rPr>
        <w:t>，</w:t>
      </w:r>
      <w:r>
        <w:rPr>
          <w:rFonts w:ascii="Calibri" w:hAnsi="Calibri" w:eastAsia="仿宋_GB2312" w:cs="Times New Roman"/>
          <w:sz w:val="32"/>
          <w:szCs w:val="24"/>
        </w:rPr>
        <w:t>推动企业建立质量失信评估与处置机制，及时处理和调查质量失信行为，明确失信原因，评估失信后果，采取适当措施，改善质量信用状况。促进部门联动，互通信用信息，促进社会净化和道德重建，共同营造“守信处处受益、失信寸步难行”的诚实守信的社会气氛。</w:t>
      </w:r>
    </w:p>
    <w:p w14:paraId="3C7A68A2">
      <w:pPr>
        <w:pStyle w:val="3"/>
        <w:rPr>
          <w:rFonts w:ascii="楷体" w:hAnsi="楷体" w:eastAsia="楷体" w:cs="Times New Roman"/>
          <w:sz w:val="32"/>
          <w:szCs w:val="24"/>
        </w:rPr>
      </w:pPr>
      <w:bookmarkStart w:id="73" w:name="_Toc56587067"/>
      <w:r>
        <w:rPr>
          <w:rFonts w:hint="eastAsia" w:ascii="楷体" w:hAnsi="楷体" w:eastAsia="楷体" w:cs="Times New Roman"/>
          <w:sz w:val="32"/>
          <w:szCs w:val="24"/>
        </w:rPr>
        <w:t>（四）不断筑牢质量建设的基础</w:t>
      </w:r>
      <w:bookmarkEnd w:id="73"/>
    </w:p>
    <w:p w14:paraId="7EEC51E8">
      <w:pPr>
        <w:ind w:firstLine="643" w:firstLineChars="200"/>
        <w:rPr>
          <w:rFonts w:ascii="Calibri" w:hAnsi="Calibri" w:eastAsia="仿宋_GB2312" w:cs="Times New Roman"/>
          <w:sz w:val="32"/>
          <w:szCs w:val="24"/>
        </w:rPr>
      </w:pPr>
      <w:r>
        <w:rPr>
          <w:rFonts w:ascii="Calibri" w:hAnsi="Calibri" w:eastAsia="仿宋_GB2312" w:cs="Times New Roman"/>
          <w:b/>
          <w:sz w:val="32"/>
          <w:szCs w:val="24"/>
        </w:rPr>
        <w:t>改革创新质量工作。</w:t>
      </w:r>
      <w:r>
        <w:rPr>
          <w:rFonts w:ascii="Calibri" w:hAnsi="Calibri" w:eastAsia="仿宋_GB2312" w:cs="Times New Roman"/>
          <w:sz w:val="32"/>
          <w:szCs w:val="24"/>
        </w:rPr>
        <w:t>统筹质量基础设施建设和综合应用。加快建立质量监测评价体系，加强制造业质量合格率调查。全面清理名牌评选认定和各类评比达标、示范创建活动。统筹食品安全督查考核、质量工作考核，建立统一的督察工作制度。</w:t>
      </w:r>
    </w:p>
    <w:p w14:paraId="695C0656">
      <w:pPr>
        <w:ind w:firstLine="643" w:firstLineChars="200"/>
        <w:rPr>
          <w:rFonts w:ascii="Calibri" w:hAnsi="Calibri" w:eastAsia="仿宋_GB2312" w:cs="Times New Roman"/>
          <w:sz w:val="32"/>
          <w:szCs w:val="24"/>
        </w:rPr>
      </w:pPr>
      <w:r>
        <w:rPr>
          <w:rFonts w:ascii="Calibri" w:hAnsi="Calibri" w:eastAsia="仿宋_GB2312" w:cs="Times New Roman"/>
          <w:b/>
          <w:sz w:val="32"/>
          <w:szCs w:val="24"/>
        </w:rPr>
        <w:t>筑牢计量技术基础。</w:t>
      </w:r>
      <w:r>
        <w:rPr>
          <w:rFonts w:ascii="Calibri" w:hAnsi="Calibri" w:eastAsia="仿宋_GB2312" w:cs="Times New Roman"/>
          <w:sz w:val="32"/>
          <w:szCs w:val="24"/>
        </w:rPr>
        <w:t>适应计量国际变革趋势，加强计量基础建设，提升国家计量基准标准能力。强化加油机、民用三表等重点计量器具监管。建立强制检定计量器具目录动态管理机制，推进目录“瘦身”。实施定量包装商品生产企业自我声明制度，取消计量保证能力现场核查。</w:t>
      </w:r>
    </w:p>
    <w:p w14:paraId="3ABC0420">
      <w:pPr>
        <w:ind w:firstLine="643" w:firstLineChars="200"/>
        <w:rPr>
          <w:rFonts w:ascii="Calibri" w:hAnsi="Calibri" w:eastAsia="仿宋_GB2312" w:cs="Times New Roman"/>
          <w:sz w:val="32"/>
          <w:szCs w:val="24"/>
        </w:rPr>
      </w:pPr>
      <w:r>
        <w:rPr>
          <w:rFonts w:ascii="Calibri" w:hAnsi="Calibri" w:eastAsia="仿宋_GB2312" w:cs="Times New Roman"/>
          <w:b/>
          <w:sz w:val="32"/>
          <w:szCs w:val="24"/>
        </w:rPr>
        <w:t>强化标准体系建设。</w:t>
      </w:r>
      <w:r>
        <w:rPr>
          <w:rFonts w:ascii="Calibri" w:hAnsi="Calibri" w:eastAsia="仿宋_GB2312" w:cs="Times New Roman"/>
          <w:sz w:val="32"/>
          <w:szCs w:val="24"/>
        </w:rPr>
        <w:t>持续深化标准化工作改革，不断提升国家标准底线，特别要提升食品药品和消费品安全标准水平。开展国内外标准对标达标，实施新技术、新产业标准领航和传统产业标准改造升级行动。加快完善服务业标准体系。培育发展团体标准，规范管理地方标准，推进企业标准自我声明公开制度，加强对标准实施的监督检查。</w:t>
      </w:r>
    </w:p>
    <w:p w14:paraId="33FBBD6E">
      <w:pPr>
        <w:ind w:firstLine="643" w:firstLineChars="200"/>
        <w:rPr>
          <w:rFonts w:ascii="Calibri" w:hAnsi="Calibri" w:eastAsia="仿宋_GB2312" w:cs="Times New Roman"/>
          <w:sz w:val="32"/>
          <w:szCs w:val="24"/>
        </w:rPr>
      </w:pPr>
      <w:r>
        <w:rPr>
          <w:rFonts w:ascii="Calibri" w:hAnsi="Calibri" w:eastAsia="仿宋_GB2312" w:cs="Times New Roman"/>
          <w:b/>
          <w:sz w:val="32"/>
          <w:szCs w:val="24"/>
        </w:rPr>
        <w:t>完善认证认可和检验检测体系。</w:t>
      </w:r>
      <w:r>
        <w:rPr>
          <w:rFonts w:ascii="Calibri" w:hAnsi="Calibri" w:eastAsia="仿宋_GB2312" w:cs="Times New Roman"/>
          <w:sz w:val="32"/>
          <w:szCs w:val="24"/>
        </w:rPr>
        <w:t>加强认证认可和检验检测市场监管，提高国内公信力和国际互认度，推动认证认可事业健康发展。推动</w:t>
      </w:r>
      <w:r>
        <w:rPr>
          <w:rFonts w:hint="eastAsia" w:ascii="Calibri" w:hAnsi="Calibri" w:eastAsia="仿宋_GB2312" w:cs="Times New Roman"/>
          <w:sz w:val="32"/>
          <w:szCs w:val="24"/>
        </w:rPr>
        <w:t>检验</w:t>
      </w:r>
      <w:r>
        <w:rPr>
          <w:rFonts w:ascii="Calibri" w:hAnsi="Calibri" w:eastAsia="仿宋_GB2312" w:cs="Times New Roman"/>
          <w:sz w:val="32"/>
          <w:szCs w:val="24"/>
        </w:rPr>
        <w:t>检测认证机构市场化改革，加强公共服务平台建设。打破市场准入限制和区域分割，鼓励社会力量进入检验检测市场。</w:t>
      </w:r>
      <w:r>
        <w:rPr>
          <w:rFonts w:hint="eastAsia" w:ascii="Calibri" w:hAnsi="Calibri" w:eastAsia="仿宋_GB2312" w:cs="Times New Roman"/>
          <w:sz w:val="32"/>
          <w:szCs w:val="24"/>
        </w:rPr>
        <w:t xml:space="preserve"> </w:t>
      </w:r>
      <w:bookmarkEnd w:id="43"/>
    </w:p>
    <w:p w14:paraId="69B6B1C9">
      <w:pPr>
        <w:pStyle w:val="2"/>
        <w:rPr>
          <w:rFonts w:ascii="黑体" w:hAnsi="黑体" w:eastAsia="黑体" w:cs="Times New Roman"/>
          <w:szCs w:val="24"/>
        </w:rPr>
      </w:pPr>
      <w:bookmarkStart w:id="74" w:name="_Toc56587068"/>
      <w:bookmarkStart w:id="75" w:name="_Toc63151498"/>
      <w:r>
        <w:rPr>
          <w:rFonts w:hint="eastAsia" w:ascii="黑体" w:hAnsi="黑体" w:eastAsia="黑体" w:cs="Times New Roman"/>
          <w:szCs w:val="24"/>
        </w:rPr>
        <w:t>五、加强市场竞争秩序监管</w:t>
      </w:r>
      <w:bookmarkEnd w:id="74"/>
      <w:r>
        <w:rPr>
          <w:rFonts w:hint="eastAsia" w:ascii="黑体" w:hAnsi="黑体" w:eastAsia="黑体" w:cs="Times New Roman"/>
          <w:szCs w:val="24"/>
        </w:rPr>
        <w:t>，打造公平有序的市场秩序</w:t>
      </w:r>
      <w:bookmarkEnd w:id="75"/>
    </w:p>
    <w:p w14:paraId="0565970C">
      <w:pPr>
        <w:pStyle w:val="13"/>
        <w:shd w:val="clear" w:color="auto" w:fill="FFFFFF"/>
        <w:spacing w:before="0" w:beforeAutospacing="0" w:after="0" w:afterAutospacing="0"/>
        <w:ind w:firstLine="640" w:firstLineChars="200"/>
        <w:jc w:val="both"/>
        <w:textAlignment w:val="baseline"/>
        <w:rPr>
          <w:rStyle w:val="18"/>
          <w:rFonts w:ascii="仿宋_GB2312" w:hAnsi="微软雅黑" w:eastAsia="仿宋_GB2312"/>
          <w:b w:val="0"/>
          <w:bCs w:val="0"/>
          <w:color w:val="252525"/>
          <w:sz w:val="32"/>
          <w:szCs w:val="32"/>
        </w:rPr>
      </w:pPr>
      <w:r>
        <w:rPr>
          <w:rFonts w:hint="eastAsia" w:ascii="仿宋_GB2312" w:hAnsi="微软雅黑" w:eastAsia="仿宋_GB2312"/>
          <w:color w:val="252525"/>
          <w:sz w:val="32"/>
          <w:szCs w:val="32"/>
        </w:rPr>
        <w:t>建立完善多层次、全方位的反不正当竞争执法监管体系，着力构建“打、控、防、管”综合体系，加强执法效能监察，严肃追究失职、失责行为，切实维护公平竞争和交易安全。到2025年，不正当竞争信息披露率100%，完成无传销社区（村）全覆盖，知识产权资助及扶持兑现率达100%。</w:t>
      </w:r>
    </w:p>
    <w:p w14:paraId="4AD13FE2">
      <w:pPr>
        <w:pStyle w:val="3"/>
        <w:numPr>
          <w:ilvl w:val="0"/>
          <w:numId w:val="1"/>
        </w:numPr>
        <w:rPr>
          <w:rFonts w:ascii="楷体" w:hAnsi="楷体" w:eastAsia="楷体" w:cs="Times New Roman"/>
          <w:sz w:val="32"/>
          <w:szCs w:val="24"/>
        </w:rPr>
      </w:pPr>
      <w:bookmarkStart w:id="76" w:name="_Toc56587069"/>
      <w:r>
        <w:rPr>
          <w:rFonts w:hint="eastAsia" w:ascii="楷体" w:hAnsi="楷体" w:eastAsia="楷体" w:cs="Times New Roman"/>
          <w:sz w:val="32"/>
          <w:szCs w:val="24"/>
        </w:rPr>
        <w:t>加强反不正当竞争执法监管机制建设</w:t>
      </w:r>
      <w:bookmarkEnd w:id="76"/>
    </w:p>
    <w:p w14:paraId="6A82968B">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252525"/>
          <w:sz w:val="32"/>
          <w:szCs w:val="32"/>
        </w:rPr>
      </w:pPr>
      <w:r>
        <w:rPr>
          <w:rFonts w:hint="eastAsia" w:ascii="仿宋_GB2312" w:hAnsi="微软雅黑" w:eastAsia="仿宋_GB2312"/>
          <w:color w:val="252525"/>
          <w:sz w:val="32"/>
          <w:szCs w:val="32"/>
        </w:rPr>
        <w:t>围绕严厉打击侵犯知识产权和制售假冒伪劣商品等违法行为，净化市场环境的目标，深化反不正当竞争执法监管机制建设。建立以信用为核心的新型反不正当竞争执法监管机制，强化企业自我约束功能。着重建立完善反不正当竞争区域合作机制、防范预警机制、信息披露与惩戒机制、行业自律与社会监督机制。</w:t>
      </w:r>
    </w:p>
    <w:p w14:paraId="13F6B0D0">
      <w:pPr>
        <w:pStyle w:val="3"/>
        <w:numPr>
          <w:ilvl w:val="0"/>
          <w:numId w:val="1"/>
        </w:numPr>
        <w:rPr>
          <w:rFonts w:ascii="楷体" w:hAnsi="楷体" w:eastAsia="楷体" w:cs="Times New Roman"/>
          <w:sz w:val="32"/>
          <w:szCs w:val="24"/>
        </w:rPr>
      </w:pPr>
      <w:bookmarkStart w:id="77" w:name="_Toc56587070"/>
      <w:r>
        <w:rPr>
          <w:rFonts w:hint="eastAsia" w:ascii="楷体" w:hAnsi="楷体" w:eastAsia="楷体" w:cs="Times New Roman"/>
          <w:sz w:val="32"/>
          <w:szCs w:val="24"/>
        </w:rPr>
        <w:t>加强知识产权保护和监管</w:t>
      </w:r>
      <w:bookmarkEnd w:id="77"/>
    </w:p>
    <w:p w14:paraId="1F56A0FD">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252525"/>
          <w:sz w:val="32"/>
          <w:szCs w:val="32"/>
        </w:rPr>
      </w:pPr>
      <w:r>
        <w:rPr>
          <w:rFonts w:hint="eastAsia" w:ascii="仿宋_GB2312" w:hAnsi="微软雅黑" w:eastAsia="仿宋_GB2312"/>
          <w:b/>
          <w:bCs/>
          <w:color w:val="252525"/>
          <w:sz w:val="32"/>
          <w:szCs w:val="32"/>
        </w:rPr>
        <w:t>加强知识产权保护力度。</w:t>
      </w:r>
      <w:r>
        <w:rPr>
          <w:rFonts w:hint="eastAsia" w:ascii="仿宋_GB2312" w:hAnsi="微软雅黑" w:eastAsia="仿宋_GB2312"/>
          <w:color w:val="252525"/>
          <w:sz w:val="32"/>
          <w:szCs w:val="32"/>
        </w:rPr>
        <w:t>进一步健全知识产权联席会议的工作机制，加大打击盗版、假冒、仿冒产品等方面的联合执法力度，努力营造一个纯净的市场竞争氛围。探索建立知识产权维权服务中心，</w:t>
      </w:r>
      <w:r>
        <w:rPr>
          <w:rFonts w:hint="eastAsia" w:ascii="仿宋_GB2312" w:hAnsi="仿宋_GB2312" w:eastAsia="仿宋_GB2312" w:cs="仿宋_GB2312"/>
          <w:color w:val="000000" w:themeColor="text1"/>
          <w:sz w:val="32"/>
          <w:szCs w:val="32"/>
          <w14:textFill>
            <w14:solidFill>
              <w14:schemeClr w14:val="tx1"/>
            </w14:solidFill>
          </w14:textFill>
        </w:rPr>
        <w:t>推动完善知识产权</w:t>
      </w:r>
      <w:r>
        <w:rPr>
          <w:rFonts w:hint="eastAsia" w:ascii="仿宋_GB2312" w:hAnsi="仿宋_GB2312" w:cs="仿宋_GB2312"/>
          <w:color w:val="000000" w:themeColor="text1"/>
          <w:sz w:val="32"/>
          <w:szCs w:val="32"/>
          <w14:textFill>
            <w14:solidFill>
              <w14:schemeClr w14:val="tx1"/>
            </w14:solidFill>
          </w14:textFill>
        </w:rPr>
        <w:t>调解、</w:t>
      </w:r>
      <w:r>
        <w:rPr>
          <w:rFonts w:hint="eastAsia" w:ascii="仿宋_GB2312" w:hAnsi="仿宋_GB2312" w:eastAsia="仿宋_GB2312" w:cs="仿宋_GB2312"/>
          <w:color w:val="000000" w:themeColor="text1"/>
          <w:sz w:val="32"/>
          <w:szCs w:val="32"/>
          <w14:textFill>
            <w14:solidFill>
              <w14:schemeClr w14:val="tx1"/>
            </w14:solidFill>
          </w14:textFill>
        </w:rPr>
        <w:t>仲裁、公证工作机制。建立知识产权专家顾问团和志愿者队伍，吸纳高校、研究机构、行业协会和学会人员，积极参与政策宣讲、维权咨询、业务培训等工作。</w:t>
      </w:r>
      <w:r>
        <w:rPr>
          <w:rFonts w:hint="eastAsia" w:ascii="仿宋_GB2312" w:hAnsi="微软雅黑" w:eastAsia="仿宋_GB2312"/>
          <w:color w:val="252525"/>
          <w:sz w:val="32"/>
          <w:szCs w:val="32"/>
        </w:rPr>
        <w:t>加强科普活动与知识产权宣传的结合，持续深入开展知识产权进校园、进企业等活动。</w:t>
      </w:r>
    </w:p>
    <w:p w14:paraId="5C2932CF">
      <w:pPr>
        <w:pStyle w:val="13"/>
        <w:shd w:val="clear" w:color="auto" w:fill="FFFFFF"/>
        <w:spacing w:before="0" w:beforeAutospacing="0" w:after="0" w:afterAutospacing="0"/>
        <w:ind w:firstLine="643" w:firstLineChars="200"/>
        <w:jc w:val="both"/>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微软雅黑" w:eastAsia="仿宋_GB2312"/>
          <w:b/>
          <w:bCs/>
          <w:color w:val="252525"/>
          <w:sz w:val="32"/>
          <w:szCs w:val="32"/>
        </w:rPr>
        <w:t>进一步提升企业的主体地位</w:t>
      </w:r>
      <w:r>
        <w:rPr>
          <w:rFonts w:hint="eastAsia" w:ascii="仿宋_GB2312" w:hAnsi="微软雅黑" w:eastAsia="仿宋_GB2312"/>
          <w:color w:val="252525"/>
          <w:sz w:val="32"/>
          <w:szCs w:val="32"/>
        </w:rPr>
        <w:t>。重点提升企业在知识产权创造、运用、保护和管理中的主体地位和作用，不断增强企业的知识产权意识，通过鼓励扶持企业实施知识产权战略，促进专利、商标、版权战略的融合，全面提升企业知识产权保护和管理的水平。在建立知识产权保护制度和法律顾问机制，加强项目合同的知识产权管理，明确开发项目的知识产权权属等方面，开展知识产权布局和指导工作。推广使用企业知识产权保护指南、合同范本和维权流程等操作指引。支持商标品牌培育。</w:t>
      </w:r>
    </w:p>
    <w:p w14:paraId="5C698AE4">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252525"/>
          <w:sz w:val="32"/>
          <w:szCs w:val="32"/>
        </w:rPr>
      </w:pPr>
      <w:r>
        <w:rPr>
          <w:rFonts w:ascii="仿宋_GB2312" w:hAnsi="微软雅黑" w:eastAsia="仿宋_GB2312"/>
          <w:b/>
          <w:bCs/>
          <w:color w:val="252525"/>
          <w:sz w:val="32"/>
          <w:szCs w:val="32"/>
        </w:rPr>
        <w:t>进一步完善知识产权相关政策。</w:t>
      </w:r>
      <w:r>
        <w:rPr>
          <w:rFonts w:ascii="仿宋_GB2312" w:hAnsi="微软雅黑" w:eastAsia="仿宋_GB2312"/>
          <w:color w:val="252525"/>
          <w:sz w:val="32"/>
          <w:szCs w:val="32"/>
        </w:rPr>
        <w:t>进一步营造鼓励创新的政策环境</w:t>
      </w:r>
      <w:r>
        <w:rPr>
          <w:rFonts w:hint="eastAsia" w:ascii="仿宋_GB2312" w:hAnsi="微软雅黑" w:eastAsia="仿宋_GB2312"/>
          <w:color w:val="252525"/>
          <w:sz w:val="32"/>
          <w:szCs w:val="32"/>
        </w:rPr>
        <w:t>，</w:t>
      </w:r>
      <w:r>
        <w:rPr>
          <w:rFonts w:ascii="仿宋_GB2312" w:hAnsi="微软雅黑" w:eastAsia="仿宋_GB2312"/>
          <w:color w:val="252525"/>
          <w:sz w:val="32"/>
          <w:szCs w:val="32"/>
        </w:rPr>
        <w:t>加大对知识产权工作的扶持力度，将知识产权创造、运用的政策与科技、产业等政策进行对接，从而充分发挥政策的综合效应。加快知识产权专业服务多元化、专业化和市场化建设步伐，进一步</w:t>
      </w:r>
      <w:r>
        <w:rPr>
          <w:rFonts w:hint="eastAsia" w:ascii="仿宋_GB2312" w:hAnsi="微软雅黑" w:eastAsia="仿宋_GB2312"/>
          <w:color w:val="252525"/>
          <w:sz w:val="32"/>
          <w:szCs w:val="32"/>
        </w:rPr>
        <w:t>构建知识产权服务平台，加强</w:t>
      </w:r>
      <w:r>
        <w:rPr>
          <w:rFonts w:ascii="仿宋_GB2312" w:hAnsi="微软雅黑" w:eastAsia="仿宋_GB2312"/>
          <w:color w:val="252525"/>
          <w:sz w:val="32"/>
          <w:szCs w:val="32"/>
        </w:rPr>
        <w:t>知识产权管理和运用上的沟通和互动，</w:t>
      </w:r>
      <w:r>
        <w:rPr>
          <w:rFonts w:hint="eastAsia" w:ascii="仿宋_GB2312" w:hAnsi="微软雅黑" w:eastAsia="仿宋_GB2312"/>
          <w:color w:val="252525"/>
          <w:sz w:val="32"/>
          <w:szCs w:val="32"/>
        </w:rPr>
        <w:t>鼓励企业</w:t>
      </w:r>
      <w:r>
        <w:rPr>
          <w:rFonts w:ascii="仿宋_GB2312" w:hAnsi="微软雅黑" w:eastAsia="仿宋_GB2312"/>
          <w:color w:val="252525"/>
          <w:sz w:val="32"/>
          <w:szCs w:val="32"/>
        </w:rPr>
        <w:t>积极开展科技合作，研发新技术、新产品，提升综合实力</w:t>
      </w:r>
      <w:r>
        <w:rPr>
          <w:rFonts w:hint="eastAsia" w:ascii="仿宋_GB2312" w:hAnsi="微软雅黑" w:eastAsia="仿宋_GB2312"/>
          <w:color w:val="252525"/>
          <w:sz w:val="32"/>
          <w:szCs w:val="32"/>
        </w:rPr>
        <w:t>。</w:t>
      </w:r>
    </w:p>
    <w:p w14:paraId="4BE2626A">
      <w:pPr>
        <w:pStyle w:val="3"/>
        <w:numPr>
          <w:ilvl w:val="0"/>
          <w:numId w:val="1"/>
        </w:numPr>
        <w:rPr>
          <w:rFonts w:ascii="楷体" w:hAnsi="楷体" w:eastAsia="楷体" w:cs="Times New Roman"/>
          <w:sz w:val="32"/>
          <w:szCs w:val="24"/>
        </w:rPr>
      </w:pPr>
      <w:bookmarkStart w:id="78" w:name="_Toc56587071"/>
      <w:r>
        <w:rPr>
          <w:rFonts w:hint="eastAsia" w:ascii="楷体" w:hAnsi="楷体" w:eastAsia="楷体" w:cs="Times New Roman"/>
          <w:sz w:val="32"/>
          <w:szCs w:val="24"/>
        </w:rPr>
        <w:t>加大市场价格综合监管力度</w:t>
      </w:r>
      <w:bookmarkEnd w:id="78"/>
    </w:p>
    <w:p w14:paraId="7C7C7BDA">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252525"/>
          <w:sz w:val="32"/>
          <w:szCs w:val="32"/>
        </w:rPr>
      </w:pPr>
      <w:r>
        <w:rPr>
          <w:rFonts w:hint="eastAsia" w:ascii="仿宋_GB2312" w:hAnsi="微软雅黑" w:eastAsia="仿宋_GB2312"/>
          <w:color w:val="252525"/>
          <w:sz w:val="32"/>
          <w:szCs w:val="32"/>
        </w:rPr>
        <w:t>落实降费减负政策，持续开展涉企收费检查，突出行政事业性收费、中介、行业协会价费行为规范、自然垄断行业价费政策落实等重点领域违规收费行为治理，为实体经济发展营造良好的价费环境。围绕保障和改善民生，持续加强水电气、教育、医疗、物业、停车等民生重点领域价格行为监管，严肃查处价格违法违规行为，维护百姓合法权益。聚焦社会热点、重要节点，突出抓好节假日市场价格监管，及时处理价格投诉举报，疏解价费矛盾，规范市场价格行为。</w:t>
      </w:r>
    </w:p>
    <w:p w14:paraId="3F0645E4">
      <w:pPr>
        <w:pStyle w:val="3"/>
        <w:numPr>
          <w:ilvl w:val="0"/>
          <w:numId w:val="1"/>
        </w:numPr>
        <w:rPr>
          <w:rFonts w:ascii="楷体" w:hAnsi="楷体" w:eastAsia="楷体" w:cs="Times New Roman"/>
          <w:sz w:val="32"/>
          <w:szCs w:val="24"/>
        </w:rPr>
      </w:pPr>
      <w:bookmarkStart w:id="79" w:name="_Toc56587072"/>
      <w:r>
        <w:rPr>
          <w:rFonts w:hint="eastAsia" w:ascii="楷体" w:hAnsi="楷体" w:eastAsia="楷体" w:cs="Times New Roman"/>
          <w:sz w:val="32"/>
          <w:szCs w:val="24"/>
        </w:rPr>
        <w:t>加大打击传销综合治理力度</w:t>
      </w:r>
      <w:bookmarkEnd w:id="79"/>
    </w:p>
    <w:p w14:paraId="24B5CD86">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252525"/>
          <w:sz w:val="32"/>
          <w:szCs w:val="32"/>
        </w:rPr>
      </w:pPr>
      <w:r>
        <w:rPr>
          <w:rFonts w:hint="eastAsia" w:ascii="仿宋_GB2312" w:hAnsi="微软雅黑" w:eastAsia="仿宋_GB2312"/>
          <w:color w:val="252525"/>
          <w:sz w:val="32"/>
          <w:szCs w:val="32"/>
        </w:rPr>
        <w:t>加强传销综合治理，建立完善打击传销工作机制、执法协作机制、信息技术监控机制、群防群控机制，把打击传销作为强化社会治安综合治理的重要内容和关键措施，配合建立健全“党政主导、政法牵头、部门协同、公众参与、综合治理”的打传工作新格局。严厉打击聚集式传销，加强对网络传销等新型传销的关注和研判，努力遏制网络传销蔓延势头。持续开展“无传销社区（村）”创建工作，挤压传销活动空间，到“十四五”末，实现无传销社区（村）全覆盖。加强风险预警提示和防范，强化案例宣传教育，提高公众识别和防范传销的能力。</w:t>
      </w:r>
    </w:p>
    <w:p w14:paraId="53A608F4">
      <w:pPr>
        <w:pStyle w:val="3"/>
        <w:rPr>
          <w:rFonts w:ascii="楷体" w:hAnsi="楷体" w:eastAsia="楷体" w:cs="Times New Roman"/>
          <w:sz w:val="32"/>
          <w:szCs w:val="24"/>
        </w:rPr>
      </w:pPr>
      <w:bookmarkStart w:id="80" w:name="_Toc56587073"/>
      <w:r>
        <w:rPr>
          <w:rFonts w:hint="eastAsia" w:ascii="楷体" w:hAnsi="楷体" w:eastAsia="楷体" w:cs="Times New Roman"/>
          <w:sz w:val="32"/>
          <w:szCs w:val="24"/>
        </w:rPr>
        <w:t>（五）加大</w:t>
      </w:r>
      <w:r>
        <w:rPr>
          <w:rFonts w:ascii="楷体" w:hAnsi="楷体" w:eastAsia="楷体" w:cs="Times New Roman"/>
          <w:sz w:val="32"/>
          <w:szCs w:val="24"/>
        </w:rPr>
        <w:t>打击制售</w:t>
      </w:r>
      <w:r>
        <w:rPr>
          <w:rFonts w:hint="eastAsia" w:ascii="楷体" w:hAnsi="楷体" w:eastAsia="楷体" w:cs="Times New Roman"/>
          <w:sz w:val="32"/>
          <w:szCs w:val="24"/>
        </w:rPr>
        <w:t>假冒伪劣商品违法行为</w:t>
      </w:r>
      <w:bookmarkEnd w:id="80"/>
    </w:p>
    <w:p w14:paraId="3BD952C8">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252525"/>
          <w:sz w:val="32"/>
          <w:szCs w:val="32"/>
        </w:rPr>
      </w:pPr>
      <w:r>
        <w:rPr>
          <w:rFonts w:hint="eastAsia" w:ascii="仿宋_GB2312" w:hAnsi="微软雅黑" w:eastAsia="仿宋_GB2312"/>
          <w:color w:val="252525"/>
          <w:sz w:val="32"/>
          <w:szCs w:val="32"/>
        </w:rPr>
        <w:t>围绕保障和改善民生，严惩不符合强制性标准、掺杂掺假、以假充真、以次充好、以不合格产品冒充合格产品等违法行为。加大对与百姓生活密切相关、涉及人身财产安全的日常消费品的打假力度，强化对利用互联网销售假冒伪劣商品和传播制假售假违法信息的监管。重点打击在经营老年人保健品、保健器材等过程中存在的虚假宣传、不正当竞争等违法行为。加大对城乡结合部、农村假冒伪劣的打击力度。强化假冒伪劣源头治理，建立商品生产、流通、销售全链条监管机制，完善重点产品追溯制度，构建清晰可追溯的责任体系。</w:t>
      </w:r>
    </w:p>
    <w:p w14:paraId="1AAB5DD1">
      <w:pPr>
        <w:pStyle w:val="2"/>
        <w:rPr>
          <w:rFonts w:ascii="黑体" w:hAnsi="黑体" w:eastAsia="黑体" w:cs="Times New Roman"/>
          <w:szCs w:val="24"/>
        </w:rPr>
      </w:pPr>
      <w:bookmarkStart w:id="81" w:name="_Toc56587074"/>
      <w:bookmarkStart w:id="82" w:name="_Toc63151499"/>
      <w:r>
        <w:rPr>
          <w:rFonts w:hint="eastAsia" w:ascii="黑体" w:hAnsi="黑体" w:eastAsia="黑体" w:cs="Times New Roman"/>
          <w:szCs w:val="24"/>
        </w:rPr>
        <w:t>六、推进消费维权工作，加强社会监督体系建设</w:t>
      </w:r>
      <w:bookmarkEnd w:id="81"/>
      <w:bookmarkEnd w:id="82"/>
    </w:p>
    <w:p w14:paraId="5BE5E70A">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构建政府部门、市场主体、社会组织、新闻媒体、司法机关等多元共治的消费维权和社会监督体系，努力形成消费者有诉可投、有诉可调的良好局面。到2025年，全市“诚信经营放心消费”承诺经营户达到</w:t>
      </w:r>
      <w:r>
        <w:rPr>
          <w:rFonts w:ascii="仿宋_GB2312" w:hAnsi="微软雅黑" w:eastAsia="仿宋_GB2312"/>
          <w:color w:val="000000" w:themeColor="text1"/>
          <w:sz w:val="32"/>
          <w:szCs w:val="32"/>
          <w14:textFill>
            <w14:solidFill>
              <w14:schemeClr w14:val="tx1"/>
            </w14:solidFill>
          </w14:textFill>
        </w:rPr>
        <w:t>50%以上，</w:t>
      </w:r>
      <w:r>
        <w:rPr>
          <w:rFonts w:hint="eastAsia" w:ascii="仿宋_GB2312" w:hAnsi="微软雅黑" w:eastAsia="仿宋_GB2312"/>
          <w:color w:val="000000" w:themeColor="text1"/>
          <w:sz w:val="32"/>
          <w:szCs w:val="32"/>
          <w14:textFill>
            <w14:solidFill>
              <w14:schemeClr w14:val="tx1"/>
            </w14:solidFill>
          </w14:textFill>
        </w:rPr>
        <w:t>消费</w:t>
      </w:r>
      <w:r>
        <w:rPr>
          <w:rFonts w:ascii="仿宋_GB2312" w:hAnsi="微软雅黑" w:eastAsia="仿宋_GB2312"/>
          <w:color w:val="000000" w:themeColor="text1"/>
          <w:sz w:val="32"/>
          <w:szCs w:val="32"/>
          <w14:textFill>
            <w14:solidFill>
              <w14:schemeClr w14:val="tx1"/>
            </w14:solidFill>
          </w14:textFill>
        </w:rPr>
        <w:t>投诉</w:t>
      </w:r>
      <w:r>
        <w:rPr>
          <w:rFonts w:hint="eastAsia" w:ascii="仿宋_GB2312" w:hAnsi="微软雅黑" w:eastAsia="仿宋_GB2312"/>
          <w:color w:val="000000" w:themeColor="text1"/>
          <w:sz w:val="32"/>
          <w:szCs w:val="32"/>
          <w14:textFill>
            <w14:solidFill>
              <w14:schemeClr w14:val="tx1"/>
            </w14:solidFill>
          </w14:textFill>
        </w:rPr>
        <w:t>源头</w:t>
      </w:r>
      <w:r>
        <w:rPr>
          <w:rFonts w:ascii="仿宋_GB2312" w:hAnsi="微软雅黑" w:eastAsia="仿宋_GB2312"/>
          <w:color w:val="000000" w:themeColor="text1"/>
          <w:sz w:val="32"/>
          <w:szCs w:val="32"/>
          <w14:textFill>
            <w14:solidFill>
              <w14:schemeClr w14:val="tx1"/>
            </w14:solidFill>
          </w14:textFill>
        </w:rPr>
        <w:t>处理率达到</w:t>
      </w:r>
      <w:r>
        <w:rPr>
          <w:rFonts w:hint="eastAsia" w:ascii="仿宋_GB2312" w:hAnsi="微软雅黑" w:eastAsia="仿宋_GB2312"/>
          <w:color w:val="000000" w:themeColor="text1"/>
          <w:sz w:val="32"/>
          <w:szCs w:val="32"/>
          <w14:textFill>
            <w14:solidFill>
              <w14:schemeClr w14:val="tx1"/>
            </w14:solidFill>
          </w14:textFill>
        </w:rPr>
        <w:t>60</w:t>
      </w:r>
      <w:r>
        <w:rPr>
          <w:rFonts w:ascii="仿宋_GB2312" w:hAnsi="微软雅黑" w:eastAsia="仿宋_GB2312"/>
          <w:color w:val="000000" w:themeColor="text1"/>
          <w:sz w:val="32"/>
          <w:szCs w:val="32"/>
          <w14:textFill>
            <w14:solidFill>
              <w14:schemeClr w14:val="tx1"/>
            </w14:solidFill>
          </w14:textFill>
        </w:rPr>
        <w:t>%以上，</w:t>
      </w:r>
      <w:r>
        <w:rPr>
          <w:rFonts w:hint="eastAsia" w:ascii="仿宋_GB2312" w:hAnsi="微软雅黑" w:eastAsia="仿宋_GB2312"/>
          <w:color w:val="000000" w:themeColor="text1"/>
          <w:sz w:val="32"/>
          <w:szCs w:val="32"/>
          <w14:textFill>
            <w14:solidFill>
              <w14:schemeClr w14:val="tx1"/>
            </w14:solidFill>
          </w14:textFill>
        </w:rPr>
        <w:t>消费投诉线上和解率达到60%以上</w:t>
      </w:r>
      <w:r>
        <w:rPr>
          <w:rFonts w:ascii="仿宋_GB2312" w:hAnsi="微软雅黑" w:eastAsia="仿宋_GB2312"/>
          <w:color w:val="000000" w:themeColor="text1"/>
          <w:sz w:val="32"/>
          <w:szCs w:val="32"/>
          <w14:textFill>
            <w14:solidFill>
              <w14:schemeClr w14:val="tx1"/>
            </w14:solidFill>
          </w14:textFill>
        </w:rPr>
        <w:t>。</w:t>
      </w:r>
    </w:p>
    <w:p w14:paraId="08194BA1">
      <w:pPr>
        <w:pStyle w:val="3"/>
        <w:numPr>
          <w:ilvl w:val="0"/>
          <w:numId w:val="2"/>
        </w:numPr>
        <w:rPr>
          <w:rFonts w:ascii="楷体" w:hAnsi="楷体" w:eastAsia="楷体" w:cs="Times New Roman"/>
          <w:color w:val="000000" w:themeColor="text1"/>
          <w:sz w:val="32"/>
          <w:szCs w:val="24"/>
          <w14:textFill>
            <w14:solidFill>
              <w14:schemeClr w14:val="tx1"/>
            </w14:solidFill>
          </w14:textFill>
        </w:rPr>
      </w:pPr>
      <w:bookmarkStart w:id="83" w:name="_Toc56587075"/>
      <w:r>
        <w:rPr>
          <w:rFonts w:hint="eastAsia" w:ascii="楷体" w:hAnsi="楷体" w:eastAsia="楷体" w:cs="Times New Roman"/>
          <w:color w:val="000000" w:themeColor="text1"/>
          <w:sz w:val="32"/>
          <w:szCs w:val="24"/>
          <w14:textFill>
            <w14:solidFill>
              <w14:schemeClr w14:val="tx1"/>
            </w14:solidFill>
          </w14:textFill>
        </w:rPr>
        <w:t>完善投诉举报维权体系建设</w:t>
      </w:r>
      <w:bookmarkEnd w:id="83"/>
    </w:p>
    <w:p w14:paraId="28623F4E">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提升12315联络站建设。</w:t>
      </w:r>
      <w:r>
        <w:rPr>
          <w:rFonts w:hint="eastAsia" w:ascii="仿宋_GB2312" w:hAnsi="微软雅黑" w:eastAsia="仿宋_GB2312"/>
          <w:color w:val="000000" w:themeColor="text1"/>
          <w:sz w:val="32"/>
          <w:szCs w:val="32"/>
          <w14:textFill>
            <w14:solidFill>
              <w14:schemeClr w14:val="tx1"/>
            </w14:solidFill>
          </w14:textFill>
        </w:rPr>
        <w:t>加强</w:t>
      </w:r>
      <w:r>
        <w:rPr>
          <w:rFonts w:ascii="仿宋_GB2312" w:hAnsi="微软雅黑" w:eastAsia="仿宋_GB2312"/>
          <w:color w:val="000000" w:themeColor="text1"/>
          <w:sz w:val="32"/>
          <w:szCs w:val="32"/>
          <w14:textFill>
            <w14:solidFill>
              <w14:schemeClr w14:val="tx1"/>
            </w14:solidFill>
          </w14:textFill>
        </w:rPr>
        <w:t>12315联络站的软硬件建设，</w:t>
      </w:r>
      <w:r>
        <w:rPr>
          <w:rFonts w:hint="eastAsia" w:ascii="仿宋_GB2312" w:hAnsi="微软雅黑" w:eastAsia="仿宋_GB2312"/>
          <w:color w:val="000000" w:themeColor="text1"/>
          <w:sz w:val="32"/>
          <w:szCs w:val="32"/>
          <w14:textFill>
            <w14:solidFill>
              <w14:schemeClr w14:val="tx1"/>
            </w14:solidFill>
          </w14:textFill>
        </w:rPr>
        <w:t>学习先进经验，着力发挥好基层12315联络站的作用，看到消费者的困境，听到消费者的心声，及时化解社会矛盾，提升消费者维权效率及满意度，全力维护消费者合法权益。</w:t>
      </w:r>
    </w:p>
    <w:p w14:paraId="5E0AE204">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推动建设消费者维权站。</w:t>
      </w:r>
      <w:r>
        <w:rPr>
          <w:rFonts w:hint="eastAsia" w:ascii="仿宋_GB2312" w:hAnsi="微软雅黑" w:eastAsia="仿宋_GB2312"/>
          <w:color w:val="000000" w:themeColor="text1"/>
          <w:sz w:val="32"/>
          <w:szCs w:val="32"/>
          <w14:textFill>
            <w14:solidFill>
              <w14:schemeClr w14:val="tx1"/>
            </w14:solidFill>
          </w14:textFill>
        </w:rPr>
        <w:t>进一步规范和加强消费维权站建设工作，着力鼓励并推动商场、超市、企业、市场、风景区消费维权站的建设，将消费纠纷快速解决于萌芽状态，从源头上预防和减少社会矛盾的产生。</w:t>
      </w:r>
    </w:p>
    <w:p w14:paraId="52D2A1E3">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探索对接智慧监管平台。</w:t>
      </w:r>
      <w:r>
        <w:rPr>
          <w:rFonts w:hint="eastAsia" w:ascii="仿宋_GB2312" w:hAnsi="微软雅黑" w:eastAsia="仿宋_GB2312"/>
          <w:color w:val="000000" w:themeColor="text1"/>
          <w:sz w:val="32"/>
          <w:szCs w:val="32"/>
          <w14:textFill>
            <w14:solidFill>
              <w14:schemeClr w14:val="tx1"/>
            </w14:solidFill>
          </w14:textFill>
        </w:rPr>
        <w:t>探索市场监管与“智慧安宁”平台的深度融合，</w:t>
      </w:r>
      <w:r>
        <w:rPr>
          <w:rFonts w:ascii="仿宋_GB2312" w:hAnsi="微软雅黑" w:eastAsia="仿宋_GB2312"/>
          <w:color w:val="000000" w:themeColor="text1"/>
          <w:sz w:val="32"/>
          <w:szCs w:val="32"/>
          <w14:textFill>
            <w14:solidFill>
              <w14:schemeClr w14:val="tx1"/>
            </w14:solidFill>
          </w14:textFill>
        </w:rPr>
        <w:t>进一步拓宽消费维权渠道，提升全民依法维权意识，推动放心消费建设增量、扩面、成片。</w:t>
      </w:r>
    </w:p>
    <w:p w14:paraId="543E02BB">
      <w:pPr>
        <w:pStyle w:val="3"/>
        <w:numPr>
          <w:ilvl w:val="0"/>
          <w:numId w:val="2"/>
        </w:numPr>
        <w:rPr>
          <w:rFonts w:ascii="楷体" w:hAnsi="楷体" w:eastAsia="楷体" w:cs="Times New Roman"/>
          <w:sz w:val="32"/>
          <w:szCs w:val="24"/>
        </w:rPr>
      </w:pPr>
      <w:bookmarkStart w:id="84" w:name="_Toc56587076"/>
      <w:r>
        <w:rPr>
          <w:rFonts w:hint="eastAsia" w:ascii="楷体" w:hAnsi="楷体" w:eastAsia="楷体" w:cs="Times New Roman"/>
          <w:sz w:val="32"/>
          <w:szCs w:val="24"/>
        </w:rPr>
        <w:t>建立健全消费维权和社会监督网络</w:t>
      </w:r>
      <w:bookmarkEnd w:id="84"/>
    </w:p>
    <w:p w14:paraId="615AAC79">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构建多元消费纠纷解决机制。</w:t>
      </w:r>
      <w:r>
        <w:rPr>
          <w:rFonts w:hint="eastAsia" w:ascii="仿宋_GB2312" w:hAnsi="微软雅黑" w:eastAsia="仿宋_GB2312"/>
          <w:color w:val="000000" w:themeColor="text1"/>
          <w:sz w:val="32"/>
          <w:szCs w:val="32"/>
          <w14:textFill>
            <w14:solidFill>
              <w14:schemeClr w14:val="tx1"/>
            </w14:solidFill>
          </w14:textFill>
        </w:rPr>
        <w:t>探索组建</w:t>
      </w:r>
      <w:r>
        <w:rPr>
          <w:rFonts w:hint="eastAsia" w:ascii="仿宋_GB2312" w:eastAsia="仿宋_GB2312"/>
          <w:color w:val="333333"/>
          <w:sz w:val="32"/>
          <w:szCs w:val="32"/>
          <w:shd w:val="clear" w:color="auto" w:fill="FFFFFF"/>
        </w:rPr>
        <w:t>消费纠纷诉调衔接工作站，</w:t>
      </w:r>
      <w:r>
        <w:rPr>
          <w:rFonts w:hint="eastAsia" w:ascii="仿宋_GB2312" w:hAnsi="微软雅黑" w:eastAsia="仿宋_GB2312"/>
          <w:color w:val="000000" w:themeColor="text1"/>
          <w:sz w:val="32"/>
          <w:szCs w:val="32"/>
          <w14:textFill>
            <w14:solidFill>
              <w14:schemeClr w14:val="tx1"/>
            </w14:solidFill>
          </w14:textFill>
        </w:rPr>
        <w:t>扎实开展诉前调解工作，扩大宣传范围和应用接口，创新团队调节工作机制，尝试引入第三方专业人员，对日常消费者投诉和纠纷进行调解、处理。加强与法院、公安局、司法局及消费者权益保护组织的对接，探索建立纠纷解决动态分类管理机制，需要司法解决的，提供法律咨询，需要多部门联合解决的，设立工作联席会议制度；对贫困群众、老年人、学生等特殊人群，加强纠纷处理的过程管理，不断提升为消费者保驾护航的能力。不断提升消费投诉调节员队伍能力，到2025年，设置不低于10人的消费调解专业团队，为消费维权工作人员提供4次/年的脱岗培训。</w:t>
      </w:r>
    </w:p>
    <w:p w14:paraId="16955C1A">
      <w:pPr>
        <w:pStyle w:val="13"/>
        <w:shd w:val="clear" w:color="auto" w:fill="FFFFFF"/>
        <w:spacing w:before="0" w:beforeAutospacing="0" w:after="0" w:afterAutospacing="0"/>
        <w:ind w:firstLine="643" w:firstLineChars="200"/>
        <w:jc w:val="both"/>
        <w:textAlignment w:val="baseline"/>
        <w:rPr>
          <w:rFonts w:ascii="仿宋_GB2312" w:hAnsi="微软雅黑" w:eastAsia="仿宋_GB2312"/>
          <w:color w:val="000000" w:themeColor="text1"/>
          <w:sz w:val="32"/>
          <w:szCs w:val="32"/>
          <w:highlight w:val="red"/>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健全社会监督网络。</w:t>
      </w:r>
      <w:r>
        <w:rPr>
          <w:rFonts w:hint="eastAsia" w:ascii="仿宋_GB2312" w:hAnsi="微软雅黑" w:eastAsia="仿宋_GB2312"/>
          <w:color w:val="000000" w:themeColor="text1"/>
          <w:sz w:val="32"/>
          <w:szCs w:val="32"/>
          <w14:textFill>
            <w14:solidFill>
              <w14:schemeClr w14:val="tx1"/>
            </w14:solidFill>
          </w14:textFill>
        </w:rPr>
        <w:t>依托消费维权平台建立健全消费安全和经济违法突发事件预警防范和应急机制，着力形成政府主导、部门协作、企业自律、行业自治、社会监督、消费者参与为一体的共治格局和社会监督网络。发展消费维权和社会监督志愿者队伍，充分发挥社会组织、志愿者的服务和监督作用，</w:t>
      </w:r>
      <w:r>
        <w:rPr>
          <w:rFonts w:ascii="仿宋_GB2312" w:hAnsi="微软雅黑" w:eastAsia="仿宋_GB2312"/>
          <w:color w:val="000000" w:themeColor="text1"/>
          <w:sz w:val="32"/>
          <w:szCs w:val="32"/>
          <w14:textFill>
            <w14:solidFill>
              <w14:schemeClr w14:val="tx1"/>
            </w14:solidFill>
          </w14:textFill>
        </w:rPr>
        <w:t>培养一批消费维权处理能手</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开展放心消费环境创建活动，</w:t>
      </w:r>
      <w:bookmarkStart w:id="85" w:name="_Hlk57374850"/>
      <w:r>
        <w:rPr>
          <w:rFonts w:hint="eastAsia" w:ascii="仿宋_GB2312" w:hAnsi="微软雅黑" w:eastAsia="仿宋_GB2312"/>
          <w:color w:val="000000" w:themeColor="text1"/>
          <w:sz w:val="32"/>
          <w:szCs w:val="32"/>
          <w14:textFill>
            <w14:solidFill>
              <w14:schemeClr w14:val="tx1"/>
            </w14:solidFill>
          </w14:textFill>
        </w:rPr>
        <w:t>十四五期间，</w:t>
      </w:r>
      <w:r>
        <w:rPr>
          <w:rFonts w:ascii="仿宋_GB2312" w:hAnsi="微软雅黑" w:eastAsia="仿宋_GB2312"/>
          <w:color w:val="000000" w:themeColor="text1"/>
          <w:sz w:val="32"/>
          <w:szCs w:val="32"/>
          <w14:textFill>
            <w14:solidFill>
              <w14:schemeClr w14:val="tx1"/>
            </w14:solidFill>
          </w14:textFill>
        </w:rPr>
        <w:t>打造</w:t>
      </w:r>
      <w:r>
        <w:rPr>
          <w:rFonts w:hint="eastAsia" w:ascii="仿宋_GB2312" w:hAnsi="微软雅黑" w:eastAsia="仿宋_GB2312"/>
          <w:color w:val="000000" w:themeColor="text1"/>
          <w:sz w:val="32"/>
          <w:szCs w:val="32"/>
          <w14:textFill>
            <w14:solidFill>
              <w14:schemeClr w14:val="tx1"/>
            </w14:solidFill>
          </w14:textFill>
        </w:rPr>
        <w:t>3</w:t>
      </w:r>
      <w:r>
        <w:rPr>
          <w:rFonts w:ascii="仿宋_GB2312" w:hAnsi="微软雅黑" w:eastAsia="仿宋_GB2312"/>
          <w:color w:val="000000" w:themeColor="text1"/>
          <w:sz w:val="32"/>
          <w:szCs w:val="32"/>
          <w14:textFill>
            <w14:solidFill>
              <w14:schemeClr w14:val="tx1"/>
            </w14:solidFill>
          </w14:textFill>
        </w:rPr>
        <w:t>个放心消费集贸市场</w:t>
      </w:r>
      <w:bookmarkEnd w:id="85"/>
      <w:r>
        <w:rPr>
          <w:rFonts w:ascii="仿宋_GB2312" w:hAnsi="微软雅黑" w:eastAsia="仿宋_GB2312"/>
          <w:color w:val="000000" w:themeColor="text1"/>
          <w:sz w:val="32"/>
          <w:szCs w:val="32"/>
          <w14:textFill>
            <w14:solidFill>
              <w14:schemeClr w14:val="tx1"/>
            </w14:solidFill>
          </w14:textFill>
        </w:rPr>
        <w:t>，</w:t>
      </w:r>
      <w:r>
        <w:rPr>
          <w:rFonts w:hint="eastAsia" w:ascii="仿宋_GB2312" w:hAnsi="微软雅黑" w:eastAsia="仿宋_GB2312"/>
          <w:color w:val="000000" w:themeColor="text1"/>
          <w:sz w:val="32"/>
          <w:szCs w:val="32"/>
          <w14:textFill>
            <w14:solidFill>
              <w14:schemeClr w14:val="tx1"/>
            </w14:solidFill>
          </w14:textFill>
        </w:rPr>
        <w:t>5</w:t>
      </w:r>
      <w:r>
        <w:rPr>
          <w:rFonts w:ascii="仿宋_GB2312" w:hAnsi="微软雅黑" w:eastAsia="仿宋_GB2312"/>
          <w:color w:val="000000" w:themeColor="text1"/>
          <w:sz w:val="32"/>
          <w:szCs w:val="32"/>
          <w14:textFill>
            <w14:solidFill>
              <w14:schemeClr w14:val="tx1"/>
            </w14:solidFill>
          </w14:textFill>
        </w:rPr>
        <w:t>个放心消费超市，</w:t>
      </w:r>
      <w:r>
        <w:rPr>
          <w:rFonts w:hint="eastAsia" w:ascii="仿宋_GB2312" w:hAnsi="微软雅黑" w:eastAsia="仿宋_GB2312"/>
          <w:color w:val="000000" w:themeColor="text1"/>
          <w:sz w:val="32"/>
          <w:szCs w:val="32"/>
          <w14:textFill>
            <w14:solidFill>
              <w14:schemeClr w14:val="tx1"/>
            </w14:solidFill>
          </w14:textFill>
        </w:rPr>
        <w:t>创建50个“诚信经营示范店”。</w:t>
      </w:r>
    </w:p>
    <w:tbl>
      <w:tblPr>
        <w:tblStyle w:val="15"/>
        <w:tblW w:w="8296" w:type="dxa"/>
        <w:tblInd w:w="0" w:type="dxa"/>
        <w:tblLayout w:type="fixed"/>
        <w:tblCellMar>
          <w:top w:w="0" w:type="dxa"/>
          <w:left w:w="108" w:type="dxa"/>
          <w:bottom w:w="0" w:type="dxa"/>
          <w:right w:w="108" w:type="dxa"/>
        </w:tblCellMar>
      </w:tblPr>
      <w:tblGrid>
        <w:gridCol w:w="8296"/>
      </w:tblGrid>
      <w:tr w14:paraId="3E18FE1D">
        <w:tblPrEx>
          <w:tblCellMar>
            <w:top w:w="0" w:type="dxa"/>
            <w:left w:w="108" w:type="dxa"/>
            <w:bottom w:w="0" w:type="dxa"/>
            <w:right w:w="108" w:type="dxa"/>
          </w:tblCellMar>
        </w:tblPrEx>
        <w:tc>
          <w:tcPr>
            <w:tcW w:w="8296" w:type="dxa"/>
          </w:tcPr>
          <w:p w14:paraId="31BC6CA4">
            <w:pPr>
              <w:spacing w:line="276" w:lineRule="auto"/>
              <w:ind w:firstLine="480" w:firstLineChars="200"/>
              <w:jc w:val="center"/>
              <w:rPr>
                <w:rFonts w:ascii="仿宋_GB2312" w:hAnsi="微软雅黑" w:eastAsia="仿宋_GB2312"/>
                <w:color w:val="000000" w:themeColor="text1"/>
                <w:sz w:val="32"/>
                <w:szCs w:val="32"/>
                <w14:textFill>
                  <w14:solidFill>
                    <w14:schemeClr w14:val="tx1"/>
                  </w14:solidFill>
                </w14:textFill>
              </w:rPr>
            </w:pPr>
            <w:r>
              <w:rPr>
                <w:rFonts w:hint="eastAsia" w:ascii="黑体" w:hAnsi="黑体" w:eastAsia="黑体"/>
                <w:sz w:val="24"/>
              </w:rPr>
              <w:t>专栏 消费者权益保障工程</w:t>
            </w:r>
          </w:p>
        </w:tc>
      </w:tr>
      <w:tr w14:paraId="0AC35745">
        <w:tblPrEx>
          <w:tblCellMar>
            <w:top w:w="0" w:type="dxa"/>
            <w:left w:w="108" w:type="dxa"/>
            <w:bottom w:w="0" w:type="dxa"/>
            <w:right w:w="108" w:type="dxa"/>
          </w:tblCellMar>
        </w:tblPrEx>
        <w:tc>
          <w:tcPr>
            <w:tcW w:w="8296" w:type="dxa"/>
          </w:tcPr>
          <w:p w14:paraId="12D11A2C">
            <w:pPr>
              <w:spacing w:line="300" w:lineRule="exact"/>
              <w:ind w:firstLine="480" w:firstLineChars="200"/>
              <w:jc w:val="left"/>
              <w:rPr>
                <w:rFonts w:ascii="仿宋" w:hAnsi="仿宋" w:eastAsia="仿宋"/>
                <w:bCs/>
                <w:sz w:val="24"/>
              </w:rPr>
            </w:pPr>
            <w:r>
              <w:rPr>
                <w:rFonts w:hint="eastAsia" w:ascii="仿宋" w:hAnsi="仿宋" w:eastAsia="仿宋"/>
                <w:bCs/>
                <w:sz w:val="24"/>
              </w:rPr>
              <w:t>1.支持企业、社区、村小组建立维权服务站，开展创建“诚信经营示范店”50个。</w:t>
            </w:r>
          </w:p>
          <w:p w14:paraId="5D17814E">
            <w:pPr>
              <w:spacing w:line="300" w:lineRule="exact"/>
              <w:ind w:firstLine="480" w:firstLineChars="200"/>
              <w:jc w:val="left"/>
              <w:rPr>
                <w:rFonts w:ascii="方正仿宋_GBK" w:hAnsi="方正仿宋_GBK" w:eastAsia="方正仿宋_GBK" w:cs="方正仿宋_GBK"/>
                <w:sz w:val="32"/>
                <w:szCs w:val="32"/>
              </w:rPr>
            </w:pPr>
            <w:r>
              <w:rPr>
                <w:rFonts w:hint="eastAsia" w:ascii="仿宋" w:hAnsi="仿宋" w:eastAsia="仿宋"/>
                <w:bCs/>
                <w:sz w:val="24"/>
              </w:rPr>
              <w:t>2. 2021年规范安宁市所有商场、超市、商业区、服务区维权功能，使消费投诉源头处置率达到80%以上；2022年规范旅游景区、大型酒店、饭店维权功能，使消费投诉源头处置率达到60%以上；2021年-2025年规范街道、社区、村（居）委会维权站建设工作，消费维权投诉举报源头登记上报率达95%以上；2024-2025年在全市所有经营主体完成“诚信经营示范店”的创建，真正落实经营主体责任等相关制度，消费纠纷线上和解率达到60%以上。</w:t>
            </w:r>
          </w:p>
        </w:tc>
      </w:tr>
    </w:tbl>
    <w:p w14:paraId="56CD7E34">
      <w:pPr>
        <w:pStyle w:val="3"/>
        <w:numPr>
          <w:ilvl w:val="0"/>
          <w:numId w:val="2"/>
        </w:numPr>
        <w:rPr>
          <w:rFonts w:ascii="楷体" w:hAnsi="楷体" w:eastAsia="楷体" w:cs="Times New Roman"/>
          <w:sz w:val="32"/>
          <w:szCs w:val="24"/>
        </w:rPr>
      </w:pPr>
      <w:bookmarkStart w:id="86" w:name="_Toc56587077"/>
      <w:r>
        <w:rPr>
          <w:rFonts w:hint="eastAsia" w:ascii="楷体" w:hAnsi="楷体" w:eastAsia="楷体" w:cs="Times New Roman"/>
          <w:sz w:val="32"/>
          <w:szCs w:val="24"/>
        </w:rPr>
        <w:t>建立和完善消费教育与舆论监督机制</w:t>
      </w:r>
      <w:bookmarkEnd w:id="86"/>
    </w:p>
    <w:p w14:paraId="4466A546">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以推动市民消费教育为突破点，着力引导消费维权工作从受理投诉、事后补救向事前预防、引导消费方向转变，利用社交媒体等新型沟通渠道，大力宣传相关法律知识、消费知识。普维并举，增强全民消费素质，加强消费引导，通过发布消费提示、消费警示、曝光侵权行为、开展消费等多种形式，及时传递消费信息，关注消费者的知情权、公平交易权，引导消费者科学、合理消费。建立舆论监督与行政监管的联动监督机制，加大对消费侵权行为和经济违法行为的监督力度，借助媒体曝光追踪消费侵权、经济违法事件。</w:t>
      </w:r>
    </w:p>
    <w:p w14:paraId="50373C0A">
      <w:pPr>
        <w:pStyle w:val="3"/>
        <w:numPr>
          <w:ilvl w:val="0"/>
          <w:numId w:val="2"/>
        </w:numPr>
        <w:rPr>
          <w:rFonts w:ascii="楷体" w:hAnsi="楷体" w:eastAsia="楷体" w:cs="Times New Roman"/>
          <w:sz w:val="32"/>
          <w:szCs w:val="24"/>
        </w:rPr>
      </w:pPr>
      <w:bookmarkStart w:id="87" w:name="_Toc56587078"/>
      <w:r>
        <w:rPr>
          <w:rFonts w:hint="eastAsia" w:ascii="楷体" w:hAnsi="楷体" w:eastAsia="楷体" w:cs="Times New Roman"/>
          <w:sz w:val="32"/>
          <w:szCs w:val="24"/>
        </w:rPr>
        <w:t>推进纠纷在线解决机制建设</w:t>
      </w:r>
      <w:bookmarkEnd w:id="87"/>
    </w:p>
    <w:p w14:paraId="43944574">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积极拓展“互联网＋消费纠纷处理”渠道，</w:t>
      </w:r>
      <w:r>
        <w:rPr>
          <w:rFonts w:ascii="仿宋_GB2312" w:hAnsi="微软雅黑" w:eastAsia="仿宋_GB2312"/>
          <w:color w:val="000000" w:themeColor="text1"/>
          <w:sz w:val="32"/>
          <w:szCs w:val="32"/>
          <w14:textFill>
            <w14:solidFill>
              <w14:schemeClr w14:val="tx1"/>
            </w14:solidFill>
          </w14:textFill>
        </w:rPr>
        <w:t>完善</w:t>
      </w:r>
      <w:r>
        <w:rPr>
          <w:rFonts w:hint="eastAsia" w:ascii="仿宋_GB2312" w:hAnsi="微软雅黑" w:eastAsia="仿宋_GB2312"/>
          <w:color w:val="000000" w:themeColor="text1"/>
          <w:sz w:val="32"/>
          <w:szCs w:val="32"/>
          <w14:textFill>
            <w14:solidFill>
              <w14:schemeClr w14:val="tx1"/>
            </w14:solidFill>
          </w14:textFill>
        </w:rPr>
        <w:t>12315的</w:t>
      </w:r>
      <w:r>
        <w:rPr>
          <w:rFonts w:ascii="仿宋_GB2312" w:hAnsi="微软雅黑" w:eastAsia="仿宋_GB2312"/>
          <w:color w:val="000000" w:themeColor="text1"/>
          <w:sz w:val="32"/>
          <w:szCs w:val="32"/>
          <w14:textFill>
            <w14:solidFill>
              <w14:schemeClr w14:val="tx1"/>
            </w14:solidFill>
          </w14:textFill>
        </w:rPr>
        <w:t>消费纠纷在线处理功能，落实经营者消费维权主体责任，</w:t>
      </w:r>
      <w:r>
        <w:rPr>
          <w:rFonts w:hint="eastAsia" w:ascii="仿宋_GB2312" w:hAnsi="微软雅黑" w:eastAsia="仿宋_GB2312"/>
          <w:color w:val="000000" w:themeColor="text1"/>
          <w:sz w:val="32"/>
          <w:szCs w:val="32"/>
          <w14:textFill>
            <w14:solidFill>
              <w14:schemeClr w14:val="tx1"/>
            </w14:solidFill>
          </w14:textFill>
        </w:rPr>
        <w:t>鼓励企业申请成为“四有一健全”的ODR企业（</w:t>
      </w:r>
      <w:r>
        <w:rPr>
          <w:rFonts w:ascii="仿宋_GB2312" w:hAnsi="微软雅黑" w:eastAsia="仿宋_GB2312"/>
          <w:color w:val="000000" w:themeColor="text1"/>
          <w:sz w:val="32"/>
          <w:szCs w:val="32"/>
          <w14:textFill>
            <w14:solidFill>
              <w14:schemeClr w14:val="tx1"/>
            </w14:solidFill>
          </w14:textFill>
        </w:rPr>
        <w:t>辖区市场监管部门的指导监督下，通过平台提供消费纠纷在线解决服务的企业</w:t>
      </w:r>
      <w:r>
        <w:rPr>
          <w:rFonts w:hint="eastAsia" w:ascii="仿宋_GB2312" w:hAnsi="微软雅黑" w:eastAsia="仿宋_GB2312"/>
          <w:color w:val="000000" w:themeColor="text1"/>
          <w:sz w:val="32"/>
          <w:szCs w:val="32"/>
          <w14:textFill>
            <w14:solidFill>
              <w14:schemeClr w14:val="tx1"/>
            </w14:solidFill>
          </w14:textFill>
        </w:rPr>
        <w:t>），优化申请流程，减少申请环节。做好对</w:t>
      </w:r>
      <w:r>
        <w:rPr>
          <w:rFonts w:ascii="仿宋_GB2312" w:hAnsi="微软雅黑" w:eastAsia="仿宋_GB2312"/>
          <w:color w:val="000000" w:themeColor="text1"/>
          <w:sz w:val="32"/>
          <w:szCs w:val="32"/>
          <w14:textFill>
            <w14:solidFill>
              <w14:schemeClr w14:val="tx1"/>
            </w14:solidFill>
          </w14:textFill>
        </w:rPr>
        <w:t>ODR企业的业务指导、</w:t>
      </w:r>
      <w:r>
        <w:rPr>
          <w:rFonts w:hint="eastAsia" w:ascii="仿宋_GB2312" w:hAnsi="微软雅黑" w:eastAsia="仿宋_GB2312"/>
          <w:color w:val="000000" w:themeColor="text1"/>
          <w:sz w:val="32"/>
          <w:szCs w:val="32"/>
          <w14:textFill>
            <w14:solidFill>
              <w14:schemeClr w14:val="tx1"/>
            </w14:solidFill>
          </w14:textFill>
        </w:rPr>
        <w:t>人员培训、</w:t>
      </w:r>
      <w:r>
        <w:rPr>
          <w:rFonts w:ascii="仿宋_GB2312" w:hAnsi="微软雅黑" w:eastAsia="仿宋_GB2312"/>
          <w:color w:val="000000" w:themeColor="text1"/>
          <w:sz w:val="32"/>
          <w:szCs w:val="32"/>
          <w14:textFill>
            <w14:solidFill>
              <w14:schemeClr w14:val="tx1"/>
            </w14:solidFill>
          </w14:textFill>
        </w:rPr>
        <w:t>动态监督、信息交流、效能评价、正向激励、动态退出、信息公示等工作，</w:t>
      </w:r>
      <w:r>
        <w:rPr>
          <w:rFonts w:hint="eastAsia" w:ascii="仿宋_GB2312" w:hAnsi="微软雅黑" w:eastAsia="仿宋_GB2312"/>
          <w:color w:val="000000" w:themeColor="text1"/>
          <w:sz w:val="32"/>
          <w:szCs w:val="32"/>
          <w14:textFill>
            <w14:solidFill>
              <w14:schemeClr w14:val="tx1"/>
            </w14:solidFill>
          </w14:textFill>
        </w:rPr>
        <w:t>将线下纠纷引导至线上调解，争取做到纠纷化解“不求人、不用跑”，减轻经营者、消费者纠纷化解成本。</w:t>
      </w:r>
    </w:p>
    <w:tbl>
      <w:tblPr>
        <w:tblStyle w:val="15"/>
        <w:tblW w:w="83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1"/>
      </w:tblGrid>
      <w:tr w14:paraId="1BAF2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301" w:type="dxa"/>
            <w:tcBorders>
              <w:bottom w:val="single" w:color="auto" w:sz="4" w:space="0"/>
            </w:tcBorders>
          </w:tcPr>
          <w:p w14:paraId="48FDD16B">
            <w:pPr>
              <w:spacing w:line="276" w:lineRule="auto"/>
              <w:ind w:firstLine="480" w:firstLineChars="200"/>
              <w:jc w:val="center"/>
              <w:rPr>
                <w:bCs/>
              </w:rPr>
            </w:pPr>
            <w:r>
              <w:rPr>
                <w:rFonts w:hint="eastAsia" w:ascii="黑体" w:hAnsi="黑体" w:eastAsia="黑体"/>
                <w:sz w:val="24"/>
              </w:rPr>
              <w:t>专栏   ODR企业“四有一健全”标准</w:t>
            </w:r>
          </w:p>
        </w:tc>
      </w:tr>
      <w:tr w14:paraId="01E19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8301" w:type="dxa"/>
            <w:tcBorders>
              <w:top w:val="single" w:color="auto" w:sz="4" w:space="0"/>
            </w:tcBorders>
          </w:tcPr>
          <w:p w14:paraId="1A41655D">
            <w:pPr>
              <w:spacing w:line="360" w:lineRule="auto"/>
              <w:ind w:firstLine="480" w:firstLineChars="200"/>
              <w:jc w:val="left"/>
              <w:rPr>
                <w:rFonts w:ascii="仿宋" w:hAnsi="仿宋" w:eastAsia="仿宋"/>
                <w:bCs/>
                <w:sz w:val="24"/>
              </w:rPr>
            </w:pPr>
            <w:r>
              <w:rPr>
                <w:rFonts w:hint="eastAsia" w:ascii="仿宋" w:hAnsi="仿宋" w:eastAsia="仿宋"/>
                <w:bCs/>
                <w:sz w:val="24"/>
              </w:rPr>
              <w:t>“四有”：有相对固定的解决消费纠纷场所；有专职或兼职的工作人员；有可接入互联网的计算机；有专用电话。</w:t>
            </w:r>
          </w:p>
          <w:p w14:paraId="465D8805">
            <w:pPr>
              <w:spacing w:line="360" w:lineRule="auto"/>
              <w:ind w:firstLine="480" w:firstLineChars="200"/>
              <w:jc w:val="left"/>
              <w:rPr>
                <w:rFonts w:ascii="黑体" w:hAnsi="黑体" w:eastAsia="黑体"/>
                <w:sz w:val="24"/>
              </w:rPr>
            </w:pPr>
            <w:r>
              <w:rPr>
                <w:rFonts w:hint="eastAsia" w:ascii="仿宋" w:hAnsi="仿宋" w:eastAsia="仿宋"/>
                <w:bCs/>
                <w:sz w:val="24"/>
              </w:rPr>
              <w:t>“一健全”：企业受理和处理消费投诉的工作机制健全。</w:t>
            </w:r>
          </w:p>
        </w:tc>
      </w:tr>
    </w:tbl>
    <w:p w14:paraId="78629201">
      <w:pPr>
        <w:pStyle w:val="2"/>
        <w:rPr>
          <w:rFonts w:ascii="黑体" w:hAnsi="黑体" w:eastAsia="黑体" w:cs="Times New Roman"/>
          <w:szCs w:val="24"/>
        </w:rPr>
      </w:pPr>
      <w:bookmarkStart w:id="88" w:name="_Toc56587079"/>
      <w:bookmarkStart w:id="89" w:name="_Toc63151500"/>
      <w:r>
        <w:rPr>
          <w:rFonts w:hint="eastAsia" w:ascii="黑体" w:hAnsi="黑体" w:eastAsia="黑体" w:cs="Times New Roman"/>
          <w:szCs w:val="24"/>
        </w:rPr>
        <w:t>七、推进市场监管数智建设</w:t>
      </w:r>
      <w:bookmarkEnd w:id="88"/>
      <w:r>
        <w:rPr>
          <w:rFonts w:hint="eastAsia" w:ascii="黑体" w:hAnsi="黑体" w:eastAsia="黑体" w:cs="Times New Roman"/>
          <w:szCs w:val="24"/>
        </w:rPr>
        <w:t>，打造智慧监管新格局</w:t>
      </w:r>
      <w:bookmarkEnd w:id="89"/>
    </w:p>
    <w:p w14:paraId="7E87C6D9">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以科技创新为引领，运用物联网、大数据、区块链等现代技术，以信息化带动专业化，全面提升市场监管治理体系和治理能力水平，着力打造智慧市场监管平台，创新数字化市场监管模式，深入推进市场监管现代化。</w:t>
      </w:r>
    </w:p>
    <w:p w14:paraId="41D9DBD3">
      <w:pPr>
        <w:pStyle w:val="3"/>
        <w:numPr>
          <w:ilvl w:val="0"/>
          <w:numId w:val="3"/>
        </w:numPr>
        <w:rPr>
          <w:rFonts w:ascii="楷体" w:hAnsi="楷体" w:eastAsia="楷体" w:cs="Times New Roman"/>
          <w:sz w:val="32"/>
          <w:szCs w:val="24"/>
        </w:rPr>
      </w:pPr>
      <w:bookmarkStart w:id="90" w:name="_Toc56587080"/>
      <w:r>
        <w:rPr>
          <w:rFonts w:hint="eastAsia" w:ascii="楷体" w:hAnsi="楷体" w:eastAsia="楷体" w:cs="Times New Roman"/>
          <w:sz w:val="32"/>
          <w:szCs w:val="24"/>
        </w:rPr>
        <w:t>推进</w:t>
      </w:r>
      <w:r>
        <w:rPr>
          <w:rFonts w:ascii="楷体" w:hAnsi="楷体" w:eastAsia="楷体" w:cs="Times New Roman"/>
          <w:sz w:val="32"/>
          <w:szCs w:val="24"/>
        </w:rPr>
        <w:t>智慧市场监管体系</w:t>
      </w:r>
      <w:r>
        <w:rPr>
          <w:rFonts w:hint="eastAsia" w:ascii="楷体" w:hAnsi="楷体" w:eastAsia="楷体" w:cs="Times New Roman"/>
          <w:sz w:val="32"/>
          <w:szCs w:val="24"/>
        </w:rPr>
        <w:t>建设</w:t>
      </w:r>
      <w:bookmarkEnd w:id="90"/>
    </w:p>
    <w:p w14:paraId="16783E4D">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依托互联网、大数据技术降低监管成本，提高监管效能，提高网络市场监管的智慧化、精准化水平，建设“制度</w:t>
      </w:r>
      <w:r>
        <w:rPr>
          <w:rFonts w:ascii="仿宋_GB2312" w:hAnsi="微软雅黑" w:eastAsia="仿宋_GB2312"/>
          <w:color w:val="000000" w:themeColor="text1"/>
          <w:sz w:val="32"/>
          <w:szCs w:val="32"/>
          <w14:textFill>
            <w14:solidFill>
              <w14:schemeClr w14:val="tx1"/>
            </w14:solidFill>
          </w14:textFill>
        </w:rPr>
        <w:t>+科技+责任”的智慧市场监管体系</w:t>
      </w:r>
      <w:r>
        <w:rPr>
          <w:rFonts w:hint="eastAsia" w:ascii="仿宋_GB2312" w:hAnsi="微软雅黑" w:eastAsia="仿宋_GB2312"/>
          <w:color w:val="000000" w:themeColor="text1"/>
          <w:sz w:val="32"/>
          <w:szCs w:val="32"/>
          <w14:textFill>
            <w14:solidFill>
              <w14:schemeClr w14:val="tx1"/>
            </w14:solidFill>
          </w14:textFill>
        </w:rPr>
        <w:t>。将“智慧监管”和大数据应用融入深化改革、社会信用体系建设、知识产权保护、质量强市、治乱减负等工作中，推进标准、设计、质量、品牌、信誉“五位一体”建设。完善食品安全智慧平台</w:t>
      </w:r>
      <w:r>
        <w:rPr>
          <w:rFonts w:ascii="仿宋_GB2312" w:hAnsi="微软雅黑" w:eastAsia="仿宋_GB2312"/>
          <w:color w:val="000000" w:themeColor="text1"/>
          <w:sz w:val="32"/>
          <w:szCs w:val="32"/>
          <w14:textFill>
            <w14:solidFill>
              <w14:schemeClr w14:val="tx1"/>
            </w14:solidFill>
          </w14:textFill>
        </w:rPr>
        <w:t>建设</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药品不良反应信息区域预警系统</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特种设备应急处置服务平台</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智慧升级农产品流通和交易监管</w:t>
      </w:r>
      <w:r>
        <w:rPr>
          <w:rFonts w:hint="eastAsia" w:ascii="仿宋_GB2312" w:hAnsi="微软雅黑" w:eastAsia="仿宋_GB2312"/>
          <w:color w:val="000000" w:themeColor="text1"/>
          <w:sz w:val="32"/>
          <w:szCs w:val="32"/>
          <w14:textFill>
            <w14:solidFill>
              <w14:schemeClr w14:val="tx1"/>
            </w14:solidFill>
          </w14:textFill>
        </w:rPr>
        <w:t>系统，探索推进市场监管局与司法、仲裁等部门联合建设知识产权快速协同保护机制，通过信息技术开展远程审理，</w:t>
      </w:r>
      <w:r>
        <w:rPr>
          <w:rFonts w:ascii="仿宋_GB2312" w:hAnsi="微软雅黑" w:eastAsia="仿宋_GB2312"/>
          <w:color w:val="000000" w:themeColor="text1"/>
          <w:sz w:val="32"/>
          <w:szCs w:val="32"/>
          <w14:textFill>
            <w14:solidFill>
              <w14:schemeClr w14:val="tx1"/>
            </w14:solidFill>
          </w14:textFill>
        </w:rPr>
        <w:t>实现知识产权保护的快速授权、快速确权、快速维权。</w:t>
      </w:r>
    </w:p>
    <w:p w14:paraId="50B25959">
      <w:pPr>
        <w:pStyle w:val="3"/>
        <w:numPr>
          <w:ilvl w:val="0"/>
          <w:numId w:val="3"/>
        </w:numPr>
        <w:rPr>
          <w:rFonts w:ascii="楷体" w:hAnsi="楷体" w:eastAsia="楷体" w:cs="Times New Roman"/>
          <w:sz w:val="32"/>
          <w:szCs w:val="24"/>
        </w:rPr>
      </w:pPr>
      <w:bookmarkStart w:id="91" w:name="_Toc56587081"/>
      <w:r>
        <w:rPr>
          <w:rFonts w:hint="eastAsia" w:ascii="楷体" w:hAnsi="楷体" w:eastAsia="楷体" w:cs="Times New Roman"/>
          <w:sz w:val="32"/>
          <w:szCs w:val="24"/>
        </w:rPr>
        <w:t>加强大数据融合共享</w:t>
      </w:r>
      <w:bookmarkEnd w:id="91"/>
    </w:p>
    <w:p w14:paraId="2B0E5280">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eastAsia="仿宋_GB2312"/>
          <w:sz w:val="32"/>
          <w:szCs w:val="32"/>
        </w:rPr>
        <w:t>加强市级各相关部门的协调对接，在市市场监管局信用信息服务监管平台、市发展改革委市信用信息共享平台、市政务服务局“一窗通”系统之间实现数据互联互通，提高信息归集效率，实现监管执法信息应公示尽公示。</w:t>
      </w:r>
      <w:r>
        <w:rPr>
          <w:rFonts w:hint="eastAsia" w:ascii="仿宋_GB2312" w:hAnsi="微软雅黑" w:eastAsia="仿宋_GB2312"/>
          <w:color w:val="000000" w:themeColor="text1"/>
          <w:sz w:val="32"/>
          <w:szCs w:val="32"/>
          <w14:textFill>
            <w14:solidFill>
              <w14:schemeClr w14:val="tx1"/>
            </w14:solidFill>
          </w14:textFill>
        </w:rPr>
        <w:t>构建多级联动的指挥系统，在全市所有区域、直属单位、事业单位布局指挥节点，汇聚全市市场监管大数据，通过“大数据分析</w:t>
      </w:r>
      <w:r>
        <w:rPr>
          <w:rFonts w:ascii="仿宋_GB2312" w:hAnsi="微软雅黑" w:eastAsia="仿宋_GB2312"/>
          <w:color w:val="000000" w:themeColor="text1"/>
          <w:sz w:val="32"/>
          <w:szCs w:val="32"/>
          <w14:textFill>
            <w14:solidFill>
              <w14:schemeClr w14:val="tx1"/>
            </w14:solidFill>
          </w14:textFill>
        </w:rPr>
        <w:t>+大屏幕显示”的方式以及各级数据的实时传输，</w:t>
      </w:r>
      <w:r>
        <w:rPr>
          <w:rFonts w:hint="eastAsia" w:ascii="仿宋_GB2312" w:hAnsi="微软雅黑" w:eastAsia="仿宋_GB2312"/>
          <w:color w:val="000000" w:themeColor="text1"/>
          <w:sz w:val="32"/>
          <w:szCs w:val="32"/>
          <w14:textFill>
            <w14:solidFill>
              <w14:schemeClr w14:val="tx1"/>
            </w14:solidFill>
          </w14:textFill>
        </w:rPr>
        <w:t>力争实现市场监管一图感知、一键知全局和一体运行联动的高智能化、高效率化运作。依托智慧监管体系，不断深化政务信息资源整合共享，创新政务服务模式，切实提升政府服务便利化水平。通过数据共享，打通部门间协同服务的信息壁垒，显著提升企业服务水平。推进本市与其他地区</w:t>
      </w:r>
      <w:r>
        <w:rPr>
          <w:rFonts w:ascii="仿宋_GB2312" w:hAnsi="微软雅黑" w:eastAsia="仿宋_GB2312"/>
          <w:color w:val="000000" w:themeColor="text1"/>
          <w:sz w:val="32"/>
          <w:szCs w:val="32"/>
          <w14:textFill>
            <w14:solidFill>
              <w14:schemeClr w14:val="tx1"/>
            </w14:solidFill>
          </w14:textFill>
        </w:rPr>
        <w:t>之间市场监管数据互联互通，打通数据信息壁垒，推动智慧市场监管一体化发展</w:t>
      </w:r>
      <w:r>
        <w:rPr>
          <w:rFonts w:hint="eastAsia" w:ascii="仿宋_GB2312" w:hAnsi="微软雅黑" w:eastAsia="仿宋_GB2312"/>
          <w:color w:val="000000" w:themeColor="text1"/>
          <w:sz w:val="32"/>
          <w:szCs w:val="32"/>
          <w14:textFill>
            <w14:solidFill>
              <w14:schemeClr w14:val="tx1"/>
            </w14:solidFill>
          </w14:textFill>
        </w:rPr>
        <w:t>。</w:t>
      </w:r>
    </w:p>
    <w:p w14:paraId="58D299E2">
      <w:pPr>
        <w:pStyle w:val="3"/>
        <w:numPr>
          <w:ilvl w:val="0"/>
          <w:numId w:val="3"/>
        </w:numPr>
        <w:rPr>
          <w:rFonts w:ascii="楷体" w:hAnsi="楷体" w:eastAsia="楷体" w:cs="Times New Roman"/>
          <w:sz w:val="32"/>
          <w:szCs w:val="24"/>
        </w:rPr>
      </w:pPr>
      <w:bookmarkStart w:id="92" w:name="_Toc56587082"/>
      <w:r>
        <w:rPr>
          <w:rFonts w:hint="eastAsia" w:ascii="楷体" w:hAnsi="楷体" w:eastAsia="楷体" w:cs="Times New Roman"/>
          <w:sz w:val="32"/>
          <w:szCs w:val="24"/>
        </w:rPr>
        <w:t>加强监管智慧化基础设施建设</w:t>
      </w:r>
      <w:bookmarkEnd w:id="92"/>
    </w:p>
    <w:p w14:paraId="33E2A178">
      <w:pPr>
        <w:pStyle w:val="13"/>
        <w:shd w:val="clear" w:color="auto" w:fill="FFFFFF"/>
        <w:ind w:firstLine="643" w:firstLineChars="200"/>
        <w:textAlignment w:val="baseline"/>
        <w:rPr>
          <w:rFonts w:ascii="仿宋_GB2312" w:hAnsi="微软雅黑" w:eastAsia="仿宋_GB2312"/>
          <w:color w:val="000000" w:themeColor="text1"/>
          <w:sz w:val="32"/>
          <w:szCs w:val="32"/>
          <w14:textFill>
            <w14:solidFill>
              <w14:schemeClr w14:val="tx1"/>
            </w14:solidFill>
          </w14:textFill>
        </w:rPr>
      </w:pPr>
      <w:bookmarkStart w:id="93" w:name="_Hlk57374919"/>
      <w:r>
        <w:rPr>
          <w:rFonts w:hint="eastAsia" w:ascii="仿宋_GB2312" w:hAnsi="微软雅黑" w:eastAsia="仿宋_GB2312"/>
          <w:b/>
          <w:bCs/>
          <w:color w:val="000000" w:themeColor="text1"/>
          <w:sz w:val="32"/>
          <w:szCs w:val="32"/>
          <w14:textFill>
            <w14:solidFill>
              <w14:schemeClr w14:val="tx1"/>
            </w14:solidFill>
          </w14:textFill>
        </w:rPr>
        <w:t>提升硬件智慧化水平。</w:t>
      </w:r>
      <w:r>
        <w:rPr>
          <w:rFonts w:hint="eastAsia" w:ascii="仿宋_GB2312" w:hAnsi="微软雅黑" w:eastAsia="仿宋_GB2312"/>
          <w:color w:val="000000" w:themeColor="text1"/>
          <w:sz w:val="32"/>
          <w:szCs w:val="32"/>
          <w14:textFill>
            <w14:solidFill>
              <w14:schemeClr w14:val="tx1"/>
            </w14:solidFill>
          </w14:textFill>
        </w:rPr>
        <w:t>从政务、服务、监管、应用等方面进行了整体全面的智慧化升级，为监管队伍配备现代化智能设备，规划配置</w:t>
      </w:r>
      <w:r>
        <w:rPr>
          <w:rFonts w:ascii="仿宋_GB2312" w:hAnsi="微软雅黑" w:eastAsia="仿宋_GB2312"/>
          <w:color w:val="000000" w:themeColor="text1"/>
          <w:sz w:val="32"/>
          <w:szCs w:val="32"/>
          <w14:textFill>
            <w14:solidFill>
              <w14:schemeClr w14:val="tx1"/>
            </w14:solidFill>
          </w14:textFill>
        </w:rPr>
        <w:t>超过</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台移动终端和</w:t>
      </w:r>
      <w:r>
        <w:rPr>
          <w:rFonts w:hint="eastAsia" w:ascii="仿宋_GB2312" w:hAnsi="微软雅黑" w:eastAsia="仿宋_GB2312"/>
          <w:color w:val="000000" w:themeColor="text1"/>
          <w:sz w:val="32"/>
          <w:szCs w:val="32"/>
          <w14:textFill>
            <w14:solidFill>
              <w14:schemeClr w14:val="tx1"/>
            </w14:solidFill>
          </w14:textFill>
        </w:rPr>
        <w:t>80</w:t>
      </w:r>
      <w:r>
        <w:rPr>
          <w:rFonts w:ascii="仿宋_GB2312" w:hAnsi="微软雅黑" w:eastAsia="仿宋_GB2312"/>
          <w:color w:val="000000" w:themeColor="text1"/>
          <w:sz w:val="32"/>
          <w:szCs w:val="32"/>
          <w14:textFill>
            <w14:solidFill>
              <w14:schemeClr w14:val="tx1"/>
            </w14:solidFill>
          </w14:textFill>
        </w:rPr>
        <w:t>台执法记录仪，实现“随时随地”办公</w:t>
      </w:r>
      <w:r>
        <w:rPr>
          <w:rFonts w:hint="eastAsia" w:ascii="仿宋_GB2312" w:hAnsi="微软雅黑" w:eastAsia="仿宋_GB2312"/>
          <w:color w:val="000000" w:themeColor="text1"/>
          <w:sz w:val="32"/>
          <w:szCs w:val="32"/>
          <w14:textFill>
            <w14:solidFill>
              <w14:schemeClr w14:val="tx1"/>
            </w14:solidFill>
          </w14:textFill>
        </w:rPr>
        <w:t>，打造“人机合一”工作模式。逐步推行重点领域安全监管硬件改造工程，到2025年，重点推进智慧监管集贸市场升级改造2个，药店、药师、特殊药品（疫苗）实时监控设备建设**项，特种设备智慧监管全覆盖。</w:t>
      </w:r>
    </w:p>
    <w:bookmarkEnd w:id="93"/>
    <w:p w14:paraId="7E6E82CC">
      <w:pPr>
        <w:pStyle w:val="13"/>
        <w:shd w:val="clear" w:color="auto" w:fill="FFFFFF"/>
        <w:ind w:firstLine="643" w:firstLineChars="200"/>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b/>
          <w:bCs/>
          <w:color w:val="000000" w:themeColor="text1"/>
          <w:sz w:val="32"/>
          <w:szCs w:val="32"/>
          <w14:textFill>
            <w14:solidFill>
              <w14:schemeClr w14:val="tx1"/>
            </w14:solidFill>
          </w14:textFill>
        </w:rPr>
        <w:t>推进软件配套支持建设。</w:t>
      </w:r>
      <w:r>
        <w:rPr>
          <w:rFonts w:ascii="仿宋_GB2312" w:hAnsi="微软雅黑" w:eastAsia="仿宋_GB2312"/>
          <w:color w:val="000000" w:themeColor="text1"/>
          <w:sz w:val="32"/>
          <w:szCs w:val="32"/>
          <w14:textFill>
            <w14:solidFill>
              <w14:schemeClr w14:val="tx1"/>
            </w14:solidFill>
          </w14:textFill>
        </w:rPr>
        <w:t>充分挖掘了数据价值，实现</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数字监管</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建立企业数字综合档案，以商事主体为主线，关联质量标准、特种设备、知识产权、食品药品等各类业务数据</w:t>
      </w:r>
      <w:r>
        <w:rPr>
          <w:rFonts w:hint="eastAsia" w:ascii="仿宋_GB2312" w:hAnsi="微软雅黑" w:eastAsia="仿宋_GB2312"/>
          <w:color w:val="000000" w:themeColor="text1"/>
          <w:sz w:val="32"/>
          <w:szCs w:val="32"/>
          <w14:textFill>
            <w14:solidFill>
              <w14:schemeClr w14:val="tx1"/>
            </w14:solidFill>
          </w14:textFill>
        </w:rPr>
        <w:t>，重点</w:t>
      </w:r>
      <w:r>
        <w:rPr>
          <w:rFonts w:hint="eastAsia" w:ascii="Times New Roman" w:hAnsi="Times New Roman" w:eastAsia="仿宋_GB2312" w:cs="Times New Roman"/>
          <w:color w:val="000000"/>
          <w:sz w:val="32"/>
          <w:szCs w:val="32"/>
        </w:rPr>
        <w:t>完善“1+3+N”餐饮智慧监管系统的运行工作，将全市所有餐饮单位食品安全管理相关信息接入指挥中心系统，</w:t>
      </w:r>
      <w:r>
        <w:rPr>
          <w:rFonts w:ascii="Times New Roman" w:hAnsi="Times New Roman" w:eastAsia="仿宋_GB2312" w:cs="Times New Roman"/>
          <w:color w:val="000000"/>
          <w:sz w:val="32"/>
          <w:szCs w:val="32"/>
        </w:rPr>
        <w:t>利用</w:t>
      </w:r>
      <w:r>
        <w:rPr>
          <w:rFonts w:hint="eastAsia" w:ascii="Times New Roman" w:hAnsi="Times New Roman" w:eastAsia="仿宋_GB2312" w:cs="Times New Roman"/>
          <w:color w:val="000000"/>
          <w:sz w:val="32"/>
          <w:szCs w:val="32"/>
        </w:rPr>
        <w:t>指挥中心</w:t>
      </w:r>
      <w:r>
        <w:rPr>
          <w:rFonts w:ascii="Times New Roman" w:hAnsi="Times New Roman" w:eastAsia="仿宋_GB2312" w:cs="Times New Roman"/>
          <w:color w:val="000000"/>
          <w:sz w:val="32"/>
          <w:szCs w:val="32"/>
        </w:rPr>
        <w:t>对餐饮单位开展</w:t>
      </w:r>
      <w:r>
        <w:rPr>
          <w:rFonts w:hint="eastAsia" w:ascii="Times New Roman" w:hAnsi="Times New Roman" w:eastAsia="仿宋_GB2312" w:cs="Times New Roman"/>
          <w:color w:val="000000"/>
          <w:sz w:val="32"/>
          <w:szCs w:val="32"/>
        </w:rPr>
        <w:t>在线检查及实时指挥调度</w:t>
      </w:r>
      <w:r>
        <w:rPr>
          <w:rFonts w:ascii="Times New Roman" w:hAnsi="Times New Roman" w:eastAsia="仿宋_GB2312" w:cs="Times New Roman"/>
          <w:color w:val="000000"/>
          <w:sz w:val="32"/>
          <w:szCs w:val="32"/>
        </w:rPr>
        <w:t>。</w:t>
      </w:r>
      <w:r>
        <w:rPr>
          <w:rFonts w:hint="eastAsia" w:ascii="仿宋_GB2312" w:hAnsi="微软雅黑" w:eastAsia="仿宋_GB2312"/>
          <w:color w:val="000000" w:themeColor="text1"/>
          <w:sz w:val="32"/>
          <w:szCs w:val="32"/>
          <w14:textFill>
            <w14:solidFill>
              <w14:schemeClr w14:val="tx1"/>
            </w14:solidFill>
          </w14:textFill>
        </w:rPr>
        <w:t>适时推出</w:t>
      </w:r>
      <w:r>
        <w:rPr>
          <w:rFonts w:ascii="仿宋_GB2312" w:hAnsi="微软雅黑" w:eastAsia="仿宋_GB2312"/>
          <w:color w:val="000000" w:themeColor="text1"/>
          <w:sz w:val="32"/>
          <w:szCs w:val="32"/>
          <w14:textFill>
            <w14:solidFill>
              <w14:schemeClr w14:val="tx1"/>
            </w14:solidFill>
          </w14:textFill>
        </w:rPr>
        <w:t>App</w:t>
      </w:r>
      <w:r>
        <w:rPr>
          <w:rFonts w:hint="eastAsia" w:ascii="仿宋_GB2312" w:hAnsi="微软雅黑" w:eastAsia="仿宋_GB2312"/>
          <w:color w:val="000000" w:themeColor="text1"/>
          <w:sz w:val="32"/>
          <w:szCs w:val="32"/>
          <w14:textFill>
            <w14:solidFill>
              <w14:schemeClr w14:val="tx1"/>
            </w14:solidFill>
          </w14:textFill>
        </w:rPr>
        <w:t>应用、小程序</w:t>
      </w:r>
      <w:r>
        <w:rPr>
          <w:rFonts w:ascii="仿宋_GB2312" w:hAnsi="微软雅黑" w:eastAsia="仿宋_GB2312"/>
          <w:color w:val="000000" w:themeColor="text1"/>
          <w:sz w:val="32"/>
          <w:szCs w:val="32"/>
          <w14:textFill>
            <w14:solidFill>
              <w14:schemeClr w14:val="tx1"/>
            </w14:solidFill>
          </w14:textFill>
        </w:rPr>
        <w:t>，为市民提供信息查询功能，实现</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全民参与</w:t>
      </w:r>
      <w:r>
        <w:rPr>
          <w:rFonts w:hint="eastAsia" w:ascii="仿宋_GB2312" w:hAnsi="微软雅黑" w:eastAsia="仿宋_GB2312"/>
          <w:color w:val="000000" w:themeColor="text1"/>
          <w:sz w:val="32"/>
          <w:szCs w:val="32"/>
          <w14:textFill>
            <w14:solidFill>
              <w14:schemeClr w14:val="tx1"/>
            </w14:solidFill>
          </w14:textFill>
        </w:rPr>
        <w:t>”，为监管人员开发支持多设备登录的工作和监管平台，实现</w:t>
      </w:r>
      <w:r>
        <w:rPr>
          <w:rFonts w:ascii="仿宋_GB2312" w:hAnsi="微软雅黑" w:eastAsia="仿宋_GB2312"/>
          <w:color w:val="000000" w:themeColor="text1"/>
          <w:sz w:val="32"/>
          <w:szCs w:val="32"/>
          <w14:textFill>
            <w14:solidFill>
              <w14:schemeClr w14:val="tx1"/>
            </w14:solidFill>
          </w14:textFill>
        </w:rPr>
        <w:t>智能化分析研判、监控保障、应急值守、调度指挥和任务自动处</w:t>
      </w:r>
      <w:r>
        <w:rPr>
          <w:rFonts w:hint="eastAsia" w:ascii="仿宋_GB2312" w:hAnsi="微软雅黑" w:eastAsia="仿宋_GB2312"/>
          <w:color w:val="000000" w:themeColor="text1"/>
          <w:sz w:val="32"/>
          <w:szCs w:val="32"/>
          <w14:textFill>
            <w14:solidFill>
              <w14:schemeClr w14:val="tx1"/>
            </w14:solidFill>
          </w14:textFill>
        </w:rPr>
        <w:t>置。</w:t>
      </w:r>
    </w:p>
    <w:p w14:paraId="469E35DF">
      <w:pPr>
        <w:pStyle w:val="3"/>
        <w:numPr>
          <w:ilvl w:val="0"/>
          <w:numId w:val="3"/>
        </w:numPr>
        <w:rPr>
          <w:rFonts w:ascii="楷体" w:hAnsi="楷体" w:eastAsia="楷体" w:cs="Times New Roman"/>
          <w:sz w:val="32"/>
          <w:szCs w:val="24"/>
        </w:rPr>
      </w:pPr>
      <w:bookmarkStart w:id="94" w:name="_Toc56587083"/>
      <w:r>
        <w:rPr>
          <w:rFonts w:hint="eastAsia" w:ascii="楷体" w:hAnsi="楷体" w:eastAsia="楷体" w:cs="Times New Roman"/>
          <w:sz w:val="32"/>
          <w:szCs w:val="24"/>
        </w:rPr>
        <w:t>发展大数据信用服务市场</w:t>
      </w:r>
      <w:bookmarkEnd w:id="94"/>
    </w:p>
    <w:p w14:paraId="1D2BBA45">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依托智慧监管，探索建立智慧化商事信用体系，形成跨地域失信联合惩戒机制，力争实现“一处失信、处处受限”。建立商事主体信用监管公示平台和信用网，与全市所有</w:t>
      </w:r>
      <w:r>
        <w:rPr>
          <w:rFonts w:ascii="仿宋_GB2312" w:hAnsi="微软雅黑" w:eastAsia="仿宋_GB2312"/>
          <w:color w:val="000000" w:themeColor="text1"/>
          <w:sz w:val="32"/>
          <w:szCs w:val="32"/>
          <w14:textFill>
            <w14:solidFill>
              <w14:schemeClr w14:val="tx1"/>
            </w14:solidFill>
          </w14:textFill>
        </w:rPr>
        <w:t>部门建立失信联合惩戒机制，</w:t>
      </w:r>
      <w:r>
        <w:rPr>
          <w:rFonts w:hint="eastAsia" w:ascii="仿宋_GB2312" w:hAnsi="微软雅黑" w:eastAsia="仿宋_GB2312"/>
          <w:color w:val="000000" w:themeColor="text1"/>
          <w:sz w:val="32"/>
          <w:szCs w:val="32"/>
          <w14:textFill>
            <w14:solidFill>
              <w14:schemeClr w14:val="tx1"/>
            </w14:solidFill>
          </w14:textFill>
        </w:rPr>
        <w:t>建立</w:t>
      </w:r>
      <w:r>
        <w:rPr>
          <w:rFonts w:ascii="仿宋_GB2312" w:hAnsi="微软雅黑" w:eastAsia="仿宋_GB2312"/>
          <w:color w:val="000000" w:themeColor="text1"/>
          <w:sz w:val="32"/>
          <w:szCs w:val="32"/>
          <w14:textFill>
            <w14:solidFill>
              <w14:schemeClr w14:val="tx1"/>
            </w14:solidFill>
          </w14:textFill>
        </w:rPr>
        <w:t>商事主体经营异常名录</w:t>
      </w:r>
      <w:r>
        <w:rPr>
          <w:rFonts w:hint="eastAsia" w:ascii="仿宋_GB2312" w:hAnsi="微软雅黑" w:eastAsia="仿宋_GB2312"/>
          <w:color w:val="000000" w:themeColor="text1"/>
          <w:sz w:val="32"/>
          <w:szCs w:val="32"/>
          <w14:textFill>
            <w14:solidFill>
              <w14:schemeClr w14:val="tx1"/>
            </w14:solidFill>
          </w14:textFill>
        </w:rPr>
        <w:t>和</w:t>
      </w:r>
      <w:r>
        <w:rPr>
          <w:rFonts w:ascii="仿宋_GB2312" w:hAnsi="微软雅黑" w:eastAsia="仿宋_GB2312"/>
          <w:color w:val="000000" w:themeColor="text1"/>
          <w:sz w:val="32"/>
          <w:szCs w:val="32"/>
          <w14:textFill>
            <w14:solidFill>
              <w14:schemeClr w14:val="tx1"/>
            </w14:solidFill>
          </w14:textFill>
        </w:rPr>
        <w:t>严重违法失信名单，并逐渐与</w:t>
      </w:r>
      <w:r>
        <w:rPr>
          <w:rFonts w:hint="eastAsia" w:ascii="仿宋_GB2312" w:hAnsi="微软雅黑" w:eastAsia="仿宋_GB2312"/>
          <w:color w:val="000000" w:themeColor="text1"/>
          <w:sz w:val="32"/>
          <w:szCs w:val="32"/>
          <w14:textFill>
            <w14:solidFill>
              <w14:schemeClr w14:val="tx1"/>
            </w14:solidFill>
          </w14:textFill>
        </w:rPr>
        <w:t>其他地区</w:t>
      </w:r>
      <w:r>
        <w:rPr>
          <w:rFonts w:ascii="仿宋_GB2312" w:hAnsi="微软雅黑" w:eastAsia="仿宋_GB2312"/>
          <w:color w:val="000000" w:themeColor="text1"/>
          <w:sz w:val="32"/>
          <w:szCs w:val="32"/>
          <w14:textFill>
            <w14:solidFill>
              <w14:schemeClr w14:val="tx1"/>
            </w14:solidFill>
          </w14:textFill>
        </w:rPr>
        <w:t>实现数据共享。</w:t>
      </w:r>
      <w:r>
        <w:rPr>
          <w:rFonts w:hint="eastAsia" w:ascii="仿宋_GB2312" w:hAnsi="微软雅黑" w:eastAsia="仿宋_GB2312"/>
          <w:color w:val="000000" w:themeColor="text1"/>
          <w:sz w:val="32"/>
          <w:szCs w:val="32"/>
          <w14:textFill>
            <w14:solidFill>
              <w14:schemeClr w14:val="tx1"/>
            </w14:solidFill>
          </w14:textFill>
        </w:rPr>
        <w:t>推进企业信用风险分类管理，积极探索构建企业信用风险评价体系，充分运用大数据手段实现监管资源合理配置和有效利用，提高风险预判能力和监管效能。出台信用修复机制，鼓励企业自我纠错、重塑信用。</w:t>
      </w:r>
    </w:p>
    <w:tbl>
      <w:tblPr>
        <w:tblStyle w:val="15"/>
        <w:tblW w:w="83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01"/>
      </w:tblGrid>
      <w:tr w14:paraId="51EB5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trPr>
        <w:tc>
          <w:tcPr>
            <w:tcW w:w="8301" w:type="dxa"/>
            <w:tcBorders>
              <w:bottom w:val="single" w:color="auto" w:sz="4" w:space="0"/>
            </w:tcBorders>
          </w:tcPr>
          <w:p w14:paraId="39ACA7F8">
            <w:pPr>
              <w:spacing w:line="276" w:lineRule="auto"/>
              <w:ind w:firstLine="480" w:firstLineChars="200"/>
              <w:jc w:val="center"/>
              <w:rPr>
                <w:rFonts w:ascii="黑体" w:hAnsi="黑体" w:eastAsia="黑体" w:cs="Times New Roman"/>
                <w:sz w:val="24"/>
                <w:szCs w:val="24"/>
              </w:rPr>
            </w:pPr>
            <w:r>
              <w:rPr>
                <w:rFonts w:hint="eastAsia" w:ascii="黑体" w:hAnsi="黑体" w:eastAsia="黑体" w:cs="Times New Roman"/>
                <w:sz w:val="24"/>
                <w:szCs w:val="24"/>
              </w:rPr>
              <w:t>专栏  智慧监管工程</w:t>
            </w:r>
          </w:p>
        </w:tc>
      </w:tr>
      <w:tr w14:paraId="2A007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1" w:hRule="atLeast"/>
        </w:trPr>
        <w:tc>
          <w:tcPr>
            <w:tcW w:w="8301" w:type="dxa"/>
            <w:tcBorders>
              <w:top w:val="single" w:color="auto" w:sz="4" w:space="0"/>
            </w:tcBorders>
          </w:tcPr>
          <w:p w14:paraId="1DAE6CEA">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智慧集市。结合“最绿城建设”和“管集市”工作中集贸市场改造提升工作，“十四五”时期每年投资1000万元对全市范围内1-2家农贸市场进行提升改造，在基础设施提升同时，重点布局7个集中功能区，重点实施集贸市场信息化管理、食品安全溯源、智能溯源电子秤、农残检测等信息化项目，实现集贸市场的智慧监管。</w:t>
            </w:r>
          </w:p>
          <w:p w14:paraId="397CA5F4">
            <w:pPr>
              <w:spacing w:line="360" w:lineRule="auto"/>
              <w:ind w:firstLine="480" w:firstLineChars="200"/>
              <w:jc w:val="left"/>
              <w:rPr>
                <w:rFonts w:ascii="黑体" w:hAnsi="黑体" w:eastAsia="黑体" w:cs="Times New Roman"/>
                <w:sz w:val="24"/>
                <w:szCs w:val="24"/>
              </w:rPr>
            </w:pPr>
            <w:r>
              <w:rPr>
                <w:rFonts w:hint="eastAsia" w:ascii="仿宋" w:hAnsi="仿宋" w:eastAsia="仿宋" w:cs="Times New Roman"/>
                <w:sz w:val="24"/>
                <w:szCs w:val="24"/>
              </w:rPr>
              <w:t>2.智慧监管。聚焦提质扩面，引进食品药品监管、电梯管理、工业特种设备管理等方面数字化应用，推进食用农产品源头追溯，提升安全监管保障水平，赋能“数字安宁”。</w:t>
            </w:r>
          </w:p>
        </w:tc>
      </w:tr>
    </w:tbl>
    <w:p w14:paraId="66C7E518">
      <w:pPr>
        <w:pStyle w:val="2"/>
        <w:rPr>
          <w:rFonts w:ascii="黑体" w:hAnsi="黑体" w:eastAsia="黑体" w:cs="Times New Roman"/>
          <w:szCs w:val="24"/>
        </w:rPr>
      </w:pPr>
      <w:bookmarkStart w:id="95" w:name="_Toc63151501"/>
      <w:bookmarkStart w:id="96" w:name="_Toc56587084"/>
      <w:r>
        <w:rPr>
          <w:rFonts w:hint="eastAsia" w:ascii="黑体" w:hAnsi="黑体" w:eastAsia="黑体" w:cs="Times New Roman"/>
          <w:szCs w:val="24"/>
        </w:rPr>
        <w:t>八、加强顶层设计，构建科学高效的市场监管体系</w:t>
      </w:r>
      <w:bookmarkEnd w:id="95"/>
      <w:bookmarkEnd w:id="96"/>
    </w:p>
    <w:p w14:paraId="11C58F9F">
      <w:pPr>
        <w:pStyle w:val="13"/>
        <w:shd w:val="clear" w:color="auto" w:fill="FFFFFF"/>
        <w:spacing w:before="0" w:beforeAutospacing="0" w:after="0" w:afterAutospacing="0"/>
        <w:ind w:firstLine="640" w:firstLineChars="200"/>
        <w:jc w:val="both"/>
        <w:textAlignment w:val="baseline"/>
        <w:rPr>
          <w:rFonts w:ascii="仿宋_GB2312" w:hAnsi="微软雅黑" w:eastAsia="仿宋_GB2312"/>
          <w:sz w:val="32"/>
          <w:szCs w:val="32"/>
        </w:rPr>
      </w:pPr>
      <w:r>
        <w:rPr>
          <w:rFonts w:hint="eastAsia" w:ascii="仿宋_GB2312" w:hAnsi="微软雅黑" w:eastAsia="仿宋_GB2312"/>
          <w:sz w:val="32"/>
          <w:szCs w:val="32"/>
        </w:rPr>
        <w:t>完善工作协同、监管联动机制，科学进行体制机制设计，理清职责范围，合理配置市场监管资源，提高市场治理的市场化、社会化、国际化水平。</w:t>
      </w:r>
    </w:p>
    <w:p w14:paraId="0779C1EF">
      <w:pPr>
        <w:pStyle w:val="3"/>
        <w:numPr>
          <w:ilvl w:val="0"/>
          <w:numId w:val="4"/>
        </w:numPr>
        <w:rPr>
          <w:rFonts w:ascii="楷体" w:hAnsi="楷体" w:eastAsia="楷体" w:cs="Times New Roman"/>
          <w:sz w:val="32"/>
          <w:szCs w:val="24"/>
        </w:rPr>
      </w:pPr>
      <w:bookmarkStart w:id="97" w:name="_Toc56587085"/>
      <w:r>
        <w:rPr>
          <w:rFonts w:hint="eastAsia" w:ascii="楷体" w:hAnsi="楷体" w:eastAsia="楷体" w:cs="Times New Roman"/>
          <w:sz w:val="32"/>
          <w:szCs w:val="24"/>
        </w:rPr>
        <w:t>科学规划顶层设计</w:t>
      </w:r>
      <w:bookmarkEnd w:id="97"/>
    </w:p>
    <w:p w14:paraId="0A3CA820">
      <w:pPr>
        <w:pStyle w:val="13"/>
        <w:shd w:val="clear" w:color="auto" w:fill="FFFFFF"/>
        <w:spacing w:before="0" w:beforeAutospacing="0" w:after="0" w:afterAutospacing="0"/>
        <w:ind w:firstLine="640" w:firstLineChars="200"/>
        <w:jc w:val="both"/>
        <w:textAlignment w:val="baseline"/>
        <w:rPr>
          <w:rFonts w:ascii="仿宋_GB2312" w:hAnsi="微软雅黑" w:eastAsia="仿宋_GB2312"/>
          <w:sz w:val="32"/>
          <w:szCs w:val="32"/>
        </w:rPr>
      </w:pPr>
      <w:r>
        <w:rPr>
          <w:rFonts w:hint="eastAsia" w:ascii="仿宋_GB2312" w:hAnsi="微软雅黑" w:eastAsia="仿宋_GB2312"/>
          <w:sz w:val="32"/>
          <w:szCs w:val="32"/>
        </w:rPr>
        <w:t>指导和督促市场业主完善管理制度，推进分段监管向统一监管转变，传统监管向智慧监管转变，部门监管向开放共治转变，从对市场内的经营者的监管转变为注重发挥市场业主管理市场的作用。健全社会组织监管和自律制度，发挥媒体和广大群众的监督作用，实现社会协作共治。坚持以市场主体责任促进企业自治、以行业组织作用推进行业自律、以公众监督约束保障社会共治，引导企业提升自我规范、自我管理水平，发挥行业协会的组织协调作用，不断提高市场监管社会化水平。</w:t>
      </w:r>
      <w:r>
        <w:rPr>
          <w:rFonts w:ascii="仿宋_GB2312" w:hAnsi="微软雅黑" w:eastAsia="仿宋_GB2312"/>
          <w:sz w:val="32"/>
          <w:szCs w:val="32"/>
        </w:rPr>
        <w:t>健全以“双随机、一公开”监管为基本手段、以重点监管为补充、以信用监管为基础的新型监管机制，综合监管、智慧监管水平进一步提升。完善企业信息公示制度</w:t>
      </w:r>
      <w:r>
        <w:rPr>
          <w:rFonts w:hint="eastAsia" w:ascii="仿宋_GB2312" w:hAnsi="微软雅黑" w:eastAsia="仿宋_GB2312"/>
          <w:sz w:val="32"/>
          <w:szCs w:val="32"/>
        </w:rPr>
        <w:t>，</w:t>
      </w:r>
      <w:r>
        <w:rPr>
          <w:rFonts w:ascii="仿宋_GB2312" w:hAnsi="微软雅黑" w:eastAsia="仿宋_GB2312"/>
          <w:sz w:val="32"/>
          <w:szCs w:val="32"/>
        </w:rPr>
        <w:t>优化公示系统软硬件和网络环境，提升公示系统运行管理水平。建立完善全市市场监管部门内涉企信息归集公示机制，确保</w:t>
      </w:r>
      <w:r>
        <w:rPr>
          <w:rFonts w:hint="eastAsia" w:ascii="仿宋_GB2312" w:hAnsi="微软雅黑" w:eastAsia="仿宋_GB2312"/>
          <w:sz w:val="32"/>
          <w:szCs w:val="32"/>
        </w:rPr>
        <w:t>到2025年，</w:t>
      </w:r>
      <w:r>
        <w:rPr>
          <w:rFonts w:ascii="仿宋_GB2312" w:hAnsi="微软雅黑" w:eastAsia="仿宋_GB2312"/>
          <w:sz w:val="32"/>
          <w:szCs w:val="32"/>
        </w:rPr>
        <w:t>各级市场监管部门涉企信息归集公示率100%。</w:t>
      </w:r>
    </w:p>
    <w:p w14:paraId="448748E9">
      <w:pPr>
        <w:pStyle w:val="3"/>
        <w:numPr>
          <w:ilvl w:val="0"/>
          <w:numId w:val="4"/>
        </w:numPr>
        <w:rPr>
          <w:rFonts w:ascii="楷体" w:hAnsi="楷体" w:eastAsia="楷体" w:cs="Times New Roman"/>
          <w:sz w:val="32"/>
          <w:szCs w:val="24"/>
        </w:rPr>
      </w:pPr>
      <w:bookmarkStart w:id="98" w:name="_Toc56587086"/>
      <w:r>
        <w:rPr>
          <w:rFonts w:hint="eastAsia" w:ascii="楷体" w:hAnsi="楷体" w:eastAsia="楷体" w:cs="Times New Roman"/>
          <w:sz w:val="32"/>
          <w:szCs w:val="24"/>
        </w:rPr>
        <w:t>厘清部门监管职责</w:t>
      </w:r>
      <w:bookmarkEnd w:id="98"/>
    </w:p>
    <w:p w14:paraId="4A165CA8">
      <w:pPr>
        <w:pStyle w:val="13"/>
        <w:shd w:val="clear" w:color="auto" w:fill="FFFFFF"/>
        <w:ind w:firstLine="640" w:firstLineChars="200"/>
        <w:jc w:val="both"/>
        <w:textAlignment w:val="baseline"/>
        <w:rPr>
          <w:rFonts w:ascii="仿宋_GB2312" w:hAnsi="微软雅黑" w:eastAsia="仿宋_GB2312"/>
          <w:sz w:val="32"/>
          <w:szCs w:val="32"/>
        </w:rPr>
      </w:pPr>
      <w:r>
        <w:rPr>
          <w:rFonts w:hint="eastAsia" w:ascii="仿宋_GB2312" w:hAnsi="微软雅黑" w:eastAsia="仿宋_GB2312"/>
          <w:sz w:val="32"/>
          <w:szCs w:val="32"/>
        </w:rPr>
        <w:t>依法划分监管职责，进一步明确主管部门、行政执法队伍以及相关行业管理部门的职责关系，除法律、法规明确规定市场监管部门和监管职责的按照规定明确监管责任，严格按照“谁审批、谁监管，谁主管、谁监管”</w:t>
      </w:r>
      <w:r>
        <w:rPr>
          <w:rFonts w:ascii="仿宋_GB2312" w:hAnsi="微软雅黑" w:eastAsia="仿宋_GB2312"/>
          <w:sz w:val="32"/>
          <w:szCs w:val="32"/>
        </w:rPr>
        <w:t xml:space="preserve"> 原则，</w:t>
      </w:r>
      <w:r>
        <w:rPr>
          <w:rFonts w:hint="eastAsia" w:ascii="仿宋_GB2312" w:hAnsi="微软雅黑" w:eastAsia="仿宋_GB2312"/>
          <w:sz w:val="32"/>
          <w:szCs w:val="32"/>
        </w:rPr>
        <w:t>行政执法机构通过与公安、审计等相关部门建立信息通报、案件移送、联勤联动等工作机制的方式，建立优化协同高效的行政执法工作体系，厘清市场监管职责。全面清理、优化、精简执法事项，实行执法事项清单管理制度，实施负面清单管理，明确“法无禁止皆可为”，并依法动态及时调整。建立政府工作部门权责清单制度，依据法律法规的立改废释、审批制度改革、机构和职能调整、管理任务变化等情况，及时调整政府部门权责清单。</w:t>
      </w:r>
    </w:p>
    <w:p w14:paraId="3297BF33">
      <w:pPr>
        <w:pStyle w:val="3"/>
        <w:numPr>
          <w:ilvl w:val="0"/>
          <w:numId w:val="4"/>
        </w:numPr>
        <w:rPr>
          <w:rFonts w:ascii="楷体" w:hAnsi="楷体" w:eastAsia="楷体" w:cs="Times New Roman"/>
          <w:sz w:val="32"/>
          <w:szCs w:val="24"/>
        </w:rPr>
      </w:pPr>
      <w:bookmarkStart w:id="99" w:name="_Toc56587087"/>
      <w:r>
        <w:rPr>
          <w:rFonts w:hint="eastAsia" w:ascii="楷体" w:hAnsi="楷体" w:eastAsia="楷体" w:cs="Times New Roman"/>
          <w:sz w:val="32"/>
          <w:szCs w:val="24"/>
        </w:rPr>
        <w:t>合理配置执法资源</w:t>
      </w:r>
      <w:bookmarkEnd w:id="99"/>
    </w:p>
    <w:p w14:paraId="6AA26755">
      <w:pPr>
        <w:pStyle w:val="13"/>
        <w:shd w:val="clear" w:color="auto" w:fill="FFFFFF"/>
        <w:ind w:firstLine="643" w:firstLineChars="200"/>
        <w:jc w:val="both"/>
        <w:textAlignment w:val="baseline"/>
        <w:rPr>
          <w:rFonts w:ascii="仿宋_GB2312" w:hAnsi="微软雅黑" w:eastAsia="仿宋_GB2312"/>
          <w:sz w:val="32"/>
          <w:szCs w:val="32"/>
        </w:rPr>
      </w:pPr>
      <w:r>
        <w:rPr>
          <w:rFonts w:hint="eastAsia" w:ascii="仿宋_GB2312" w:hAnsi="微软雅黑" w:eastAsia="仿宋_GB2312"/>
          <w:b/>
          <w:bCs/>
          <w:sz w:val="32"/>
          <w:szCs w:val="32"/>
        </w:rPr>
        <w:t>优化机构配置。</w:t>
      </w:r>
      <w:r>
        <w:rPr>
          <w:rFonts w:hint="eastAsia" w:ascii="仿宋_GB2312" w:hAnsi="微软雅黑" w:eastAsia="仿宋_GB2312"/>
          <w:sz w:val="32"/>
          <w:szCs w:val="32"/>
        </w:rPr>
        <w:t>优化市场监管部门机构设置与职能划分，调整完善省直部门内设机构设置和编制配备，强化承担事中事后监管职能的内设机构。进一步整合分散在行政机关和相关事业单位等多部门的行政执法职责和队伍，组建综合性的行政执法队伍统一执法。</w:t>
      </w:r>
    </w:p>
    <w:p w14:paraId="1B1D1B53">
      <w:pPr>
        <w:pStyle w:val="13"/>
        <w:shd w:val="clear" w:color="auto" w:fill="FFFFFF"/>
        <w:ind w:firstLine="643" w:firstLineChars="200"/>
        <w:jc w:val="both"/>
        <w:textAlignment w:val="baseline"/>
        <w:rPr>
          <w:rFonts w:ascii="仿宋_GB2312" w:hAnsi="微软雅黑" w:eastAsia="仿宋_GB2312"/>
          <w:sz w:val="32"/>
          <w:szCs w:val="32"/>
        </w:rPr>
      </w:pPr>
      <w:r>
        <w:rPr>
          <w:rFonts w:hint="eastAsia" w:ascii="仿宋_GB2312" w:hAnsi="微软雅黑" w:eastAsia="仿宋_GB2312"/>
          <w:b/>
          <w:bCs/>
          <w:sz w:val="32"/>
          <w:szCs w:val="32"/>
        </w:rPr>
        <w:t>加强基层执法资源配置。</w:t>
      </w:r>
      <w:r>
        <w:rPr>
          <w:rFonts w:hint="eastAsia" w:ascii="仿宋_GB2312" w:hAnsi="微软雅黑" w:eastAsia="仿宋_GB2312"/>
          <w:sz w:val="32"/>
          <w:szCs w:val="32"/>
        </w:rPr>
        <w:t>在执法编制、专业人才等资源配置方面向基层倾斜，重点加强工商、质监、食品药品监管、安全生产、环境保护、劳动保障等领域基层执法力量，重点加强动态巡查、应急处置、案件办理等执法一线工作力量，确保基层有足够资源履行综合执法职责。到2025年，综合行政执法队伍总编制中不低于</w:t>
      </w:r>
      <w:r>
        <w:rPr>
          <w:rFonts w:ascii="仿宋_GB2312" w:hAnsi="微软雅黑" w:eastAsia="仿宋_GB2312"/>
          <w:sz w:val="32"/>
          <w:szCs w:val="32"/>
        </w:rPr>
        <w:t>85%的编制全部下沉基层一线</w:t>
      </w:r>
      <w:r>
        <w:rPr>
          <w:rFonts w:hint="eastAsia" w:ascii="仿宋_GB2312" w:hAnsi="微软雅黑" w:eastAsia="仿宋_GB2312"/>
          <w:sz w:val="32"/>
          <w:szCs w:val="32"/>
        </w:rPr>
        <w:t>。</w:t>
      </w:r>
    </w:p>
    <w:p w14:paraId="12F9B97F">
      <w:pPr>
        <w:pStyle w:val="13"/>
        <w:shd w:val="clear" w:color="auto" w:fill="FFFFFF"/>
        <w:ind w:firstLine="643" w:firstLineChars="200"/>
        <w:jc w:val="both"/>
        <w:textAlignment w:val="baseline"/>
        <w:rPr>
          <w:rFonts w:ascii="仿宋_GB2312" w:hAnsi="微软雅黑" w:eastAsia="仿宋_GB2312"/>
          <w:sz w:val="32"/>
          <w:szCs w:val="32"/>
        </w:rPr>
      </w:pPr>
      <w:r>
        <w:rPr>
          <w:rFonts w:hint="eastAsia" w:ascii="仿宋_GB2312" w:hAnsi="微软雅黑" w:eastAsia="仿宋_GB2312"/>
          <w:b/>
          <w:bCs/>
          <w:sz w:val="32"/>
          <w:szCs w:val="32"/>
        </w:rPr>
        <w:t>健全执法资源配套保障。</w:t>
      </w:r>
      <w:r>
        <w:rPr>
          <w:rFonts w:hint="eastAsia" w:ascii="仿宋_GB2312" w:hAnsi="微软雅黑" w:eastAsia="仿宋_GB2312"/>
          <w:sz w:val="32"/>
          <w:szCs w:val="32"/>
        </w:rPr>
        <w:t>配全执法记录仪、先进检验检测设备等，提高科技手段在执法办事中的应用。落实执法人员持证上岗和资格管理制度，加大培训力度，提升执法人员素质。</w:t>
      </w:r>
    </w:p>
    <w:p w14:paraId="2CD4F76E">
      <w:pPr>
        <w:pStyle w:val="3"/>
        <w:numPr>
          <w:ilvl w:val="0"/>
          <w:numId w:val="4"/>
        </w:numPr>
        <w:rPr>
          <w:rFonts w:ascii="楷体" w:hAnsi="楷体" w:eastAsia="楷体" w:cs="Times New Roman"/>
          <w:sz w:val="32"/>
          <w:szCs w:val="24"/>
        </w:rPr>
      </w:pPr>
      <w:bookmarkStart w:id="100" w:name="_Toc56587088"/>
      <w:r>
        <w:rPr>
          <w:rFonts w:hint="eastAsia" w:ascii="楷体" w:hAnsi="楷体" w:eastAsia="楷体" w:cs="Times New Roman"/>
          <w:sz w:val="32"/>
          <w:szCs w:val="24"/>
        </w:rPr>
        <w:t>推进市场治理法治化水平</w:t>
      </w:r>
      <w:bookmarkEnd w:id="100"/>
    </w:p>
    <w:p w14:paraId="477522B4">
      <w:pPr>
        <w:pStyle w:val="13"/>
        <w:shd w:val="clear" w:color="auto" w:fill="FFFFFF"/>
        <w:spacing w:before="0" w:beforeAutospacing="0" w:after="0" w:afterAutospacing="0"/>
        <w:ind w:firstLine="640" w:firstLineChars="200"/>
        <w:jc w:val="both"/>
        <w:textAlignment w:val="baseline"/>
        <w:rPr>
          <w:rFonts w:ascii="仿宋_GB2312" w:hAnsi="微软雅黑" w:eastAsia="仿宋_GB2312"/>
          <w:sz w:val="32"/>
          <w:szCs w:val="32"/>
        </w:rPr>
      </w:pPr>
      <w:r>
        <w:rPr>
          <w:rFonts w:hint="eastAsia" w:ascii="仿宋_GB2312" w:hAnsi="微软雅黑" w:eastAsia="仿宋_GB2312"/>
          <w:sz w:val="32"/>
          <w:szCs w:val="32"/>
        </w:rPr>
        <w:t>坚持“立改废释”并举，将市场治理的各环节纳入法治轨道，形成以法律为核心、以市场为基础的监管法治体系。完善法治政府建设，依法全面履行市场监管职能，完善行政组织和行政程序制度、权力清单制度，推进事权规范化、法制化。完善行政决策机制，严格执行行政决策法定程序，积极推进法律顾问制度，健全行政执法和刑事司法衔接机制。提高运用法治思维和法治方式深化市场监管改革、推动发展、化解矛盾、应对风险的能力。统一标准、统一程序、统一裁量，聚焦网络订餐、校园食品等重点领域，聚焦疫苗、血液制品等高风险药品，聚焦重点特种设备和农资、建材等重点产品。</w:t>
      </w:r>
    </w:p>
    <w:p w14:paraId="4D2000DF">
      <w:pPr>
        <w:pStyle w:val="3"/>
        <w:numPr>
          <w:ilvl w:val="0"/>
          <w:numId w:val="4"/>
        </w:numPr>
        <w:rPr>
          <w:rFonts w:ascii="楷体" w:hAnsi="楷体" w:eastAsia="楷体" w:cs="Times New Roman"/>
          <w:sz w:val="32"/>
          <w:szCs w:val="24"/>
        </w:rPr>
      </w:pPr>
      <w:r>
        <w:rPr>
          <w:rFonts w:hint="eastAsia" w:ascii="楷体" w:hAnsi="楷体" w:eastAsia="楷体" w:cs="Times New Roman"/>
          <w:sz w:val="32"/>
          <w:szCs w:val="24"/>
        </w:rPr>
        <w:t>打造安宁市场监管新形象</w:t>
      </w:r>
    </w:p>
    <w:p w14:paraId="319136B3">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突出市场监管工作特色，切实抓好新闻宣传工作，加强与官方微信等媒体合作对接，鼓励奖励各科室进行工作总结和信息报送，挖掘工作中的亮点、经验、创新点，加大稿件推送力度，增加市场监管曝光度。以12315消费者投诉典型事件为切入口，探索与地方电视广播建立合作专栏，对典型投诉事件进行解读、法律法规普及，提高全民维权意识，提升市场监管工在老百姓中的知晓度。制定《市场监督管理部门视觉识别规范》，统一执法人员四季服装、执法执勤车辆涂装规范和导向系统设置规范，打造“安宁市场监管”新形象。</w:t>
      </w:r>
    </w:p>
    <w:p w14:paraId="7A0EB366">
      <w:pPr>
        <w:pStyle w:val="13"/>
        <w:shd w:val="clear" w:color="auto" w:fill="FFFFFF"/>
        <w:spacing w:before="0" w:beforeAutospacing="0" w:after="0" w:afterAutospacing="0"/>
        <w:jc w:val="center"/>
        <w:textAlignment w:val="baseline"/>
        <w:outlineLvl w:val="0"/>
        <w:rPr>
          <w:rStyle w:val="18"/>
          <w:rFonts w:ascii="微软雅黑" w:hAnsi="微软雅黑" w:eastAsia="微软雅黑"/>
          <w:b w:val="0"/>
          <w:bCs w:val="0"/>
          <w:color w:val="000000" w:themeColor="text1"/>
          <w:sz w:val="32"/>
          <w:szCs w:val="32"/>
          <w14:textFill>
            <w14:solidFill>
              <w14:schemeClr w14:val="tx1"/>
            </w14:solidFill>
          </w14:textFill>
        </w:rPr>
      </w:pPr>
      <w:bookmarkStart w:id="101" w:name="_Toc63151502"/>
      <w:bookmarkStart w:id="102" w:name="_Toc56587089"/>
      <w:r>
        <w:rPr>
          <w:rStyle w:val="18"/>
          <w:rFonts w:hint="eastAsia" w:ascii="微软雅黑" w:hAnsi="微软雅黑" w:eastAsia="微软雅黑"/>
          <w:b w:val="0"/>
          <w:bCs w:val="0"/>
          <w:color w:val="000000" w:themeColor="text1"/>
          <w:sz w:val="32"/>
          <w:szCs w:val="32"/>
          <w14:textFill>
            <w14:solidFill>
              <w14:schemeClr w14:val="tx1"/>
            </w14:solidFill>
          </w14:textFill>
        </w:rPr>
        <w:t>第五章 规划实施保障措施</w:t>
      </w:r>
      <w:bookmarkEnd w:id="101"/>
      <w:bookmarkEnd w:id="102"/>
    </w:p>
    <w:p w14:paraId="5E2C29AF">
      <w:pPr>
        <w:pStyle w:val="2"/>
        <w:rPr>
          <w:rFonts w:ascii="黑体" w:hAnsi="黑体" w:eastAsia="黑体" w:cs="Times New Roman"/>
          <w:szCs w:val="24"/>
        </w:rPr>
      </w:pPr>
      <w:bookmarkStart w:id="103" w:name="_Toc56587090"/>
      <w:bookmarkStart w:id="104" w:name="_Toc63151503"/>
      <w:r>
        <w:rPr>
          <w:rFonts w:hint="eastAsia" w:ascii="黑体" w:hAnsi="黑体" w:eastAsia="黑体" w:cs="Times New Roman"/>
          <w:szCs w:val="24"/>
        </w:rPr>
        <w:t>一、加强统筹协调</w:t>
      </w:r>
      <w:bookmarkEnd w:id="103"/>
      <w:bookmarkEnd w:id="104"/>
    </w:p>
    <w:p w14:paraId="1FD31330">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（一）加强组织领导</w:t>
      </w:r>
    </w:p>
    <w:p w14:paraId="77FD7E20">
      <w:pPr>
        <w:pStyle w:val="13"/>
        <w:shd w:val="clear" w:color="auto" w:fill="FFFFFF"/>
        <w:spacing w:before="0" w:beforeAutospacing="0" w:after="0" w:afterAutospacing="0"/>
        <w:ind w:firstLine="480"/>
        <w:jc w:val="both"/>
        <w:textAlignment w:val="baseline"/>
        <w:rPr>
          <w:rFonts w:ascii="微软雅黑" w:hAnsi="微软雅黑" w:eastAsia="微软雅黑"/>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坚持党对市场监管事业的领导，充分发挥各级党组织的领导核心作用，为实现市场监管现代化发展提供坚强保证。建立市场监管联席会议制度，加强组织领导，密切协调配合，健全工作机制，强化部门协同和上下联动，统筹推进本规划明确的重要任务和改革部署，努力实现规划目标。建立规划落实责任制，明确职责分工，按时间、科室分解和落实工作目标，将规划实施管理所需的经费纳入预算予以保障。</w:t>
      </w:r>
    </w:p>
    <w:p w14:paraId="4ABCA1F3">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（二）明确责任分工</w:t>
      </w:r>
    </w:p>
    <w:p w14:paraId="73FF4699">
      <w:pPr>
        <w:pStyle w:val="13"/>
        <w:shd w:val="clear" w:color="auto" w:fill="FFFFFF"/>
        <w:spacing w:before="0" w:beforeAutospacing="0" w:after="0" w:afterAutospacing="0"/>
        <w:ind w:firstLine="48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强化责任意识，树立大局观念，按照职责分工，各司其职，密切配合，把规划提出的目标任务纳入年度工作部署，明确时间表、路线图、分工表，扎实推进规划的实施。联系密切的社会组织和行业协会，按照规划要求，同步积与，主动作为，发挥作用。建立市场监管专家委员会，积极发挥专家学者的作用，加强竞争政策智库建设，针对规划中的重点难点问题，加强理论研究和对策研究，促进重大决策的科学化和民主化。</w:t>
      </w:r>
    </w:p>
    <w:p w14:paraId="414F0C5C">
      <w:pPr>
        <w:pStyle w:val="2"/>
        <w:rPr>
          <w:rFonts w:ascii="黑体" w:hAnsi="黑体" w:eastAsia="黑体" w:cs="Times New Roman"/>
          <w:szCs w:val="24"/>
        </w:rPr>
      </w:pPr>
      <w:bookmarkStart w:id="105" w:name="_Toc63151504"/>
      <w:bookmarkStart w:id="106" w:name="_Toc56587091"/>
      <w:r>
        <w:rPr>
          <w:rFonts w:hint="eastAsia" w:ascii="黑体" w:hAnsi="黑体" w:eastAsia="黑体" w:cs="Times New Roman"/>
          <w:szCs w:val="24"/>
        </w:rPr>
        <w:t>二、落实主体责任</w:t>
      </w:r>
      <w:bookmarkEnd w:id="105"/>
      <w:bookmarkEnd w:id="106"/>
    </w:p>
    <w:p w14:paraId="41C24BCE">
      <w:pPr>
        <w:pStyle w:val="13"/>
        <w:shd w:val="clear" w:color="auto" w:fill="FFFFFF"/>
        <w:spacing w:before="0" w:beforeAutospacing="0" w:after="0" w:afterAutospacing="0"/>
        <w:ind w:firstLine="48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把握市场监管职能定位，努力实现“一支队伍管好市场”，结合</w:t>
      </w:r>
      <w:bookmarkStart w:id="114" w:name="_GoBack"/>
      <w:bookmarkEnd w:id="114"/>
      <w:r>
        <w:rPr>
          <w:rFonts w:hint="eastAsia" w:ascii="仿宋_GB2312" w:hAnsi="微软雅黑" w:eastAsia="仿宋_GB2312"/>
          <w:color w:val="000000" w:themeColor="text1"/>
          <w:sz w:val="32"/>
          <w:szCs w:val="32"/>
          <w:lang w:eastAsia="zh-CN"/>
          <w14:textFill>
            <w14:solidFill>
              <w14:schemeClr w14:val="tx1"/>
            </w14:solidFill>
          </w14:textFill>
        </w:rPr>
        <w:t>“十四五”规划</w:t>
      </w:r>
      <w:r>
        <w:rPr>
          <w:rFonts w:hint="eastAsia" w:ascii="仿宋_GB2312" w:hAnsi="微软雅黑" w:eastAsia="仿宋_GB2312"/>
          <w:color w:val="000000" w:themeColor="text1"/>
          <w:sz w:val="32"/>
          <w:szCs w:val="32"/>
          <w14:textFill>
            <w14:solidFill>
              <w14:schemeClr w14:val="tx1"/>
            </w14:solidFill>
          </w14:textFill>
        </w:rPr>
        <w:t>，厘清事权，界定职责，制定完善工作制度，实现用制度管团队管市场。对特种设备生产许可、食品药品监管和企业信用监管等重点工作、重要岗位，全面加强廉政风险防控，确保队伍清廉、职能到位。针对我市特种设备数量多管理难度大的情况，按照“谁使用谁负责”、“企业法人负总责”的原则，与企业法人代表签订告知书，做到“逐家签订，逐条告知”，进一步明确使用单位特种设备安全主体责任，督促各使用单位做好分解落实，从上到下建立起严密的特种设备安全管理保障体系。</w:t>
      </w:r>
    </w:p>
    <w:p w14:paraId="1B0C5D4D">
      <w:pPr>
        <w:pStyle w:val="2"/>
        <w:rPr>
          <w:rFonts w:ascii="黑体" w:hAnsi="黑体" w:eastAsia="黑体" w:cs="Times New Roman"/>
          <w:szCs w:val="24"/>
        </w:rPr>
      </w:pPr>
      <w:bookmarkStart w:id="107" w:name="_Toc56587092"/>
      <w:bookmarkStart w:id="108" w:name="_Toc63151505"/>
      <w:r>
        <w:rPr>
          <w:rFonts w:hint="eastAsia" w:ascii="黑体" w:hAnsi="黑体" w:eastAsia="黑体" w:cs="Times New Roman"/>
          <w:szCs w:val="24"/>
        </w:rPr>
        <w:t>三、加强自身能力</w:t>
      </w:r>
      <w:bookmarkEnd w:id="107"/>
      <w:bookmarkEnd w:id="108"/>
    </w:p>
    <w:p w14:paraId="0015E7DF">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（一）加强队伍专业化建设</w:t>
      </w:r>
    </w:p>
    <w:p w14:paraId="44717935">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以建设现代化市场监管为发展目标，建立人才引进目录，重点引进城市管理、法律、医疗、食品、计算机等专业人才，组建专业对口、技能专精的执法队伍，守护老百姓安全底线，推动平安安宁建设。完善执法人员培训机制，利用好各类学习平台，创新培训模式，提高培训对工作规范的针对性。加强执法人员向外交流与合作，采取输送培养、考察学习等方式，学习借鉴先进管理理念、管理方法。</w:t>
      </w:r>
    </w:p>
    <w:p w14:paraId="3E6F4B9E">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（二） 加强技术支撑保障能力建设</w:t>
      </w:r>
    </w:p>
    <w:p w14:paraId="302CE640">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加快市级“互联网+监管”系统建设并实现与省级“互联网+监管”系统无缝对接，加强对苗头性风险和跨行业跨区域性风险的跟踪预警，提升监管精细化、智能化水平，强化对各级政府部门监管工作的监督。加强科技投入和科研创新，加强能力建设投入，提升各级检验检测综合实力和服务水平，为市场监管提供有力的技术支撑。探索特种设备管理新模式、新思路，提升特种设备系统性管理技术，维护安宁生产和人民安全。</w:t>
      </w:r>
    </w:p>
    <w:p w14:paraId="7F347587">
      <w:pPr>
        <w:pStyle w:val="2"/>
        <w:rPr>
          <w:rFonts w:ascii="黑体" w:hAnsi="黑体" w:eastAsia="黑体" w:cs="Times New Roman"/>
          <w:szCs w:val="24"/>
        </w:rPr>
      </w:pPr>
      <w:bookmarkStart w:id="109" w:name="_Toc63151506"/>
      <w:bookmarkStart w:id="110" w:name="_Toc56587093"/>
      <w:r>
        <w:rPr>
          <w:rFonts w:hint="eastAsia" w:ascii="黑体" w:hAnsi="黑体" w:eastAsia="黑体" w:cs="Times New Roman"/>
          <w:szCs w:val="24"/>
        </w:rPr>
        <w:t>四、营造舆论环境</w:t>
      </w:r>
      <w:bookmarkEnd w:id="109"/>
      <w:bookmarkEnd w:id="110"/>
    </w:p>
    <w:p w14:paraId="595B9369">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利用多样化的媒体平台，组织开展规划的宣传和解读工作，为规划实施营造良好的舆论氛围。加强学习，</w:t>
      </w:r>
      <w:r>
        <w:rPr>
          <w:rFonts w:ascii="仿宋_GB2312" w:hAnsi="微软雅黑" w:eastAsia="仿宋_GB2312"/>
          <w:color w:val="000000" w:themeColor="text1"/>
          <w:sz w:val="32"/>
          <w:szCs w:val="32"/>
          <w14:textFill>
            <w14:solidFill>
              <w14:schemeClr w14:val="tx1"/>
            </w14:solidFill>
          </w14:textFill>
        </w:rPr>
        <w:t>掌握舆情主动权，提高</w:t>
      </w:r>
      <w:r>
        <w:rPr>
          <w:rFonts w:hint="eastAsia" w:ascii="仿宋_GB2312" w:hAnsi="微软雅黑" w:eastAsia="仿宋_GB2312"/>
          <w:color w:val="000000" w:themeColor="text1"/>
          <w:sz w:val="32"/>
          <w:szCs w:val="32"/>
          <w14:textFill>
            <w14:solidFill>
              <w14:schemeClr w14:val="tx1"/>
            </w14:solidFill>
          </w14:textFill>
        </w:rPr>
        <w:t>和新闻</w:t>
      </w:r>
      <w:r>
        <w:rPr>
          <w:rFonts w:ascii="仿宋_GB2312" w:hAnsi="微软雅黑" w:eastAsia="仿宋_GB2312"/>
          <w:color w:val="000000" w:themeColor="text1"/>
          <w:sz w:val="32"/>
          <w:szCs w:val="32"/>
          <w14:textFill>
            <w14:solidFill>
              <w14:schemeClr w14:val="tx1"/>
            </w14:solidFill>
          </w14:textFill>
        </w:rPr>
        <w:t>媒体</w:t>
      </w:r>
      <w:r>
        <w:rPr>
          <w:rFonts w:hint="eastAsia" w:ascii="仿宋_GB2312" w:hAnsi="微软雅黑" w:eastAsia="仿宋_GB2312"/>
          <w:color w:val="000000" w:themeColor="text1"/>
          <w:sz w:val="32"/>
          <w:szCs w:val="32"/>
          <w14:textFill>
            <w14:solidFill>
              <w14:schemeClr w14:val="tx1"/>
            </w14:solidFill>
          </w14:textFill>
        </w:rPr>
        <w:t>沟通交流的能力</w:t>
      </w:r>
      <w:r>
        <w:rPr>
          <w:rFonts w:ascii="仿宋_GB2312" w:hAnsi="微软雅黑" w:eastAsia="仿宋_GB2312"/>
          <w:color w:val="000000" w:themeColor="text1"/>
          <w:sz w:val="32"/>
          <w:szCs w:val="32"/>
          <w14:textFill>
            <w14:solidFill>
              <w14:schemeClr w14:val="tx1"/>
            </w14:solidFill>
          </w14:textFill>
        </w:rPr>
        <w:t>，始终把握住话语权，主动抛出议题</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跟进发布信息</w:t>
      </w:r>
      <w:r>
        <w:rPr>
          <w:rFonts w:hint="eastAsia" w:ascii="仿宋_GB2312" w:hAnsi="微软雅黑" w:eastAsia="仿宋_GB2312"/>
          <w:color w:val="000000" w:themeColor="text1"/>
          <w:sz w:val="32"/>
          <w:szCs w:val="32"/>
          <w14:textFill>
            <w14:solidFill>
              <w14:schemeClr w14:val="tx1"/>
            </w14:solidFill>
          </w14:textFill>
        </w:rPr>
        <w:t>、</w:t>
      </w:r>
      <w:r>
        <w:rPr>
          <w:rFonts w:ascii="仿宋_GB2312" w:hAnsi="微软雅黑" w:eastAsia="仿宋_GB2312"/>
          <w:color w:val="000000" w:themeColor="text1"/>
          <w:sz w:val="32"/>
          <w:szCs w:val="32"/>
          <w14:textFill>
            <w14:solidFill>
              <w14:schemeClr w14:val="tx1"/>
            </w14:solidFill>
          </w14:textFill>
        </w:rPr>
        <w:t>传递</w:t>
      </w:r>
      <w:r>
        <w:rPr>
          <w:rFonts w:hint="eastAsia" w:ascii="仿宋_GB2312" w:hAnsi="微软雅黑" w:eastAsia="仿宋_GB2312"/>
          <w:color w:val="000000" w:themeColor="text1"/>
          <w:sz w:val="32"/>
          <w:szCs w:val="32"/>
          <w14:textFill>
            <w14:solidFill>
              <w14:schemeClr w14:val="tx1"/>
            </w14:solidFill>
          </w14:textFill>
        </w:rPr>
        <w:t>官方</w:t>
      </w:r>
      <w:r>
        <w:rPr>
          <w:rFonts w:ascii="仿宋_GB2312" w:hAnsi="微软雅黑" w:eastAsia="仿宋_GB2312"/>
          <w:color w:val="000000" w:themeColor="text1"/>
          <w:sz w:val="32"/>
          <w:szCs w:val="32"/>
          <w14:textFill>
            <w14:solidFill>
              <w14:schemeClr w14:val="tx1"/>
            </w14:solidFill>
          </w14:textFill>
        </w:rPr>
        <w:t>信息</w:t>
      </w:r>
      <w:r>
        <w:rPr>
          <w:rFonts w:hint="eastAsia" w:ascii="仿宋_GB2312" w:hAnsi="微软雅黑" w:eastAsia="仿宋_GB2312"/>
          <w:color w:val="000000" w:themeColor="text1"/>
          <w:sz w:val="32"/>
          <w:szCs w:val="32"/>
          <w14:textFill>
            <w14:solidFill>
              <w14:schemeClr w14:val="tx1"/>
            </w14:solidFill>
          </w14:textFill>
        </w:rPr>
        <w:t>，提高老百姓对安宁市市场监管的熟知度和认可度。发挥安宁官网、官方微博、公众号等主流舆论阵地，在工作中取得的新成效，经验及涌现的新典型，积极通过不同渠道进行深入的宣传，努力使安宁市的市场监管工作得到社会各界的舆论支持。</w:t>
      </w:r>
    </w:p>
    <w:p w14:paraId="1D4F8DD7">
      <w:pPr>
        <w:pStyle w:val="2"/>
        <w:rPr>
          <w:rFonts w:ascii="黑体" w:hAnsi="黑体" w:eastAsia="黑体" w:cs="Times New Roman"/>
          <w:szCs w:val="24"/>
        </w:rPr>
      </w:pPr>
      <w:bookmarkStart w:id="111" w:name="_Toc56587094"/>
      <w:bookmarkStart w:id="112" w:name="_Toc63151507"/>
      <w:r>
        <w:rPr>
          <w:rFonts w:hint="eastAsia" w:ascii="黑体" w:hAnsi="黑体" w:eastAsia="黑体" w:cs="Times New Roman"/>
          <w:szCs w:val="24"/>
        </w:rPr>
        <w:t>五、强化督查考核</w:t>
      </w:r>
      <w:bookmarkEnd w:id="111"/>
      <w:bookmarkEnd w:id="112"/>
    </w:p>
    <w:p w14:paraId="63C169A0">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强化规划约束效应，建立规划实施跟踪评估和绩效考核机制，依据规划内容制定考核项目和评价标准，推动规划有效落实。加强对规划落实情况的评估与总结，定期对实施情况进行分析，总结实施进展和工作困境，提出优化工作思路。对规划落实情况进行评估，并将评估结果纳入综合评价和绩效考核范畴。</w:t>
      </w:r>
    </w:p>
    <w:p w14:paraId="462388B2">
      <w:pPr>
        <w:widowControl/>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olor w:val="000000" w:themeColor="text1"/>
          <w:sz w:val="32"/>
          <w:szCs w:val="32"/>
          <w14:textFill>
            <w14:solidFill>
              <w14:schemeClr w14:val="tx1"/>
            </w14:solidFill>
          </w14:textFill>
        </w:rPr>
        <w:br w:type="page"/>
      </w:r>
    </w:p>
    <w:p w14:paraId="0B25537E">
      <w:pPr>
        <w:pStyle w:val="13"/>
        <w:shd w:val="clear" w:color="auto" w:fill="FFFFFF"/>
        <w:spacing w:before="0" w:beforeAutospacing="0" w:after="0" w:afterAutospacing="0"/>
        <w:textAlignment w:val="baseline"/>
        <w:outlineLvl w:val="0"/>
        <w:rPr>
          <w:rStyle w:val="18"/>
          <w:rFonts w:ascii="微软雅黑" w:eastAsia="微软雅黑"/>
          <w:b w:val="0"/>
          <w:bCs w:val="0"/>
        </w:rPr>
      </w:pPr>
      <w:bookmarkStart w:id="113" w:name="_Toc63151508"/>
      <w:r>
        <w:rPr>
          <w:rStyle w:val="18"/>
          <w:rFonts w:hint="eastAsia" w:ascii="微软雅黑" w:eastAsia="微软雅黑"/>
          <w:b w:val="0"/>
          <w:bCs w:val="0"/>
        </w:rPr>
        <w:t>附件： 安宁市市场监管重点任务分解表</w:t>
      </w:r>
      <w:bookmarkEnd w:id="113"/>
    </w:p>
    <w:tbl>
      <w:tblPr>
        <w:tblStyle w:val="15"/>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376"/>
        <w:gridCol w:w="2796"/>
        <w:gridCol w:w="1374"/>
        <w:gridCol w:w="1146"/>
        <w:gridCol w:w="846"/>
      </w:tblGrid>
      <w:tr w14:paraId="1260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tcPr>
          <w:p w14:paraId="641BA768">
            <w:pPr>
              <w:pStyle w:val="13"/>
              <w:spacing w:before="0" w:beforeAutospacing="0" w:after="0" w:afterAutospacing="0"/>
              <w:textAlignment w:val="baseline"/>
              <w:rPr>
                <w:sz w:val="21"/>
                <w:szCs w:val="21"/>
              </w:rPr>
            </w:pPr>
            <w:r>
              <w:rPr>
                <w:rFonts w:hint="eastAsia"/>
                <w:sz w:val="21"/>
                <w:szCs w:val="21"/>
              </w:rPr>
              <w:t>任务类别</w:t>
            </w:r>
          </w:p>
        </w:tc>
        <w:tc>
          <w:tcPr>
            <w:tcW w:w="3172" w:type="dxa"/>
            <w:gridSpan w:val="2"/>
          </w:tcPr>
          <w:p w14:paraId="3EE3D012">
            <w:pPr>
              <w:pStyle w:val="13"/>
              <w:spacing w:before="0" w:beforeAutospacing="0" w:after="0" w:afterAutospacing="0"/>
              <w:textAlignment w:val="baseline"/>
              <w:rPr>
                <w:sz w:val="21"/>
                <w:szCs w:val="21"/>
              </w:rPr>
            </w:pPr>
            <w:r>
              <w:rPr>
                <w:rFonts w:hint="eastAsia"/>
                <w:sz w:val="21"/>
                <w:szCs w:val="21"/>
              </w:rPr>
              <w:t>重点任务指标</w:t>
            </w:r>
          </w:p>
        </w:tc>
        <w:tc>
          <w:tcPr>
            <w:tcW w:w="1374" w:type="dxa"/>
          </w:tcPr>
          <w:p w14:paraId="3B4C2234">
            <w:pPr>
              <w:pStyle w:val="13"/>
              <w:spacing w:before="0" w:beforeAutospacing="0" w:after="0" w:afterAutospacing="0"/>
              <w:textAlignment w:val="baseline"/>
              <w:rPr>
                <w:sz w:val="21"/>
                <w:szCs w:val="21"/>
              </w:rPr>
            </w:pPr>
            <w:r>
              <w:rPr>
                <w:rFonts w:hint="eastAsia"/>
                <w:sz w:val="21"/>
                <w:szCs w:val="21"/>
              </w:rPr>
              <w:t>完成时间</w:t>
            </w:r>
          </w:p>
        </w:tc>
        <w:tc>
          <w:tcPr>
            <w:tcW w:w="1146" w:type="dxa"/>
          </w:tcPr>
          <w:p w14:paraId="1B4C20FE">
            <w:pPr>
              <w:pStyle w:val="13"/>
              <w:spacing w:before="0" w:beforeAutospacing="0" w:after="0" w:afterAutospacing="0"/>
              <w:textAlignment w:val="baseline"/>
              <w:rPr>
                <w:sz w:val="21"/>
                <w:szCs w:val="21"/>
              </w:rPr>
            </w:pPr>
            <w:r>
              <w:rPr>
                <w:rFonts w:hint="eastAsia"/>
                <w:sz w:val="21"/>
                <w:szCs w:val="21"/>
              </w:rPr>
              <w:t>牵头部门</w:t>
            </w:r>
          </w:p>
        </w:tc>
        <w:tc>
          <w:tcPr>
            <w:tcW w:w="846" w:type="dxa"/>
          </w:tcPr>
          <w:p w14:paraId="7EB32BD1">
            <w:pPr>
              <w:pStyle w:val="13"/>
              <w:spacing w:before="0" w:beforeAutospacing="0" w:after="0" w:afterAutospacing="0"/>
              <w:textAlignment w:val="baseline"/>
              <w:rPr>
                <w:sz w:val="21"/>
                <w:szCs w:val="21"/>
              </w:rPr>
            </w:pPr>
            <w:r>
              <w:rPr>
                <w:rFonts w:hint="eastAsia"/>
                <w:sz w:val="21"/>
                <w:szCs w:val="21"/>
              </w:rPr>
              <w:t>备注</w:t>
            </w:r>
          </w:p>
        </w:tc>
      </w:tr>
      <w:tr w14:paraId="3647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0988C553">
            <w:pPr>
              <w:pStyle w:val="13"/>
              <w:spacing w:before="0" w:beforeAutospacing="0" w:after="0" w:afterAutospacing="0"/>
              <w:textAlignment w:val="baseline"/>
              <w:rPr>
                <w:sz w:val="21"/>
                <w:szCs w:val="21"/>
              </w:rPr>
            </w:pPr>
            <w:r>
              <w:rPr>
                <w:rFonts w:hint="eastAsia"/>
                <w:sz w:val="21"/>
                <w:szCs w:val="21"/>
              </w:rPr>
              <w:t>商事制度改革</w:t>
            </w:r>
          </w:p>
        </w:tc>
        <w:tc>
          <w:tcPr>
            <w:tcW w:w="376" w:type="dxa"/>
          </w:tcPr>
          <w:p w14:paraId="27366320">
            <w:pPr>
              <w:pStyle w:val="13"/>
              <w:spacing w:before="0" w:beforeAutospacing="0" w:after="0" w:afterAutospacing="0"/>
              <w:textAlignment w:val="baseline"/>
              <w:rPr>
                <w:sz w:val="21"/>
                <w:szCs w:val="21"/>
              </w:rPr>
            </w:pPr>
            <w:r>
              <w:rPr>
                <w:rFonts w:hint="eastAsia"/>
                <w:sz w:val="21"/>
                <w:szCs w:val="21"/>
              </w:rPr>
              <w:t>1</w:t>
            </w:r>
          </w:p>
        </w:tc>
        <w:tc>
          <w:tcPr>
            <w:tcW w:w="2796" w:type="dxa"/>
          </w:tcPr>
          <w:p w14:paraId="3D62ACD8">
            <w:pPr>
              <w:pStyle w:val="13"/>
              <w:spacing w:before="0" w:beforeAutospacing="0" w:after="0" w:afterAutospacing="0"/>
              <w:textAlignment w:val="baseline"/>
              <w:rPr>
                <w:sz w:val="21"/>
                <w:szCs w:val="21"/>
              </w:rPr>
            </w:pPr>
            <w:r>
              <w:rPr>
                <w:rFonts w:hint="eastAsia"/>
                <w:sz w:val="21"/>
                <w:szCs w:val="21"/>
              </w:rPr>
              <w:t>“一网通办”办理覆盖率达100%</w:t>
            </w:r>
          </w:p>
        </w:tc>
        <w:tc>
          <w:tcPr>
            <w:tcW w:w="1374" w:type="dxa"/>
          </w:tcPr>
          <w:p w14:paraId="4959FBEE">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36BC3BAA">
            <w:pPr>
              <w:pStyle w:val="13"/>
              <w:spacing w:before="0" w:beforeAutospacing="0" w:after="0" w:afterAutospacing="0"/>
              <w:textAlignment w:val="baseline"/>
              <w:rPr>
                <w:sz w:val="21"/>
                <w:szCs w:val="21"/>
              </w:rPr>
            </w:pPr>
          </w:p>
        </w:tc>
        <w:tc>
          <w:tcPr>
            <w:tcW w:w="846" w:type="dxa"/>
          </w:tcPr>
          <w:p w14:paraId="27281AA5">
            <w:pPr>
              <w:pStyle w:val="13"/>
              <w:spacing w:before="0" w:beforeAutospacing="0" w:after="0" w:afterAutospacing="0"/>
              <w:textAlignment w:val="baseline"/>
              <w:rPr>
                <w:sz w:val="21"/>
                <w:szCs w:val="21"/>
              </w:rPr>
            </w:pPr>
          </w:p>
        </w:tc>
      </w:tr>
      <w:tr w14:paraId="6A93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79C880C9">
            <w:pPr>
              <w:pStyle w:val="13"/>
              <w:spacing w:before="0" w:beforeAutospacing="0" w:after="0" w:afterAutospacing="0"/>
              <w:textAlignment w:val="baseline"/>
              <w:rPr>
                <w:sz w:val="21"/>
                <w:szCs w:val="21"/>
              </w:rPr>
            </w:pPr>
          </w:p>
        </w:tc>
        <w:tc>
          <w:tcPr>
            <w:tcW w:w="376" w:type="dxa"/>
          </w:tcPr>
          <w:p w14:paraId="65597921">
            <w:pPr>
              <w:pStyle w:val="13"/>
              <w:spacing w:before="0" w:beforeAutospacing="0" w:after="0" w:afterAutospacing="0"/>
              <w:textAlignment w:val="baseline"/>
              <w:rPr>
                <w:sz w:val="21"/>
                <w:szCs w:val="21"/>
              </w:rPr>
            </w:pPr>
            <w:r>
              <w:rPr>
                <w:rFonts w:hint="eastAsia"/>
                <w:sz w:val="21"/>
                <w:szCs w:val="21"/>
              </w:rPr>
              <w:t>2</w:t>
            </w:r>
          </w:p>
        </w:tc>
        <w:tc>
          <w:tcPr>
            <w:tcW w:w="2796" w:type="dxa"/>
          </w:tcPr>
          <w:p w14:paraId="74591C3B">
            <w:pPr>
              <w:pStyle w:val="13"/>
              <w:spacing w:before="0" w:beforeAutospacing="0" w:after="0" w:afterAutospacing="0"/>
              <w:textAlignment w:val="baseline"/>
              <w:rPr>
                <w:sz w:val="21"/>
                <w:szCs w:val="21"/>
              </w:rPr>
            </w:pPr>
            <w:r>
              <w:rPr>
                <w:rFonts w:hint="eastAsia"/>
                <w:sz w:val="21"/>
                <w:szCs w:val="21"/>
              </w:rPr>
              <w:t>推广“电子营业执照”跨部门、跨地区使用；组织实施企业注销便利化改革工作</w:t>
            </w:r>
          </w:p>
        </w:tc>
        <w:tc>
          <w:tcPr>
            <w:tcW w:w="1374" w:type="dxa"/>
          </w:tcPr>
          <w:p w14:paraId="7D7E088F">
            <w:pPr>
              <w:pStyle w:val="13"/>
              <w:spacing w:before="0" w:beforeAutospacing="0" w:after="0" w:afterAutospacing="0"/>
              <w:textAlignment w:val="baseline"/>
              <w:rPr>
                <w:sz w:val="21"/>
                <w:szCs w:val="21"/>
              </w:rPr>
            </w:pPr>
            <w:r>
              <w:rPr>
                <w:rFonts w:hint="eastAsia"/>
                <w:sz w:val="21"/>
                <w:szCs w:val="21"/>
              </w:rPr>
              <w:t>2022年底</w:t>
            </w:r>
          </w:p>
        </w:tc>
        <w:tc>
          <w:tcPr>
            <w:tcW w:w="1146" w:type="dxa"/>
          </w:tcPr>
          <w:p w14:paraId="67BA53B6">
            <w:pPr>
              <w:pStyle w:val="13"/>
              <w:spacing w:before="0" w:beforeAutospacing="0" w:after="0" w:afterAutospacing="0"/>
              <w:textAlignment w:val="baseline"/>
              <w:rPr>
                <w:sz w:val="21"/>
                <w:szCs w:val="21"/>
              </w:rPr>
            </w:pPr>
          </w:p>
        </w:tc>
        <w:tc>
          <w:tcPr>
            <w:tcW w:w="846" w:type="dxa"/>
          </w:tcPr>
          <w:p w14:paraId="5334A712">
            <w:pPr>
              <w:pStyle w:val="13"/>
              <w:spacing w:before="0" w:beforeAutospacing="0" w:after="0" w:afterAutospacing="0"/>
              <w:textAlignment w:val="baseline"/>
              <w:rPr>
                <w:sz w:val="21"/>
                <w:szCs w:val="21"/>
              </w:rPr>
            </w:pPr>
          </w:p>
        </w:tc>
      </w:tr>
      <w:tr w14:paraId="233F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77C78CC2">
            <w:pPr>
              <w:pStyle w:val="13"/>
              <w:spacing w:before="0" w:beforeAutospacing="0" w:after="0" w:afterAutospacing="0"/>
              <w:textAlignment w:val="baseline"/>
              <w:rPr>
                <w:sz w:val="21"/>
                <w:szCs w:val="21"/>
              </w:rPr>
            </w:pPr>
          </w:p>
        </w:tc>
        <w:tc>
          <w:tcPr>
            <w:tcW w:w="376" w:type="dxa"/>
          </w:tcPr>
          <w:p w14:paraId="28BF6B62">
            <w:pPr>
              <w:pStyle w:val="13"/>
              <w:spacing w:before="0" w:beforeAutospacing="0" w:after="0" w:afterAutospacing="0"/>
              <w:textAlignment w:val="baseline"/>
              <w:rPr>
                <w:sz w:val="21"/>
                <w:szCs w:val="21"/>
              </w:rPr>
            </w:pPr>
            <w:r>
              <w:rPr>
                <w:rFonts w:hint="eastAsia"/>
                <w:sz w:val="21"/>
                <w:szCs w:val="21"/>
              </w:rPr>
              <w:t>3</w:t>
            </w:r>
          </w:p>
        </w:tc>
        <w:tc>
          <w:tcPr>
            <w:tcW w:w="2796" w:type="dxa"/>
          </w:tcPr>
          <w:p w14:paraId="57261BCB">
            <w:pPr>
              <w:pStyle w:val="13"/>
              <w:spacing w:before="0" w:beforeAutospacing="0" w:after="0" w:afterAutospacing="0"/>
              <w:textAlignment w:val="baseline"/>
              <w:rPr>
                <w:sz w:val="21"/>
                <w:szCs w:val="21"/>
              </w:rPr>
            </w:pPr>
            <w:r>
              <w:rPr>
                <w:rFonts w:hint="eastAsia"/>
                <w:sz w:val="21"/>
                <w:szCs w:val="21"/>
              </w:rPr>
              <w:t>食品药品医疗器械经营许可改革措施全面落实</w:t>
            </w:r>
          </w:p>
        </w:tc>
        <w:tc>
          <w:tcPr>
            <w:tcW w:w="1374" w:type="dxa"/>
          </w:tcPr>
          <w:p w14:paraId="1FC03A17">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28724B6E">
            <w:pPr>
              <w:pStyle w:val="13"/>
              <w:spacing w:before="0" w:beforeAutospacing="0" w:after="0" w:afterAutospacing="0"/>
              <w:textAlignment w:val="baseline"/>
              <w:rPr>
                <w:sz w:val="21"/>
                <w:szCs w:val="21"/>
              </w:rPr>
            </w:pPr>
          </w:p>
        </w:tc>
        <w:tc>
          <w:tcPr>
            <w:tcW w:w="846" w:type="dxa"/>
          </w:tcPr>
          <w:p w14:paraId="36AC3FF6">
            <w:pPr>
              <w:pStyle w:val="13"/>
              <w:spacing w:before="0" w:beforeAutospacing="0" w:after="0" w:afterAutospacing="0"/>
              <w:textAlignment w:val="baseline"/>
              <w:rPr>
                <w:sz w:val="21"/>
                <w:szCs w:val="21"/>
              </w:rPr>
            </w:pPr>
          </w:p>
        </w:tc>
      </w:tr>
      <w:tr w14:paraId="11B2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79B6E689">
            <w:pPr>
              <w:pStyle w:val="13"/>
              <w:spacing w:before="0" w:beforeAutospacing="0" w:after="0" w:afterAutospacing="0"/>
              <w:textAlignment w:val="baseline"/>
              <w:rPr>
                <w:sz w:val="21"/>
                <w:szCs w:val="21"/>
              </w:rPr>
            </w:pPr>
            <w:r>
              <w:rPr>
                <w:rFonts w:hint="eastAsia"/>
                <w:sz w:val="21"/>
                <w:szCs w:val="21"/>
              </w:rPr>
              <w:t>市场主体监管</w:t>
            </w:r>
          </w:p>
        </w:tc>
        <w:tc>
          <w:tcPr>
            <w:tcW w:w="376" w:type="dxa"/>
          </w:tcPr>
          <w:p w14:paraId="581D6A87">
            <w:pPr>
              <w:pStyle w:val="13"/>
              <w:spacing w:before="0" w:beforeAutospacing="0" w:after="0" w:afterAutospacing="0"/>
              <w:textAlignment w:val="baseline"/>
              <w:rPr>
                <w:sz w:val="21"/>
                <w:szCs w:val="21"/>
              </w:rPr>
            </w:pPr>
            <w:r>
              <w:rPr>
                <w:rFonts w:hint="eastAsia"/>
                <w:sz w:val="21"/>
                <w:szCs w:val="21"/>
              </w:rPr>
              <w:t>1</w:t>
            </w:r>
          </w:p>
        </w:tc>
        <w:tc>
          <w:tcPr>
            <w:tcW w:w="2796" w:type="dxa"/>
          </w:tcPr>
          <w:p w14:paraId="71596023">
            <w:pPr>
              <w:rPr>
                <w:rFonts w:ascii="宋体" w:hAnsi="宋体" w:eastAsia="宋体" w:cs="宋体"/>
                <w:kern w:val="0"/>
                <w:szCs w:val="21"/>
              </w:rPr>
            </w:pPr>
            <w:r>
              <w:rPr>
                <w:rFonts w:hint="eastAsia" w:ascii="宋体" w:hAnsi="宋体" w:eastAsia="宋体" w:cs="宋体"/>
                <w:kern w:val="0"/>
                <w:szCs w:val="21"/>
              </w:rPr>
              <w:t>强化信用约束，规范企业经营异常名录和严重违法失信名单管理工作。</w:t>
            </w:r>
          </w:p>
        </w:tc>
        <w:tc>
          <w:tcPr>
            <w:tcW w:w="1374" w:type="dxa"/>
          </w:tcPr>
          <w:p w14:paraId="744EC1FC">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69D87C51">
            <w:pPr>
              <w:pStyle w:val="13"/>
              <w:spacing w:before="0" w:beforeAutospacing="0" w:after="0" w:afterAutospacing="0"/>
              <w:textAlignment w:val="baseline"/>
              <w:rPr>
                <w:sz w:val="21"/>
                <w:szCs w:val="21"/>
              </w:rPr>
            </w:pPr>
          </w:p>
        </w:tc>
        <w:tc>
          <w:tcPr>
            <w:tcW w:w="846" w:type="dxa"/>
          </w:tcPr>
          <w:p w14:paraId="476F91D7">
            <w:pPr>
              <w:pStyle w:val="13"/>
              <w:spacing w:before="0" w:beforeAutospacing="0" w:after="0" w:afterAutospacing="0"/>
              <w:textAlignment w:val="baseline"/>
              <w:rPr>
                <w:sz w:val="21"/>
                <w:szCs w:val="21"/>
              </w:rPr>
            </w:pPr>
          </w:p>
        </w:tc>
      </w:tr>
      <w:tr w14:paraId="530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14:paraId="115EBCAA">
            <w:pPr>
              <w:pStyle w:val="13"/>
              <w:spacing w:before="0" w:beforeAutospacing="0" w:after="0" w:afterAutospacing="0"/>
              <w:textAlignment w:val="baseline"/>
              <w:rPr>
                <w:sz w:val="21"/>
                <w:szCs w:val="21"/>
              </w:rPr>
            </w:pPr>
          </w:p>
        </w:tc>
        <w:tc>
          <w:tcPr>
            <w:tcW w:w="376" w:type="dxa"/>
          </w:tcPr>
          <w:p w14:paraId="12A17561">
            <w:pPr>
              <w:pStyle w:val="13"/>
              <w:spacing w:before="0" w:beforeAutospacing="0" w:after="0" w:afterAutospacing="0"/>
              <w:textAlignment w:val="baseline"/>
              <w:rPr>
                <w:strike/>
                <w:sz w:val="21"/>
                <w:szCs w:val="21"/>
              </w:rPr>
            </w:pPr>
            <w:r>
              <w:rPr>
                <w:rFonts w:hint="eastAsia"/>
                <w:strike/>
                <w:sz w:val="21"/>
                <w:szCs w:val="21"/>
              </w:rPr>
              <w:t>2</w:t>
            </w:r>
          </w:p>
        </w:tc>
        <w:tc>
          <w:tcPr>
            <w:tcW w:w="2796" w:type="dxa"/>
          </w:tcPr>
          <w:p w14:paraId="5EF61734">
            <w:pPr>
              <w:rPr>
                <w:rFonts w:ascii="宋体" w:hAnsi="宋体" w:eastAsia="宋体" w:cs="宋体"/>
                <w:kern w:val="0"/>
                <w:szCs w:val="21"/>
              </w:rPr>
            </w:pPr>
            <w:r>
              <w:rPr>
                <w:rFonts w:hint="eastAsia" w:ascii="宋体" w:hAnsi="宋体" w:eastAsia="宋体" w:cs="宋体"/>
                <w:kern w:val="0"/>
                <w:szCs w:val="21"/>
              </w:rPr>
              <w:t>积极推进市场主体“双随机、一公开”监管，努力实现市内有监管职责的部门100%通过双随机方式开展抽查检查。</w:t>
            </w:r>
          </w:p>
        </w:tc>
        <w:tc>
          <w:tcPr>
            <w:tcW w:w="1374" w:type="dxa"/>
          </w:tcPr>
          <w:p w14:paraId="5232DE30">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48C66181">
            <w:pPr>
              <w:pStyle w:val="13"/>
              <w:spacing w:before="0" w:beforeAutospacing="0" w:after="0" w:afterAutospacing="0"/>
              <w:textAlignment w:val="baseline"/>
              <w:rPr>
                <w:sz w:val="21"/>
                <w:szCs w:val="21"/>
              </w:rPr>
            </w:pPr>
          </w:p>
        </w:tc>
        <w:tc>
          <w:tcPr>
            <w:tcW w:w="846" w:type="dxa"/>
          </w:tcPr>
          <w:p w14:paraId="4D20AE74">
            <w:pPr>
              <w:pStyle w:val="13"/>
              <w:spacing w:before="0" w:beforeAutospacing="0" w:after="0" w:afterAutospacing="0"/>
              <w:textAlignment w:val="baseline"/>
              <w:rPr>
                <w:sz w:val="21"/>
                <w:szCs w:val="21"/>
              </w:rPr>
            </w:pPr>
          </w:p>
        </w:tc>
      </w:tr>
      <w:tr w14:paraId="2A11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vAlign w:val="center"/>
          </w:tcPr>
          <w:p w14:paraId="719704C3">
            <w:pPr>
              <w:pStyle w:val="13"/>
              <w:spacing w:before="0" w:beforeAutospacing="0" w:after="0" w:afterAutospacing="0"/>
              <w:textAlignment w:val="baseline"/>
              <w:rPr>
                <w:sz w:val="21"/>
                <w:szCs w:val="21"/>
              </w:rPr>
            </w:pPr>
          </w:p>
        </w:tc>
        <w:tc>
          <w:tcPr>
            <w:tcW w:w="376" w:type="dxa"/>
          </w:tcPr>
          <w:p w14:paraId="1B3318F5">
            <w:pPr>
              <w:pStyle w:val="13"/>
              <w:spacing w:before="0" w:beforeAutospacing="0" w:after="0" w:afterAutospacing="0"/>
              <w:textAlignment w:val="baseline"/>
              <w:rPr>
                <w:strike/>
                <w:sz w:val="21"/>
                <w:szCs w:val="21"/>
              </w:rPr>
            </w:pPr>
            <w:r>
              <w:rPr>
                <w:rFonts w:hint="eastAsia"/>
                <w:strike/>
                <w:sz w:val="21"/>
                <w:szCs w:val="21"/>
              </w:rPr>
              <w:t>3</w:t>
            </w:r>
          </w:p>
        </w:tc>
        <w:tc>
          <w:tcPr>
            <w:tcW w:w="2796" w:type="dxa"/>
          </w:tcPr>
          <w:p w14:paraId="0CAFCBDB">
            <w:pPr>
              <w:rPr>
                <w:rFonts w:ascii="宋体" w:hAnsi="宋体" w:eastAsia="宋体" w:cs="宋体"/>
                <w:kern w:val="0"/>
                <w:szCs w:val="21"/>
              </w:rPr>
            </w:pPr>
            <w:r>
              <w:rPr>
                <w:rFonts w:hint="eastAsia" w:ascii="宋体" w:hAnsi="宋体" w:eastAsia="宋体" w:cs="宋体"/>
                <w:kern w:val="0"/>
                <w:szCs w:val="21"/>
              </w:rPr>
              <w:t>推进市场主体年报工作，强化信用监管，实现企业年报率每年不低于90%。</w:t>
            </w:r>
          </w:p>
        </w:tc>
        <w:tc>
          <w:tcPr>
            <w:tcW w:w="1374" w:type="dxa"/>
          </w:tcPr>
          <w:p w14:paraId="61D6968F">
            <w:pPr>
              <w:pStyle w:val="13"/>
              <w:spacing w:before="0" w:beforeAutospacing="0" w:after="0" w:afterAutospacing="0"/>
              <w:textAlignment w:val="baseline"/>
              <w:rPr>
                <w:strike/>
                <w:sz w:val="21"/>
                <w:szCs w:val="21"/>
              </w:rPr>
            </w:pPr>
            <w:r>
              <w:rPr>
                <w:rFonts w:hint="eastAsia"/>
                <w:sz w:val="21"/>
                <w:szCs w:val="21"/>
              </w:rPr>
              <w:t>2025年底</w:t>
            </w:r>
          </w:p>
        </w:tc>
        <w:tc>
          <w:tcPr>
            <w:tcW w:w="1146" w:type="dxa"/>
          </w:tcPr>
          <w:p w14:paraId="2E1B0291">
            <w:pPr>
              <w:pStyle w:val="13"/>
              <w:spacing w:before="0" w:beforeAutospacing="0" w:after="0" w:afterAutospacing="0"/>
              <w:textAlignment w:val="baseline"/>
              <w:rPr>
                <w:sz w:val="21"/>
                <w:szCs w:val="21"/>
              </w:rPr>
            </w:pPr>
          </w:p>
        </w:tc>
        <w:tc>
          <w:tcPr>
            <w:tcW w:w="846" w:type="dxa"/>
          </w:tcPr>
          <w:p w14:paraId="353FACF6">
            <w:pPr>
              <w:pStyle w:val="13"/>
              <w:spacing w:before="0" w:beforeAutospacing="0" w:after="0" w:afterAutospacing="0"/>
              <w:textAlignment w:val="baseline"/>
              <w:rPr>
                <w:sz w:val="21"/>
                <w:szCs w:val="21"/>
              </w:rPr>
            </w:pPr>
          </w:p>
        </w:tc>
      </w:tr>
      <w:tr w14:paraId="682F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2BC84C81">
            <w:pPr>
              <w:pStyle w:val="13"/>
              <w:spacing w:before="0" w:beforeAutospacing="0" w:after="0" w:afterAutospacing="0"/>
              <w:textAlignment w:val="baseline"/>
              <w:rPr>
                <w:sz w:val="21"/>
                <w:szCs w:val="21"/>
              </w:rPr>
            </w:pPr>
            <w:r>
              <w:rPr>
                <w:rFonts w:hint="eastAsia"/>
                <w:sz w:val="21"/>
                <w:szCs w:val="21"/>
              </w:rPr>
              <w:t>消费环境建设</w:t>
            </w:r>
          </w:p>
        </w:tc>
        <w:tc>
          <w:tcPr>
            <w:tcW w:w="376" w:type="dxa"/>
          </w:tcPr>
          <w:p w14:paraId="564797B8">
            <w:pPr>
              <w:pStyle w:val="13"/>
              <w:spacing w:before="0" w:beforeAutospacing="0" w:after="0" w:afterAutospacing="0"/>
              <w:textAlignment w:val="baseline"/>
              <w:rPr>
                <w:sz w:val="21"/>
                <w:szCs w:val="21"/>
              </w:rPr>
            </w:pPr>
            <w:r>
              <w:rPr>
                <w:rFonts w:hint="eastAsia"/>
                <w:sz w:val="21"/>
                <w:szCs w:val="21"/>
              </w:rPr>
              <w:t>1</w:t>
            </w:r>
          </w:p>
        </w:tc>
        <w:tc>
          <w:tcPr>
            <w:tcW w:w="2796" w:type="dxa"/>
          </w:tcPr>
          <w:p w14:paraId="42D3B00E">
            <w:pPr>
              <w:pStyle w:val="13"/>
              <w:spacing w:before="0" w:beforeAutospacing="0" w:after="0" w:afterAutospacing="0"/>
              <w:textAlignment w:val="baseline"/>
              <w:rPr>
                <w:sz w:val="21"/>
                <w:szCs w:val="21"/>
              </w:rPr>
            </w:pPr>
            <w:r>
              <w:rPr>
                <w:rFonts w:hint="eastAsia"/>
                <w:sz w:val="21"/>
                <w:szCs w:val="21"/>
              </w:rPr>
              <w:t>食品安全：</w:t>
            </w:r>
          </w:p>
          <w:p w14:paraId="06CF2579">
            <w:pPr>
              <w:pStyle w:val="13"/>
              <w:numPr>
                <w:ilvl w:val="0"/>
                <w:numId w:val="5"/>
              </w:numPr>
              <w:spacing w:before="0" w:beforeAutospacing="0" w:after="0" w:afterAutospacing="0"/>
              <w:textAlignment w:val="baseline"/>
              <w:rPr>
                <w:sz w:val="21"/>
                <w:szCs w:val="21"/>
              </w:rPr>
            </w:pPr>
            <w:r>
              <w:rPr>
                <w:rFonts w:hint="eastAsia"/>
                <w:sz w:val="21"/>
                <w:szCs w:val="21"/>
              </w:rPr>
              <w:t>建立完善打击危害食品安全违法犯罪行刑衔接、案件会商、联合督办等制度</w:t>
            </w:r>
          </w:p>
          <w:p w14:paraId="7A677131">
            <w:pPr>
              <w:pStyle w:val="13"/>
              <w:numPr>
                <w:ilvl w:val="0"/>
                <w:numId w:val="5"/>
              </w:numPr>
              <w:spacing w:before="0" w:beforeAutospacing="0" w:after="0" w:afterAutospacing="0"/>
              <w:textAlignment w:val="baseline"/>
              <w:rPr>
                <w:sz w:val="21"/>
                <w:szCs w:val="21"/>
              </w:rPr>
            </w:pPr>
            <w:r>
              <w:rPr>
                <w:rFonts w:hint="eastAsia"/>
                <w:sz w:val="21"/>
                <w:szCs w:val="21"/>
              </w:rPr>
              <w:t>制定食品安全工作责任清单和食品安全监管事权清单，并对照执行</w:t>
            </w:r>
          </w:p>
        </w:tc>
        <w:tc>
          <w:tcPr>
            <w:tcW w:w="1374" w:type="dxa"/>
          </w:tcPr>
          <w:p w14:paraId="1AB962CC">
            <w:pPr>
              <w:pStyle w:val="13"/>
              <w:spacing w:before="0" w:beforeAutospacing="0" w:after="0" w:afterAutospacing="0"/>
              <w:textAlignment w:val="baseline"/>
              <w:rPr>
                <w:sz w:val="21"/>
                <w:szCs w:val="21"/>
              </w:rPr>
            </w:pPr>
            <w:r>
              <w:rPr>
                <w:rFonts w:hint="eastAsia"/>
                <w:sz w:val="21"/>
                <w:szCs w:val="21"/>
              </w:rPr>
              <w:t>2023年底</w:t>
            </w:r>
          </w:p>
        </w:tc>
        <w:tc>
          <w:tcPr>
            <w:tcW w:w="1146" w:type="dxa"/>
          </w:tcPr>
          <w:p w14:paraId="4BFB5379">
            <w:pPr>
              <w:pStyle w:val="13"/>
              <w:spacing w:before="0" w:beforeAutospacing="0" w:after="0" w:afterAutospacing="0"/>
              <w:textAlignment w:val="baseline"/>
              <w:rPr>
                <w:sz w:val="21"/>
                <w:szCs w:val="21"/>
              </w:rPr>
            </w:pPr>
          </w:p>
        </w:tc>
        <w:tc>
          <w:tcPr>
            <w:tcW w:w="846" w:type="dxa"/>
          </w:tcPr>
          <w:p w14:paraId="2F063241">
            <w:pPr>
              <w:pStyle w:val="13"/>
              <w:spacing w:before="0" w:beforeAutospacing="0" w:after="0" w:afterAutospacing="0"/>
              <w:textAlignment w:val="baseline"/>
              <w:rPr>
                <w:sz w:val="21"/>
                <w:szCs w:val="21"/>
              </w:rPr>
            </w:pPr>
          </w:p>
        </w:tc>
      </w:tr>
      <w:tr w14:paraId="34EE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4D869F3E">
            <w:pPr>
              <w:pStyle w:val="13"/>
              <w:spacing w:before="0" w:beforeAutospacing="0" w:after="0" w:afterAutospacing="0"/>
              <w:textAlignment w:val="baseline"/>
              <w:rPr>
                <w:sz w:val="21"/>
                <w:szCs w:val="21"/>
              </w:rPr>
            </w:pPr>
          </w:p>
        </w:tc>
        <w:tc>
          <w:tcPr>
            <w:tcW w:w="376" w:type="dxa"/>
          </w:tcPr>
          <w:p w14:paraId="66DF6902">
            <w:pPr>
              <w:pStyle w:val="13"/>
              <w:spacing w:before="0" w:beforeAutospacing="0" w:after="0" w:afterAutospacing="0"/>
              <w:textAlignment w:val="baseline"/>
              <w:rPr>
                <w:sz w:val="21"/>
                <w:szCs w:val="21"/>
              </w:rPr>
            </w:pPr>
            <w:r>
              <w:rPr>
                <w:rFonts w:hint="eastAsia"/>
                <w:sz w:val="21"/>
                <w:szCs w:val="21"/>
              </w:rPr>
              <w:t>2</w:t>
            </w:r>
          </w:p>
        </w:tc>
        <w:tc>
          <w:tcPr>
            <w:tcW w:w="2796" w:type="dxa"/>
          </w:tcPr>
          <w:p w14:paraId="21350DF7">
            <w:pPr>
              <w:pStyle w:val="13"/>
              <w:spacing w:before="0" w:beforeAutospacing="0" w:after="0" w:afterAutospacing="0"/>
              <w:textAlignment w:val="baseline"/>
              <w:rPr>
                <w:sz w:val="21"/>
                <w:szCs w:val="21"/>
              </w:rPr>
            </w:pPr>
            <w:r>
              <w:rPr>
                <w:rFonts w:hint="eastAsia"/>
                <w:sz w:val="21"/>
                <w:szCs w:val="21"/>
              </w:rPr>
              <w:t>药品安全：实现所有疫苗接种机构冷链设施设备完善</w:t>
            </w:r>
          </w:p>
        </w:tc>
        <w:tc>
          <w:tcPr>
            <w:tcW w:w="1374" w:type="dxa"/>
          </w:tcPr>
          <w:p w14:paraId="2C4F8D2C">
            <w:pPr>
              <w:pStyle w:val="13"/>
              <w:spacing w:before="0" w:beforeAutospacing="0" w:after="0" w:afterAutospacing="0"/>
              <w:textAlignment w:val="baseline"/>
              <w:rPr>
                <w:sz w:val="21"/>
                <w:szCs w:val="21"/>
              </w:rPr>
            </w:pPr>
            <w:r>
              <w:rPr>
                <w:rFonts w:hint="eastAsia"/>
                <w:sz w:val="21"/>
                <w:szCs w:val="21"/>
              </w:rPr>
              <w:t>2022年底实现50%，2025年底前达到100%</w:t>
            </w:r>
          </w:p>
        </w:tc>
        <w:tc>
          <w:tcPr>
            <w:tcW w:w="1146" w:type="dxa"/>
          </w:tcPr>
          <w:p w14:paraId="7384E450">
            <w:pPr>
              <w:pStyle w:val="13"/>
              <w:spacing w:before="0" w:beforeAutospacing="0" w:after="0" w:afterAutospacing="0"/>
              <w:textAlignment w:val="baseline"/>
              <w:rPr>
                <w:sz w:val="21"/>
                <w:szCs w:val="21"/>
              </w:rPr>
            </w:pPr>
          </w:p>
        </w:tc>
        <w:tc>
          <w:tcPr>
            <w:tcW w:w="846" w:type="dxa"/>
          </w:tcPr>
          <w:p w14:paraId="57415333">
            <w:pPr>
              <w:pStyle w:val="13"/>
              <w:spacing w:before="0" w:beforeAutospacing="0" w:after="0" w:afterAutospacing="0"/>
              <w:textAlignment w:val="baseline"/>
              <w:rPr>
                <w:sz w:val="21"/>
                <w:szCs w:val="21"/>
              </w:rPr>
            </w:pPr>
          </w:p>
        </w:tc>
      </w:tr>
      <w:tr w14:paraId="700B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7D856A8A">
            <w:pPr>
              <w:pStyle w:val="13"/>
              <w:spacing w:before="0" w:beforeAutospacing="0" w:after="0" w:afterAutospacing="0"/>
              <w:textAlignment w:val="baseline"/>
              <w:rPr>
                <w:sz w:val="21"/>
                <w:szCs w:val="21"/>
              </w:rPr>
            </w:pPr>
          </w:p>
        </w:tc>
        <w:tc>
          <w:tcPr>
            <w:tcW w:w="376" w:type="dxa"/>
          </w:tcPr>
          <w:p w14:paraId="40CDB8A2">
            <w:pPr>
              <w:pStyle w:val="13"/>
              <w:spacing w:before="0" w:beforeAutospacing="0" w:after="0" w:afterAutospacing="0"/>
              <w:textAlignment w:val="baseline"/>
              <w:rPr>
                <w:sz w:val="21"/>
                <w:szCs w:val="21"/>
              </w:rPr>
            </w:pPr>
            <w:r>
              <w:rPr>
                <w:rFonts w:hint="eastAsia"/>
                <w:sz w:val="21"/>
                <w:szCs w:val="21"/>
              </w:rPr>
              <w:t>3</w:t>
            </w:r>
          </w:p>
        </w:tc>
        <w:tc>
          <w:tcPr>
            <w:tcW w:w="2796" w:type="dxa"/>
          </w:tcPr>
          <w:p w14:paraId="59676617">
            <w:pPr>
              <w:pStyle w:val="13"/>
              <w:spacing w:before="0" w:beforeAutospacing="0" w:after="0" w:afterAutospacing="0"/>
              <w:textAlignment w:val="baseline"/>
              <w:rPr>
                <w:sz w:val="21"/>
                <w:szCs w:val="21"/>
              </w:rPr>
            </w:pPr>
            <w:r>
              <w:rPr>
                <w:rFonts w:hint="eastAsia"/>
                <w:sz w:val="21"/>
                <w:szCs w:val="21"/>
              </w:rPr>
              <w:t>特种设备：特种设备安全数字化监管系统上线运行</w:t>
            </w:r>
          </w:p>
        </w:tc>
        <w:tc>
          <w:tcPr>
            <w:tcW w:w="1374" w:type="dxa"/>
          </w:tcPr>
          <w:p w14:paraId="3650A12D">
            <w:pPr>
              <w:pStyle w:val="13"/>
              <w:spacing w:before="0" w:beforeAutospacing="0" w:after="0" w:afterAutospacing="0"/>
              <w:textAlignment w:val="baseline"/>
              <w:rPr>
                <w:sz w:val="21"/>
                <w:szCs w:val="21"/>
              </w:rPr>
            </w:pPr>
            <w:r>
              <w:rPr>
                <w:rFonts w:hint="eastAsia"/>
                <w:sz w:val="21"/>
                <w:szCs w:val="21"/>
              </w:rPr>
              <w:t>2022年底</w:t>
            </w:r>
          </w:p>
        </w:tc>
        <w:tc>
          <w:tcPr>
            <w:tcW w:w="1146" w:type="dxa"/>
          </w:tcPr>
          <w:p w14:paraId="20B83D8C">
            <w:pPr>
              <w:pStyle w:val="13"/>
              <w:spacing w:before="0" w:beforeAutospacing="0" w:after="0" w:afterAutospacing="0"/>
              <w:textAlignment w:val="baseline"/>
              <w:rPr>
                <w:sz w:val="21"/>
                <w:szCs w:val="21"/>
              </w:rPr>
            </w:pPr>
          </w:p>
        </w:tc>
        <w:tc>
          <w:tcPr>
            <w:tcW w:w="846" w:type="dxa"/>
          </w:tcPr>
          <w:p w14:paraId="15D4C0FF">
            <w:pPr>
              <w:pStyle w:val="13"/>
              <w:spacing w:before="0" w:beforeAutospacing="0" w:after="0" w:afterAutospacing="0"/>
              <w:textAlignment w:val="baseline"/>
              <w:rPr>
                <w:sz w:val="21"/>
                <w:szCs w:val="21"/>
              </w:rPr>
            </w:pPr>
          </w:p>
        </w:tc>
      </w:tr>
      <w:tr w14:paraId="37AA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0AD95E8D">
            <w:pPr>
              <w:pStyle w:val="13"/>
              <w:spacing w:before="0" w:beforeAutospacing="0" w:after="0" w:afterAutospacing="0"/>
              <w:textAlignment w:val="baseline"/>
              <w:rPr>
                <w:sz w:val="21"/>
                <w:szCs w:val="21"/>
              </w:rPr>
            </w:pPr>
            <w:r>
              <w:rPr>
                <w:rFonts w:hint="eastAsia"/>
                <w:sz w:val="21"/>
                <w:szCs w:val="21"/>
              </w:rPr>
              <w:t>质量监督管理</w:t>
            </w:r>
          </w:p>
        </w:tc>
        <w:tc>
          <w:tcPr>
            <w:tcW w:w="376" w:type="dxa"/>
          </w:tcPr>
          <w:p w14:paraId="67DBF995">
            <w:pPr>
              <w:pStyle w:val="13"/>
              <w:spacing w:before="0" w:beforeAutospacing="0" w:after="0" w:afterAutospacing="0"/>
              <w:textAlignment w:val="baseline"/>
              <w:rPr>
                <w:sz w:val="21"/>
                <w:szCs w:val="21"/>
              </w:rPr>
            </w:pPr>
            <w:r>
              <w:rPr>
                <w:rFonts w:hint="eastAsia"/>
                <w:sz w:val="21"/>
                <w:szCs w:val="21"/>
              </w:rPr>
              <w:t>1</w:t>
            </w:r>
          </w:p>
        </w:tc>
        <w:tc>
          <w:tcPr>
            <w:tcW w:w="2796" w:type="dxa"/>
          </w:tcPr>
          <w:p w14:paraId="421F0B55">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完善工业产品质量溯源体系，实现全市工业产品生产企业60%与下级经销商签订工业产品质量责任追溯协议</w:t>
            </w:r>
          </w:p>
        </w:tc>
        <w:tc>
          <w:tcPr>
            <w:tcW w:w="1374" w:type="dxa"/>
          </w:tcPr>
          <w:p w14:paraId="367BE307">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2025年底</w:t>
            </w:r>
          </w:p>
        </w:tc>
        <w:tc>
          <w:tcPr>
            <w:tcW w:w="1146" w:type="dxa"/>
          </w:tcPr>
          <w:p w14:paraId="2D542583">
            <w:pPr>
              <w:pStyle w:val="13"/>
              <w:spacing w:before="0" w:beforeAutospacing="0" w:after="0" w:afterAutospacing="0"/>
              <w:textAlignment w:val="baseline"/>
              <w:rPr>
                <w:sz w:val="21"/>
                <w:szCs w:val="21"/>
              </w:rPr>
            </w:pPr>
          </w:p>
        </w:tc>
        <w:tc>
          <w:tcPr>
            <w:tcW w:w="846" w:type="dxa"/>
          </w:tcPr>
          <w:p w14:paraId="6A66552E">
            <w:pPr>
              <w:pStyle w:val="13"/>
              <w:spacing w:before="0" w:beforeAutospacing="0" w:after="0" w:afterAutospacing="0"/>
              <w:textAlignment w:val="baseline"/>
              <w:rPr>
                <w:sz w:val="21"/>
                <w:szCs w:val="21"/>
              </w:rPr>
            </w:pPr>
          </w:p>
        </w:tc>
      </w:tr>
      <w:tr w14:paraId="44F1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2F70C2DE">
            <w:pPr>
              <w:pStyle w:val="13"/>
              <w:spacing w:before="0" w:beforeAutospacing="0" w:after="0" w:afterAutospacing="0"/>
              <w:textAlignment w:val="baseline"/>
              <w:rPr>
                <w:sz w:val="21"/>
                <w:szCs w:val="21"/>
              </w:rPr>
            </w:pPr>
          </w:p>
        </w:tc>
        <w:tc>
          <w:tcPr>
            <w:tcW w:w="376" w:type="dxa"/>
          </w:tcPr>
          <w:p w14:paraId="459D3666">
            <w:pPr>
              <w:pStyle w:val="13"/>
              <w:spacing w:before="0" w:beforeAutospacing="0" w:after="0" w:afterAutospacing="0"/>
              <w:textAlignment w:val="baseline"/>
              <w:rPr>
                <w:sz w:val="21"/>
                <w:szCs w:val="21"/>
              </w:rPr>
            </w:pPr>
            <w:r>
              <w:rPr>
                <w:rFonts w:hint="eastAsia"/>
                <w:sz w:val="21"/>
                <w:szCs w:val="21"/>
              </w:rPr>
              <w:t>2</w:t>
            </w:r>
          </w:p>
        </w:tc>
        <w:tc>
          <w:tcPr>
            <w:tcW w:w="2796" w:type="dxa"/>
          </w:tcPr>
          <w:p w14:paraId="49589F23">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实现监督抽样检验结果共享共用，建成商品质量市场评价体系</w:t>
            </w:r>
          </w:p>
        </w:tc>
        <w:tc>
          <w:tcPr>
            <w:tcW w:w="1374" w:type="dxa"/>
          </w:tcPr>
          <w:p w14:paraId="7677EC80">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2025年底</w:t>
            </w:r>
          </w:p>
        </w:tc>
        <w:tc>
          <w:tcPr>
            <w:tcW w:w="1146" w:type="dxa"/>
          </w:tcPr>
          <w:p w14:paraId="26D39D1F">
            <w:pPr>
              <w:pStyle w:val="13"/>
              <w:spacing w:before="0" w:beforeAutospacing="0" w:after="0" w:afterAutospacing="0"/>
              <w:textAlignment w:val="baseline"/>
              <w:rPr>
                <w:sz w:val="21"/>
                <w:szCs w:val="21"/>
              </w:rPr>
            </w:pPr>
          </w:p>
        </w:tc>
        <w:tc>
          <w:tcPr>
            <w:tcW w:w="846" w:type="dxa"/>
          </w:tcPr>
          <w:p w14:paraId="4C687B34">
            <w:pPr>
              <w:pStyle w:val="13"/>
              <w:spacing w:before="0" w:beforeAutospacing="0" w:after="0" w:afterAutospacing="0"/>
              <w:textAlignment w:val="baseline"/>
              <w:rPr>
                <w:sz w:val="21"/>
                <w:szCs w:val="21"/>
              </w:rPr>
            </w:pPr>
          </w:p>
        </w:tc>
      </w:tr>
      <w:tr w14:paraId="63D4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796EF8FB">
            <w:pPr>
              <w:pStyle w:val="13"/>
              <w:spacing w:before="0" w:beforeAutospacing="0" w:after="0" w:afterAutospacing="0"/>
              <w:textAlignment w:val="baseline"/>
              <w:rPr>
                <w:sz w:val="21"/>
                <w:szCs w:val="21"/>
              </w:rPr>
            </w:pPr>
          </w:p>
        </w:tc>
        <w:tc>
          <w:tcPr>
            <w:tcW w:w="376" w:type="dxa"/>
          </w:tcPr>
          <w:p w14:paraId="24634637">
            <w:pPr>
              <w:pStyle w:val="13"/>
              <w:spacing w:before="0" w:beforeAutospacing="0" w:after="0" w:afterAutospacing="0"/>
              <w:textAlignment w:val="baseline"/>
              <w:rPr>
                <w:sz w:val="21"/>
                <w:szCs w:val="21"/>
              </w:rPr>
            </w:pPr>
            <w:r>
              <w:rPr>
                <w:rFonts w:hint="eastAsia"/>
                <w:sz w:val="21"/>
                <w:szCs w:val="21"/>
              </w:rPr>
              <w:t>3</w:t>
            </w:r>
          </w:p>
        </w:tc>
        <w:tc>
          <w:tcPr>
            <w:tcW w:w="2796" w:type="dxa"/>
          </w:tcPr>
          <w:p w14:paraId="13024A60">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实现培育两家生产企业</w:t>
            </w:r>
            <w:r>
              <w:rPr>
                <w:color w:val="000000" w:themeColor="text1"/>
                <w:sz w:val="21"/>
                <w:szCs w:val="21"/>
                <w14:textFill>
                  <w14:solidFill>
                    <w14:schemeClr w14:val="tx1"/>
                  </w14:solidFill>
                </w14:textFill>
              </w:rPr>
              <w:t>主要产品</w:t>
            </w:r>
            <w:r>
              <w:rPr>
                <w:rFonts w:hint="eastAsia"/>
                <w:color w:val="000000" w:themeColor="text1"/>
                <w:sz w:val="21"/>
                <w:szCs w:val="21"/>
                <w14:textFill>
                  <w14:solidFill>
                    <w14:schemeClr w14:val="tx1"/>
                  </w14:solidFill>
                </w14:textFill>
              </w:rPr>
              <w:t>采用国内先进标准，力争达到</w:t>
            </w:r>
            <w:r>
              <w:rPr>
                <w:color w:val="000000" w:themeColor="text1"/>
                <w:sz w:val="21"/>
                <w:szCs w:val="21"/>
                <w14:textFill>
                  <w14:solidFill>
                    <w14:schemeClr w14:val="tx1"/>
                  </w14:solidFill>
                </w14:textFill>
              </w:rPr>
              <w:t>国际先进标准</w:t>
            </w:r>
            <w:r>
              <w:rPr>
                <w:rFonts w:hint="eastAsia"/>
                <w:color w:val="000000" w:themeColor="text1"/>
                <w:sz w:val="21"/>
                <w:szCs w:val="21"/>
                <w14:textFill>
                  <w14:solidFill>
                    <w14:schemeClr w14:val="tx1"/>
                  </w14:solidFill>
                </w14:textFill>
              </w:rPr>
              <w:t>。</w:t>
            </w:r>
          </w:p>
        </w:tc>
        <w:tc>
          <w:tcPr>
            <w:tcW w:w="1374" w:type="dxa"/>
          </w:tcPr>
          <w:p w14:paraId="2D6507D7">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2025年底</w:t>
            </w:r>
          </w:p>
        </w:tc>
        <w:tc>
          <w:tcPr>
            <w:tcW w:w="1146" w:type="dxa"/>
          </w:tcPr>
          <w:p w14:paraId="1C125507">
            <w:pPr>
              <w:pStyle w:val="13"/>
              <w:spacing w:before="0" w:beforeAutospacing="0" w:after="0" w:afterAutospacing="0"/>
              <w:textAlignment w:val="baseline"/>
              <w:rPr>
                <w:sz w:val="21"/>
                <w:szCs w:val="21"/>
              </w:rPr>
            </w:pPr>
          </w:p>
        </w:tc>
        <w:tc>
          <w:tcPr>
            <w:tcW w:w="846" w:type="dxa"/>
          </w:tcPr>
          <w:p w14:paraId="4FF07114">
            <w:pPr>
              <w:pStyle w:val="13"/>
              <w:spacing w:before="0" w:beforeAutospacing="0" w:after="0" w:afterAutospacing="0"/>
              <w:textAlignment w:val="baseline"/>
              <w:rPr>
                <w:sz w:val="21"/>
                <w:szCs w:val="21"/>
              </w:rPr>
            </w:pPr>
          </w:p>
        </w:tc>
      </w:tr>
      <w:tr w14:paraId="0D79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4B681970">
            <w:pPr>
              <w:pStyle w:val="13"/>
              <w:spacing w:before="0" w:beforeAutospacing="0" w:after="0" w:afterAutospacing="0"/>
              <w:textAlignment w:val="baseline"/>
              <w:rPr>
                <w:sz w:val="21"/>
                <w:szCs w:val="21"/>
              </w:rPr>
            </w:pPr>
          </w:p>
        </w:tc>
        <w:tc>
          <w:tcPr>
            <w:tcW w:w="376" w:type="dxa"/>
          </w:tcPr>
          <w:p w14:paraId="425B12E7">
            <w:pPr>
              <w:pStyle w:val="13"/>
              <w:spacing w:before="0" w:beforeAutospacing="0" w:after="0" w:afterAutospacing="0"/>
              <w:textAlignment w:val="baseline"/>
              <w:rPr>
                <w:sz w:val="21"/>
                <w:szCs w:val="21"/>
              </w:rPr>
            </w:pPr>
            <w:r>
              <w:rPr>
                <w:rFonts w:hint="eastAsia"/>
                <w:sz w:val="21"/>
                <w:szCs w:val="21"/>
              </w:rPr>
              <w:t>4</w:t>
            </w:r>
          </w:p>
        </w:tc>
        <w:tc>
          <w:tcPr>
            <w:tcW w:w="2796" w:type="dxa"/>
          </w:tcPr>
          <w:p w14:paraId="3C426277">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获批新增2个省级授权检验检测机构</w:t>
            </w:r>
          </w:p>
        </w:tc>
        <w:tc>
          <w:tcPr>
            <w:tcW w:w="1374" w:type="dxa"/>
          </w:tcPr>
          <w:p w14:paraId="6E27A0F1">
            <w:pPr>
              <w:pStyle w:val="13"/>
              <w:spacing w:before="0" w:beforeAutospacing="0" w:after="0" w:afterAutospacing="0"/>
              <w:textAlignment w:val="baseline"/>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2025年底</w:t>
            </w:r>
          </w:p>
        </w:tc>
        <w:tc>
          <w:tcPr>
            <w:tcW w:w="1146" w:type="dxa"/>
          </w:tcPr>
          <w:p w14:paraId="26F6AB96">
            <w:pPr>
              <w:pStyle w:val="13"/>
              <w:spacing w:before="0" w:beforeAutospacing="0" w:after="0" w:afterAutospacing="0"/>
              <w:textAlignment w:val="baseline"/>
              <w:rPr>
                <w:sz w:val="21"/>
                <w:szCs w:val="21"/>
              </w:rPr>
            </w:pPr>
          </w:p>
        </w:tc>
        <w:tc>
          <w:tcPr>
            <w:tcW w:w="846" w:type="dxa"/>
          </w:tcPr>
          <w:p w14:paraId="3B40217D">
            <w:pPr>
              <w:pStyle w:val="13"/>
              <w:spacing w:before="0" w:beforeAutospacing="0" w:after="0" w:afterAutospacing="0"/>
              <w:textAlignment w:val="baseline"/>
              <w:rPr>
                <w:sz w:val="21"/>
                <w:szCs w:val="21"/>
              </w:rPr>
            </w:pPr>
          </w:p>
        </w:tc>
      </w:tr>
      <w:tr w14:paraId="6C0F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65FBB3E3">
            <w:pPr>
              <w:pStyle w:val="13"/>
              <w:spacing w:before="0" w:beforeAutospacing="0" w:after="0" w:afterAutospacing="0"/>
              <w:textAlignment w:val="baseline"/>
              <w:rPr>
                <w:sz w:val="21"/>
                <w:szCs w:val="21"/>
              </w:rPr>
            </w:pPr>
            <w:r>
              <w:rPr>
                <w:rFonts w:hint="eastAsia"/>
                <w:sz w:val="21"/>
                <w:szCs w:val="21"/>
              </w:rPr>
              <w:t>市场竞争秩序</w:t>
            </w:r>
          </w:p>
        </w:tc>
        <w:tc>
          <w:tcPr>
            <w:tcW w:w="376" w:type="dxa"/>
          </w:tcPr>
          <w:p w14:paraId="7C2564CC">
            <w:pPr>
              <w:pStyle w:val="13"/>
              <w:spacing w:before="0" w:beforeAutospacing="0" w:after="0" w:afterAutospacing="0"/>
              <w:textAlignment w:val="baseline"/>
              <w:rPr>
                <w:sz w:val="21"/>
                <w:szCs w:val="21"/>
              </w:rPr>
            </w:pPr>
            <w:r>
              <w:rPr>
                <w:rFonts w:hint="eastAsia"/>
                <w:sz w:val="21"/>
                <w:szCs w:val="21"/>
              </w:rPr>
              <w:t>1</w:t>
            </w:r>
          </w:p>
        </w:tc>
        <w:tc>
          <w:tcPr>
            <w:tcW w:w="2796" w:type="dxa"/>
          </w:tcPr>
          <w:p w14:paraId="2145A09E">
            <w:pPr>
              <w:pStyle w:val="13"/>
              <w:spacing w:before="0" w:beforeAutospacing="0" w:after="0" w:afterAutospacing="0"/>
              <w:textAlignment w:val="baseline"/>
              <w:rPr>
                <w:sz w:val="21"/>
                <w:szCs w:val="21"/>
              </w:rPr>
            </w:pPr>
            <w:r>
              <w:rPr>
                <w:rFonts w:hint="eastAsia"/>
                <w:sz w:val="21"/>
                <w:szCs w:val="21"/>
              </w:rPr>
              <w:t>知识产权：</w:t>
            </w:r>
          </w:p>
          <w:p w14:paraId="1D48FD46">
            <w:pPr>
              <w:pStyle w:val="13"/>
              <w:numPr>
                <w:ilvl w:val="0"/>
                <w:numId w:val="6"/>
              </w:numPr>
              <w:spacing w:before="0" w:beforeAutospacing="0" w:after="0" w:afterAutospacing="0"/>
              <w:textAlignment w:val="baseline"/>
              <w:rPr>
                <w:sz w:val="21"/>
                <w:szCs w:val="21"/>
              </w:rPr>
            </w:pPr>
            <w:r>
              <w:rPr>
                <w:rFonts w:hint="eastAsia"/>
                <w:sz w:val="21"/>
                <w:szCs w:val="21"/>
              </w:rPr>
              <w:t>开展知识产权管理规范认证，每年参与贯标企业不少于</w:t>
            </w:r>
            <w:r>
              <w:rPr>
                <w:sz w:val="21"/>
                <w:szCs w:val="21"/>
              </w:rPr>
              <w:t>6家，新增贯标企业不少于2家</w:t>
            </w:r>
          </w:p>
          <w:p w14:paraId="3D375D88">
            <w:pPr>
              <w:pStyle w:val="13"/>
              <w:numPr>
                <w:ilvl w:val="0"/>
                <w:numId w:val="6"/>
              </w:numPr>
              <w:spacing w:before="0" w:beforeAutospacing="0" w:after="0" w:afterAutospacing="0"/>
              <w:textAlignment w:val="baseline"/>
              <w:rPr>
                <w:sz w:val="21"/>
                <w:szCs w:val="21"/>
              </w:rPr>
            </w:pPr>
            <w:r>
              <w:rPr>
                <w:rFonts w:hint="eastAsia"/>
                <w:sz w:val="21"/>
                <w:szCs w:val="21"/>
              </w:rPr>
              <w:t>创办安宁地理标志品牌现代农业庄园2个</w:t>
            </w:r>
          </w:p>
          <w:p w14:paraId="326269A9">
            <w:pPr>
              <w:pStyle w:val="13"/>
              <w:numPr>
                <w:ilvl w:val="0"/>
                <w:numId w:val="6"/>
              </w:numPr>
              <w:spacing w:before="0" w:beforeAutospacing="0" w:after="0" w:afterAutospacing="0"/>
              <w:textAlignment w:val="baseline"/>
              <w:rPr>
                <w:sz w:val="21"/>
                <w:szCs w:val="21"/>
              </w:rPr>
            </w:pPr>
            <w:r>
              <w:rPr>
                <w:rFonts w:hint="eastAsia"/>
                <w:sz w:val="21"/>
                <w:szCs w:val="21"/>
              </w:rPr>
              <w:t>注册商标覆盖范围提高到100户市场主体10户行使商标保护</w:t>
            </w:r>
          </w:p>
        </w:tc>
        <w:tc>
          <w:tcPr>
            <w:tcW w:w="1374" w:type="dxa"/>
          </w:tcPr>
          <w:p w14:paraId="415AABD6">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6AAAAB7D">
            <w:pPr>
              <w:pStyle w:val="13"/>
              <w:spacing w:before="0" w:beforeAutospacing="0" w:after="0" w:afterAutospacing="0"/>
              <w:textAlignment w:val="baseline"/>
              <w:rPr>
                <w:sz w:val="21"/>
                <w:szCs w:val="21"/>
              </w:rPr>
            </w:pPr>
          </w:p>
        </w:tc>
        <w:tc>
          <w:tcPr>
            <w:tcW w:w="846" w:type="dxa"/>
          </w:tcPr>
          <w:p w14:paraId="13D3FDBF">
            <w:pPr>
              <w:pStyle w:val="13"/>
              <w:spacing w:before="0" w:beforeAutospacing="0" w:after="0" w:afterAutospacing="0"/>
              <w:textAlignment w:val="baseline"/>
              <w:rPr>
                <w:sz w:val="21"/>
                <w:szCs w:val="21"/>
              </w:rPr>
            </w:pPr>
          </w:p>
        </w:tc>
      </w:tr>
      <w:tr w14:paraId="3BBA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5DA962CD">
            <w:pPr>
              <w:pStyle w:val="13"/>
              <w:spacing w:before="0" w:beforeAutospacing="0" w:after="0" w:afterAutospacing="0"/>
              <w:textAlignment w:val="baseline"/>
              <w:rPr>
                <w:sz w:val="21"/>
                <w:szCs w:val="21"/>
              </w:rPr>
            </w:pPr>
          </w:p>
        </w:tc>
        <w:tc>
          <w:tcPr>
            <w:tcW w:w="376" w:type="dxa"/>
          </w:tcPr>
          <w:p w14:paraId="7C42421C">
            <w:pPr>
              <w:pStyle w:val="13"/>
              <w:spacing w:before="0" w:beforeAutospacing="0" w:after="0" w:afterAutospacing="0"/>
              <w:textAlignment w:val="baseline"/>
              <w:rPr>
                <w:sz w:val="21"/>
                <w:szCs w:val="21"/>
              </w:rPr>
            </w:pPr>
            <w:r>
              <w:rPr>
                <w:rFonts w:hint="eastAsia"/>
                <w:sz w:val="21"/>
                <w:szCs w:val="21"/>
              </w:rPr>
              <w:t>2</w:t>
            </w:r>
          </w:p>
        </w:tc>
        <w:tc>
          <w:tcPr>
            <w:tcW w:w="2796" w:type="dxa"/>
          </w:tcPr>
          <w:p w14:paraId="7D655665">
            <w:pPr>
              <w:pStyle w:val="13"/>
              <w:spacing w:before="0" w:beforeAutospacing="0" w:after="0" w:afterAutospacing="0"/>
              <w:textAlignment w:val="baseline"/>
              <w:rPr>
                <w:sz w:val="21"/>
                <w:szCs w:val="21"/>
              </w:rPr>
            </w:pPr>
            <w:r>
              <w:rPr>
                <w:rFonts w:hint="eastAsia"/>
                <w:sz w:val="21"/>
                <w:szCs w:val="21"/>
              </w:rPr>
              <w:t>价格监管：建设民生重点领域价格实时监测系统，实现覆盖率50%</w:t>
            </w:r>
          </w:p>
        </w:tc>
        <w:tc>
          <w:tcPr>
            <w:tcW w:w="1374" w:type="dxa"/>
          </w:tcPr>
          <w:p w14:paraId="02DEDCD0">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4EE4A4A7">
            <w:pPr>
              <w:pStyle w:val="13"/>
              <w:spacing w:before="0" w:beforeAutospacing="0" w:after="0" w:afterAutospacing="0"/>
              <w:textAlignment w:val="baseline"/>
              <w:rPr>
                <w:sz w:val="21"/>
                <w:szCs w:val="21"/>
              </w:rPr>
            </w:pPr>
          </w:p>
        </w:tc>
        <w:tc>
          <w:tcPr>
            <w:tcW w:w="846" w:type="dxa"/>
          </w:tcPr>
          <w:p w14:paraId="1DE4A1D4">
            <w:pPr>
              <w:pStyle w:val="13"/>
              <w:spacing w:before="0" w:beforeAutospacing="0" w:after="0" w:afterAutospacing="0"/>
              <w:textAlignment w:val="baseline"/>
              <w:rPr>
                <w:sz w:val="21"/>
                <w:szCs w:val="21"/>
              </w:rPr>
            </w:pPr>
          </w:p>
        </w:tc>
      </w:tr>
      <w:tr w14:paraId="1B45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761AC827">
            <w:pPr>
              <w:pStyle w:val="13"/>
              <w:spacing w:before="0" w:beforeAutospacing="0" w:after="0" w:afterAutospacing="0"/>
              <w:textAlignment w:val="baseline"/>
              <w:rPr>
                <w:sz w:val="21"/>
                <w:szCs w:val="21"/>
              </w:rPr>
            </w:pPr>
          </w:p>
        </w:tc>
        <w:tc>
          <w:tcPr>
            <w:tcW w:w="376" w:type="dxa"/>
          </w:tcPr>
          <w:p w14:paraId="2DF0ABEA">
            <w:pPr>
              <w:pStyle w:val="13"/>
              <w:spacing w:before="0" w:beforeAutospacing="0" w:after="0" w:afterAutospacing="0"/>
              <w:textAlignment w:val="baseline"/>
              <w:rPr>
                <w:sz w:val="21"/>
                <w:szCs w:val="21"/>
              </w:rPr>
            </w:pPr>
            <w:r>
              <w:rPr>
                <w:rFonts w:hint="eastAsia"/>
                <w:sz w:val="21"/>
                <w:szCs w:val="21"/>
              </w:rPr>
              <w:t>3</w:t>
            </w:r>
          </w:p>
        </w:tc>
        <w:tc>
          <w:tcPr>
            <w:tcW w:w="2796" w:type="dxa"/>
          </w:tcPr>
          <w:p w14:paraId="28480E77">
            <w:pPr>
              <w:pStyle w:val="13"/>
              <w:spacing w:before="0" w:beforeAutospacing="0" w:after="0" w:afterAutospacing="0"/>
              <w:textAlignment w:val="baseline"/>
              <w:rPr>
                <w:sz w:val="21"/>
                <w:szCs w:val="21"/>
              </w:rPr>
            </w:pPr>
            <w:r>
              <w:rPr>
                <w:rFonts w:hint="eastAsia"/>
                <w:sz w:val="21"/>
                <w:szCs w:val="21"/>
              </w:rPr>
              <w:t>打击传销：开展无传销社区（村）创建工作，覆盖率100%，实现市域内无传销机构</w:t>
            </w:r>
          </w:p>
        </w:tc>
        <w:tc>
          <w:tcPr>
            <w:tcW w:w="1374" w:type="dxa"/>
          </w:tcPr>
          <w:p w14:paraId="7494A51B">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5D424670">
            <w:pPr>
              <w:pStyle w:val="13"/>
              <w:spacing w:before="0" w:beforeAutospacing="0" w:after="0" w:afterAutospacing="0"/>
              <w:textAlignment w:val="baseline"/>
              <w:rPr>
                <w:sz w:val="21"/>
                <w:szCs w:val="21"/>
              </w:rPr>
            </w:pPr>
          </w:p>
        </w:tc>
        <w:tc>
          <w:tcPr>
            <w:tcW w:w="846" w:type="dxa"/>
          </w:tcPr>
          <w:p w14:paraId="05C6E56E">
            <w:pPr>
              <w:pStyle w:val="13"/>
              <w:spacing w:before="0" w:beforeAutospacing="0" w:after="0" w:afterAutospacing="0"/>
              <w:textAlignment w:val="baseline"/>
              <w:rPr>
                <w:sz w:val="21"/>
                <w:szCs w:val="21"/>
              </w:rPr>
            </w:pPr>
          </w:p>
        </w:tc>
      </w:tr>
      <w:tr w14:paraId="106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restart"/>
            <w:vAlign w:val="center"/>
          </w:tcPr>
          <w:p w14:paraId="6825FC8D">
            <w:pPr>
              <w:pStyle w:val="13"/>
              <w:spacing w:before="0" w:beforeAutospacing="0" w:after="0" w:afterAutospacing="0"/>
              <w:textAlignment w:val="baseline"/>
              <w:rPr>
                <w:sz w:val="21"/>
                <w:szCs w:val="21"/>
              </w:rPr>
            </w:pPr>
            <w:r>
              <w:rPr>
                <w:rFonts w:hint="eastAsia"/>
                <w:sz w:val="21"/>
                <w:szCs w:val="21"/>
              </w:rPr>
              <w:t>消费维权</w:t>
            </w:r>
          </w:p>
        </w:tc>
        <w:tc>
          <w:tcPr>
            <w:tcW w:w="376" w:type="dxa"/>
          </w:tcPr>
          <w:p w14:paraId="504DD7A5">
            <w:pPr>
              <w:pStyle w:val="13"/>
              <w:spacing w:before="0" w:beforeAutospacing="0" w:after="0" w:afterAutospacing="0"/>
              <w:textAlignment w:val="baseline"/>
              <w:rPr>
                <w:sz w:val="21"/>
                <w:szCs w:val="21"/>
              </w:rPr>
            </w:pPr>
            <w:r>
              <w:rPr>
                <w:rFonts w:hint="eastAsia"/>
                <w:sz w:val="21"/>
                <w:szCs w:val="21"/>
              </w:rPr>
              <w:t>1</w:t>
            </w:r>
          </w:p>
        </w:tc>
        <w:tc>
          <w:tcPr>
            <w:tcW w:w="2796" w:type="dxa"/>
          </w:tcPr>
          <w:p w14:paraId="34129CC6">
            <w:pPr>
              <w:pStyle w:val="13"/>
              <w:spacing w:before="0" w:beforeAutospacing="0" w:after="0" w:afterAutospacing="0"/>
              <w:textAlignment w:val="baseline"/>
              <w:rPr>
                <w:sz w:val="21"/>
                <w:szCs w:val="21"/>
              </w:rPr>
            </w:pPr>
            <w:r>
              <w:rPr>
                <w:rFonts w:hint="eastAsia"/>
                <w:sz w:val="21"/>
                <w:szCs w:val="21"/>
              </w:rPr>
              <w:t>实现市场监管智慧监管与“智慧安宁”平台初步融合，探索形成多部门间便捷的消费投诉转办沟通渠道</w:t>
            </w:r>
          </w:p>
        </w:tc>
        <w:tc>
          <w:tcPr>
            <w:tcW w:w="1374" w:type="dxa"/>
          </w:tcPr>
          <w:p w14:paraId="319FE28C">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3640B20D">
            <w:pPr>
              <w:pStyle w:val="13"/>
              <w:spacing w:before="0" w:beforeAutospacing="0" w:after="0" w:afterAutospacing="0"/>
              <w:textAlignment w:val="baseline"/>
              <w:rPr>
                <w:sz w:val="21"/>
                <w:szCs w:val="21"/>
              </w:rPr>
            </w:pPr>
          </w:p>
        </w:tc>
        <w:tc>
          <w:tcPr>
            <w:tcW w:w="846" w:type="dxa"/>
          </w:tcPr>
          <w:p w14:paraId="17572178">
            <w:pPr>
              <w:pStyle w:val="13"/>
              <w:spacing w:before="0" w:beforeAutospacing="0" w:after="0" w:afterAutospacing="0"/>
              <w:textAlignment w:val="baseline"/>
              <w:rPr>
                <w:sz w:val="21"/>
                <w:szCs w:val="21"/>
              </w:rPr>
            </w:pPr>
          </w:p>
        </w:tc>
      </w:tr>
      <w:tr w14:paraId="0231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Merge w:val="continue"/>
          </w:tcPr>
          <w:p w14:paraId="48DC5FCE">
            <w:pPr>
              <w:pStyle w:val="13"/>
              <w:spacing w:before="0" w:beforeAutospacing="0" w:after="0" w:afterAutospacing="0"/>
              <w:textAlignment w:val="baseline"/>
              <w:rPr>
                <w:sz w:val="21"/>
                <w:szCs w:val="21"/>
              </w:rPr>
            </w:pPr>
          </w:p>
        </w:tc>
        <w:tc>
          <w:tcPr>
            <w:tcW w:w="376" w:type="dxa"/>
          </w:tcPr>
          <w:p w14:paraId="66980886">
            <w:pPr>
              <w:pStyle w:val="13"/>
              <w:spacing w:before="0" w:beforeAutospacing="0" w:after="0" w:afterAutospacing="0"/>
              <w:textAlignment w:val="baseline"/>
              <w:rPr>
                <w:sz w:val="21"/>
                <w:szCs w:val="21"/>
              </w:rPr>
            </w:pPr>
            <w:r>
              <w:rPr>
                <w:rFonts w:hint="eastAsia"/>
                <w:sz w:val="21"/>
                <w:szCs w:val="21"/>
              </w:rPr>
              <w:t>2</w:t>
            </w:r>
          </w:p>
        </w:tc>
        <w:tc>
          <w:tcPr>
            <w:tcW w:w="2796" w:type="dxa"/>
          </w:tcPr>
          <w:p w14:paraId="50A808D7">
            <w:pPr>
              <w:pStyle w:val="13"/>
              <w:spacing w:before="0" w:beforeAutospacing="0" w:after="0" w:afterAutospacing="0"/>
              <w:textAlignment w:val="baseline"/>
              <w:rPr>
                <w:sz w:val="21"/>
                <w:szCs w:val="21"/>
              </w:rPr>
            </w:pPr>
            <w:r>
              <w:rPr>
                <w:rFonts w:hint="eastAsia"/>
                <w:sz w:val="21"/>
                <w:szCs w:val="21"/>
              </w:rPr>
              <w:t>“诉调对接”，引入专业调解员，建立一支人数不少于10消费维权调解队伍，举报案件协调处理率达70%</w:t>
            </w:r>
          </w:p>
        </w:tc>
        <w:tc>
          <w:tcPr>
            <w:tcW w:w="1374" w:type="dxa"/>
          </w:tcPr>
          <w:p w14:paraId="3C32FFEB">
            <w:pPr>
              <w:pStyle w:val="13"/>
              <w:spacing w:before="0" w:beforeAutospacing="0" w:after="0" w:afterAutospacing="0"/>
              <w:textAlignment w:val="baseline"/>
              <w:rPr>
                <w:sz w:val="21"/>
                <w:szCs w:val="21"/>
              </w:rPr>
            </w:pPr>
            <w:r>
              <w:rPr>
                <w:rFonts w:hint="eastAsia"/>
                <w:sz w:val="21"/>
                <w:szCs w:val="21"/>
              </w:rPr>
              <w:t>2025年底</w:t>
            </w:r>
          </w:p>
        </w:tc>
        <w:tc>
          <w:tcPr>
            <w:tcW w:w="1146" w:type="dxa"/>
          </w:tcPr>
          <w:p w14:paraId="6884C587">
            <w:pPr>
              <w:pStyle w:val="13"/>
              <w:spacing w:before="0" w:beforeAutospacing="0" w:after="0" w:afterAutospacing="0"/>
              <w:textAlignment w:val="baseline"/>
              <w:rPr>
                <w:sz w:val="21"/>
                <w:szCs w:val="21"/>
              </w:rPr>
            </w:pPr>
          </w:p>
        </w:tc>
        <w:tc>
          <w:tcPr>
            <w:tcW w:w="846" w:type="dxa"/>
          </w:tcPr>
          <w:p w14:paraId="5B326448">
            <w:pPr>
              <w:pStyle w:val="13"/>
              <w:spacing w:before="0" w:beforeAutospacing="0" w:after="0" w:afterAutospacing="0"/>
              <w:textAlignment w:val="baseline"/>
              <w:rPr>
                <w:sz w:val="21"/>
                <w:szCs w:val="21"/>
              </w:rPr>
            </w:pPr>
          </w:p>
        </w:tc>
      </w:tr>
    </w:tbl>
    <w:p w14:paraId="0275DF43">
      <w:pPr>
        <w:pStyle w:val="13"/>
        <w:shd w:val="clear" w:color="auto" w:fill="FFFFFF"/>
        <w:spacing w:before="0" w:beforeAutospacing="0" w:after="0" w:afterAutospacing="0"/>
        <w:textAlignment w:val="baseline"/>
        <w:outlineLvl w:val="0"/>
        <w:rPr>
          <w:rFonts w:ascii="仿宋_GB2312" w:hAnsi="微软雅黑" w:eastAsia="仿宋_GB2312"/>
          <w:color w:val="000000" w:themeColor="text1"/>
          <w:sz w:val="32"/>
          <w:szCs w:val="32"/>
          <w14:textFill>
            <w14:solidFill>
              <w14:schemeClr w14:val="tx1"/>
            </w14:solidFill>
          </w14:textFill>
        </w:rPr>
      </w:pPr>
    </w:p>
    <w:p w14:paraId="0657DC08">
      <w:pPr>
        <w:pStyle w:val="13"/>
        <w:shd w:val="clear" w:color="auto" w:fill="FFFFFF"/>
        <w:spacing w:before="0" w:beforeAutospacing="0" w:after="0" w:afterAutospacing="0"/>
        <w:ind w:firstLine="640" w:firstLineChars="200"/>
        <w:jc w:val="both"/>
        <w:textAlignment w:val="baseline"/>
        <w:rPr>
          <w:rFonts w:ascii="仿宋_GB2312" w:hAnsi="微软雅黑" w:eastAsia="仿宋_GB2312"/>
          <w:color w:val="000000" w:themeColor="text1"/>
          <w:sz w:val="32"/>
          <w:szCs w:val="32"/>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5C0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AF477">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4AF477">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DD8A">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F1E32"/>
    <w:multiLevelType w:val="multilevel"/>
    <w:tmpl w:val="101F1E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40158B"/>
    <w:multiLevelType w:val="multilevel"/>
    <w:tmpl w:val="2E40158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346E85"/>
    <w:multiLevelType w:val="multilevel"/>
    <w:tmpl w:val="55346E8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04032F"/>
    <w:multiLevelType w:val="multilevel"/>
    <w:tmpl w:val="5A04032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BC47B1"/>
    <w:multiLevelType w:val="multilevel"/>
    <w:tmpl w:val="7ABC47B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4B1DCC"/>
    <w:multiLevelType w:val="multilevel"/>
    <w:tmpl w:val="7C4B1DCC"/>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mZmRmM2RhYmJmYmU0OTY5NjRhMGYwNzFjOWU5M2QifQ=="/>
  </w:docVars>
  <w:rsids>
    <w:rsidRoot w:val="00A179B2"/>
    <w:rsid w:val="00000ACF"/>
    <w:rsid w:val="00014B7B"/>
    <w:rsid w:val="00015DC2"/>
    <w:rsid w:val="00016479"/>
    <w:rsid w:val="0002189A"/>
    <w:rsid w:val="00025AB1"/>
    <w:rsid w:val="000266CC"/>
    <w:rsid w:val="000334FA"/>
    <w:rsid w:val="0003631B"/>
    <w:rsid w:val="00046278"/>
    <w:rsid w:val="00052A49"/>
    <w:rsid w:val="00054302"/>
    <w:rsid w:val="000629E4"/>
    <w:rsid w:val="000653A0"/>
    <w:rsid w:val="000736E7"/>
    <w:rsid w:val="0007473D"/>
    <w:rsid w:val="00075D2B"/>
    <w:rsid w:val="00077552"/>
    <w:rsid w:val="00086263"/>
    <w:rsid w:val="00086B0D"/>
    <w:rsid w:val="000879F4"/>
    <w:rsid w:val="00093B86"/>
    <w:rsid w:val="000960FC"/>
    <w:rsid w:val="00096D7E"/>
    <w:rsid w:val="000A3BD1"/>
    <w:rsid w:val="000A644C"/>
    <w:rsid w:val="000A6A68"/>
    <w:rsid w:val="000A7132"/>
    <w:rsid w:val="000A7B02"/>
    <w:rsid w:val="000A7D8B"/>
    <w:rsid w:val="000B0F6C"/>
    <w:rsid w:val="000B1614"/>
    <w:rsid w:val="000B4755"/>
    <w:rsid w:val="000B71BF"/>
    <w:rsid w:val="000C1AD7"/>
    <w:rsid w:val="000C25FC"/>
    <w:rsid w:val="000C5C9A"/>
    <w:rsid w:val="000D076B"/>
    <w:rsid w:val="000D19A4"/>
    <w:rsid w:val="000D35CF"/>
    <w:rsid w:val="000D395D"/>
    <w:rsid w:val="000D4241"/>
    <w:rsid w:val="000D43E9"/>
    <w:rsid w:val="000D4797"/>
    <w:rsid w:val="000D4798"/>
    <w:rsid w:val="000E0A04"/>
    <w:rsid w:val="000E3379"/>
    <w:rsid w:val="000E3B1A"/>
    <w:rsid w:val="000E56FA"/>
    <w:rsid w:val="000F173B"/>
    <w:rsid w:val="000F42E1"/>
    <w:rsid w:val="000F76AA"/>
    <w:rsid w:val="00100730"/>
    <w:rsid w:val="001010D8"/>
    <w:rsid w:val="001034E8"/>
    <w:rsid w:val="0010441C"/>
    <w:rsid w:val="001156BC"/>
    <w:rsid w:val="00122D20"/>
    <w:rsid w:val="00123153"/>
    <w:rsid w:val="001326EE"/>
    <w:rsid w:val="00137398"/>
    <w:rsid w:val="00142E47"/>
    <w:rsid w:val="00145794"/>
    <w:rsid w:val="00145960"/>
    <w:rsid w:val="00146180"/>
    <w:rsid w:val="001501A3"/>
    <w:rsid w:val="00151EA9"/>
    <w:rsid w:val="00155B45"/>
    <w:rsid w:val="00157181"/>
    <w:rsid w:val="001609D8"/>
    <w:rsid w:val="00161316"/>
    <w:rsid w:val="00167CEF"/>
    <w:rsid w:val="0017234D"/>
    <w:rsid w:val="00176C38"/>
    <w:rsid w:val="00180C7B"/>
    <w:rsid w:val="001828CE"/>
    <w:rsid w:val="001844BA"/>
    <w:rsid w:val="00190662"/>
    <w:rsid w:val="001A207A"/>
    <w:rsid w:val="001B0640"/>
    <w:rsid w:val="001B780D"/>
    <w:rsid w:val="001B7F53"/>
    <w:rsid w:val="001C0587"/>
    <w:rsid w:val="001C1794"/>
    <w:rsid w:val="001C4515"/>
    <w:rsid w:val="001C5E73"/>
    <w:rsid w:val="001C7E75"/>
    <w:rsid w:val="001D1187"/>
    <w:rsid w:val="001D2AA5"/>
    <w:rsid w:val="001D2E64"/>
    <w:rsid w:val="001D441F"/>
    <w:rsid w:val="001D682B"/>
    <w:rsid w:val="001E5A40"/>
    <w:rsid w:val="001E714A"/>
    <w:rsid w:val="001E7CE1"/>
    <w:rsid w:val="002044C7"/>
    <w:rsid w:val="00204BAC"/>
    <w:rsid w:val="002053F1"/>
    <w:rsid w:val="00205E35"/>
    <w:rsid w:val="0021067F"/>
    <w:rsid w:val="00211537"/>
    <w:rsid w:val="00216A4B"/>
    <w:rsid w:val="00222676"/>
    <w:rsid w:val="00223454"/>
    <w:rsid w:val="002403A4"/>
    <w:rsid w:val="0024319A"/>
    <w:rsid w:val="002433B1"/>
    <w:rsid w:val="002460B5"/>
    <w:rsid w:val="0024691C"/>
    <w:rsid w:val="00250CA5"/>
    <w:rsid w:val="002519B8"/>
    <w:rsid w:val="0025632F"/>
    <w:rsid w:val="002607F7"/>
    <w:rsid w:val="002702B0"/>
    <w:rsid w:val="00272D8B"/>
    <w:rsid w:val="002756F6"/>
    <w:rsid w:val="00275CEB"/>
    <w:rsid w:val="002763AE"/>
    <w:rsid w:val="00286435"/>
    <w:rsid w:val="00292478"/>
    <w:rsid w:val="002969B9"/>
    <w:rsid w:val="002B5109"/>
    <w:rsid w:val="002B6C24"/>
    <w:rsid w:val="002B76D1"/>
    <w:rsid w:val="002C37FE"/>
    <w:rsid w:val="002C5CF9"/>
    <w:rsid w:val="002D2B70"/>
    <w:rsid w:val="002D34B5"/>
    <w:rsid w:val="002D719E"/>
    <w:rsid w:val="002E2C4A"/>
    <w:rsid w:val="002E471F"/>
    <w:rsid w:val="002E4DB8"/>
    <w:rsid w:val="002E5605"/>
    <w:rsid w:val="002F172D"/>
    <w:rsid w:val="002F58B3"/>
    <w:rsid w:val="002F6423"/>
    <w:rsid w:val="00300AC3"/>
    <w:rsid w:val="00300B23"/>
    <w:rsid w:val="0030100C"/>
    <w:rsid w:val="003013FC"/>
    <w:rsid w:val="00306E03"/>
    <w:rsid w:val="0030796F"/>
    <w:rsid w:val="003104FB"/>
    <w:rsid w:val="00317C1A"/>
    <w:rsid w:val="00331958"/>
    <w:rsid w:val="0034169F"/>
    <w:rsid w:val="00341FC1"/>
    <w:rsid w:val="00345532"/>
    <w:rsid w:val="003508F6"/>
    <w:rsid w:val="00351A3B"/>
    <w:rsid w:val="00351FD0"/>
    <w:rsid w:val="00353FEB"/>
    <w:rsid w:val="00357D4F"/>
    <w:rsid w:val="003602B4"/>
    <w:rsid w:val="00360E56"/>
    <w:rsid w:val="00360F71"/>
    <w:rsid w:val="00363005"/>
    <w:rsid w:val="00365707"/>
    <w:rsid w:val="003719AC"/>
    <w:rsid w:val="003722F1"/>
    <w:rsid w:val="00372D3B"/>
    <w:rsid w:val="00373758"/>
    <w:rsid w:val="00375091"/>
    <w:rsid w:val="00377F76"/>
    <w:rsid w:val="003809A5"/>
    <w:rsid w:val="003823BC"/>
    <w:rsid w:val="0038585B"/>
    <w:rsid w:val="003877C0"/>
    <w:rsid w:val="00390D9E"/>
    <w:rsid w:val="00391010"/>
    <w:rsid w:val="00391DB8"/>
    <w:rsid w:val="003A3834"/>
    <w:rsid w:val="003B013E"/>
    <w:rsid w:val="003B067E"/>
    <w:rsid w:val="003B0C44"/>
    <w:rsid w:val="003B4A14"/>
    <w:rsid w:val="003B6B36"/>
    <w:rsid w:val="003B7AE8"/>
    <w:rsid w:val="003C2F4A"/>
    <w:rsid w:val="003C3CAB"/>
    <w:rsid w:val="003C55BD"/>
    <w:rsid w:val="003C6F8A"/>
    <w:rsid w:val="003D3BA9"/>
    <w:rsid w:val="003E06BC"/>
    <w:rsid w:val="003E0C1C"/>
    <w:rsid w:val="003E7125"/>
    <w:rsid w:val="003E7C8C"/>
    <w:rsid w:val="003F305B"/>
    <w:rsid w:val="003F3955"/>
    <w:rsid w:val="003F4647"/>
    <w:rsid w:val="003F7756"/>
    <w:rsid w:val="00400435"/>
    <w:rsid w:val="00401C1F"/>
    <w:rsid w:val="00402EA5"/>
    <w:rsid w:val="0040497C"/>
    <w:rsid w:val="00407E49"/>
    <w:rsid w:val="00412770"/>
    <w:rsid w:val="00415BE9"/>
    <w:rsid w:val="00423672"/>
    <w:rsid w:val="00426F43"/>
    <w:rsid w:val="00427C3D"/>
    <w:rsid w:val="00430B46"/>
    <w:rsid w:val="00441FD7"/>
    <w:rsid w:val="00443FB3"/>
    <w:rsid w:val="00444649"/>
    <w:rsid w:val="0045136C"/>
    <w:rsid w:val="0045145A"/>
    <w:rsid w:val="004515B2"/>
    <w:rsid w:val="00453843"/>
    <w:rsid w:val="004576A2"/>
    <w:rsid w:val="0045789D"/>
    <w:rsid w:val="004607BD"/>
    <w:rsid w:val="0046150B"/>
    <w:rsid w:val="00467D6A"/>
    <w:rsid w:val="00474A44"/>
    <w:rsid w:val="0047564B"/>
    <w:rsid w:val="004762F9"/>
    <w:rsid w:val="00476501"/>
    <w:rsid w:val="00480CA0"/>
    <w:rsid w:val="0048337B"/>
    <w:rsid w:val="00485081"/>
    <w:rsid w:val="004852FD"/>
    <w:rsid w:val="0048717A"/>
    <w:rsid w:val="004949B8"/>
    <w:rsid w:val="004A061C"/>
    <w:rsid w:val="004A174B"/>
    <w:rsid w:val="004A6DD5"/>
    <w:rsid w:val="004A6ECE"/>
    <w:rsid w:val="004A71FB"/>
    <w:rsid w:val="004A78A3"/>
    <w:rsid w:val="004B4C2F"/>
    <w:rsid w:val="004B74BF"/>
    <w:rsid w:val="004C25C5"/>
    <w:rsid w:val="004C3DF0"/>
    <w:rsid w:val="004C6E30"/>
    <w:rsid w:val="004C6E56"/>
    <w:rsid w:val="004D4835"/>
    <w:rsid w:val="004D5802"/>
    <w:rsid w:val="004E10F4"/>
    <w:rsid w:val="004E50E2"/>
    <w:rsid w:val="004E683C"/>
    <w:rsid w:val="004E79D2"/>
    <w:rsid w:val="004E7E5B"/>
    <w:rsid w:val="004F2C6F"/>
    <w:rsid w:val="004F4129"/>
    <w:rsid w:val="004F5B0B"/>
    <w:rsid w:val="005022E5"/>
    <w:rsid w:val="0050310E"/>
    <w:rsid w:val="00505853"/>
    <w:rsid w:val="005064E0"/>
    <w:rsid w:val="005113AD"/>
    <w:rsid w:val="0051467F"/>
    <w:rsid w:val="0051579D"/>
    <w:rsid w:val="0051795B"/>
    <w:rsid w:val="00520670"/>
    <w:rsid w:val="005242E8"/>
    <w:rsid w:val="00524785"/>
    <w:rsid w:val="005277C9"/>
    <w:rsid w:val="00530BA2"/>
    <w:rsid w:val="00531C49"/>
    <w:rsid w:val="005321FF"/>
    <w:rsid w:val="0053222F"/>
    <w:rsid w:val="00535978"/>
    <w:rsid w:val="00540E51"/>
    <w:rsid w:val="00546418"/>
    <w:rsid w:val="0054730E"/>
    <w:rsid w:val="0055125A"/>
    <w:rsid w:val="00551283"/>
    <w:rsid w:val="005526B0"/>
    <w:rsid w:val="00552BC5"/>
    <w:rsid w:val="00554513"/>
    <w:rsid w:val="00555B56"/>
    <w:rsid w:val="0056447E"/>
    <w:rsid w:val="0056558A"/>
    <w:rsid w:val="005811B7"/>
    <w:rsid w:val="00581D83"/>
    <w:rsid w:val="00582B60"/>
    <w:rsid w:val="0058341B"/>
    <w:rsid w:val="00583427"/>
    <w:rsid w:val="005868AD"/>
    <w:rsid w:val="0059014D"/>
    <w:rsid w:val="00591F00"/>
    <w:rsid w:val="00596828"/>
    <w:rsid w:val="00597330"/>
    <w:rsid w:val="00597C7E"/>
    <w:rsid w:val="005A2856"/>
    <w:rsid w:val="005A3367"/>
    <w:rsid w:val="005A432A"/>
    <w:rsid w:val="005A48AE"/>
    <w:rsid w:val="005A4E30"/>
    <w:rsid w:val="005A53F1"/>
    <w:rsid w:val="005B04F4"/>
    <w:rsid w:val="005C53E3"/>
    <w:rsid w:val="005D0FB0"/>
    <w:rsid w:val="005D156B"/>
    <w:rsid w:val="005D7050"/>
    <w:rsid w:val="005E0D65"/>
    <w:rsid w:val="005E1520"/>
    <w:rsid w:val="005E2DF4"/>
    <w:rsid w:val="005E4D44"/>
    <w:rsid w:val="005E5240"/>
    <w:rsid w:val="005E536C"/>
    <w:rsid w:val="005E731C"/>
    <w:rsid w:val="005F28A6"/>
    <w:rsid w:val="005F2E61"/>
    <w:rsid w:val="005F3190"/>
    <w:rsid w:val="005F3407"/>
    <w:rsid w:val="005F4EF3"/>
    <w:rsid w:val="005F4F3D"/>
    <w:rsid w:val="006020E0"/>
    <w:rsid w:val="0060498C"/>
    <w:rsid w:val="00604EB0"/>
    <w:rsid w:val="00605329"/>
    <w:rsid w:val="00610504"/>
    <w:rsid w:val="0061442C"/>
    <w:rsid w:val="00614F57"/>
    <w:rsid w:val="00616D3D"/>
    <w:rsid w:val="0062010B"/>
    <w:rsid w:val="006209FF"/>
    <w:rsid w:val="00624652"/>
    <w:rsid w:val="00624DFB"/>
    <w:rsid w:val="006256F8"/>
    <w:rsid w:val="00631DBE"/>
    <w:rsid w:val="00632277"/>
    <w:rsid w:val="0063500A"/>
    <w:rsid w:val="00637D1B"/>
    <w:rsid w:val="006411CF"/>
    <w:rsid w:val="00645642"/>
    <w:rsid w:val="0065109F"/>
    <w:rsid w:val="00653275"/>
    <w:rsid w:val="006558C6"/>
    <w:rsid w:val="00663F4C"/>
    <w:rsid w:val="006661EB"/>
    <w:rsid w:val="00670F4E"/>
    <w:rsid w:val="00671EC4"/>
    <w:rsid w:val="00672C98"/>
    <w:rsid w:val="00673677"/>
    <w:rsid w:val="00676744"/>
    <w:rsid w:val="00676AB0"/>
    <w:rsid w:val="00677C42"/>
    <w:rsid w:val="0068048D"/>
    <w:rsid w:val="00683FE9"/>
    <w:rsid w:val="006876C4"/>
    <w:rsid w:val="00690EA2"/>
    <w:rsid w:val="00692489"/>
    <w:rsid w:val="00693FE9"/>
    <w:rsid w:val="006A37EE"/>
    <w:rsid w:val="006A4EA9"/>
    <w:rsid w:val="006A57BE"/>
    <w:rsid w:val="006B0B32"/>
    <w:rsid w:val="006B1193"/>
    <w:rsid w:val="006B566A"/>
    <w:rsid w:val="006C0FAF"/>
    <w:rsid w:val="006C1008"/>
    <w:rsid w:val="006C3E22"/>
    <w:rsid w:val="006C45C1"/>
    <w:rsid w:val="006C5FD0"/>
    <w:rsid w:val="006C6BC3"/>
    <w:rsid w:val="006C78C8"/>
    <w:rsid w:val="006D1BE2"/>
    <w:rsid w:val="006D5158"/>
    <w:rsid w:val="006D6EF4"/>
    <w:rsid w:val="006E3263"/>
    <w:rsid w:val="006E5FE4"/>
    <w:rsid w:val="006F4413"/>
    <w:rsid w:val="00700C11"/>
    <w:rsid w:val="00700DC7"/>
    <w:rsid w:val="00703B40"/>
    <w:rsid w:val="00706947"/>
    <w:rsid w:val="007100E2"/>
    <w:rsid w:val="00720349"/>
    <w:rsid w:val="00720608"/>
    <w:rsid w:val="007209F3"/>
    <w:rsid w:val="00723F41"/>
    <w:rsid w:val="007266F0"/>
    <w:rsid w:val="00735212"/>
    <w:rsid w:val="00736777"/>
    <w:rsid w:val="00736CFF"/>
    <w:rsid w:val="00742B0C"/>
    <w:rsid w:val="00745CA4"/>
    <w:rsid w:val="007523D9"/>
    <w:rsid w:val="007543D8"/>
    <w:rsid w:val="00756258"/>
    <w:rsid w:val="00767994"/>
    <w:rsid w:val="0077343B"/>
    <w:rsid w:val="00777E01"/>
    <w:rsid w:val="00782BDA"/>
    <w:rsid w:val="00791746"/>
    <w:rsid w:val="00797734"/>
    <w:rsid w:val="007977C1"/>
    <w:rsid w:val="00797F07"/>
    <w:rsid w:val="007A161A"/>
    <w:rsid w:val="007A2A6D"/>
    <w:rsid w:val="007A6F54"/>
    <w:rsid w:val="007A7C7E"/>
    <w:rsid w:val="007B3142"/>
    <w:rsid w:val="007B6981"/>
    <w:rsid w:val="007C1649"/>
    <w:rsid w:val="007C2CFD"/>
    <w:rsid w:val="007C65FC"/>
    <w:rsid w:val="007C674E"/>
    <w:rsid w:val="007D1B9F"/>
    <w:rsid w:val="007D3452"/>
    <w:rsid w:val="007D4583"/>
    <w:rsid w:val="007E51CB"/>
    <w:rsid w:val="007E7129"/>
    <w:rsid w:val="007F1DA4"/>
    <w:rsid w:val="007F4E2F"/>
    <w:rsid w:val="007F6592"/>
    <w:rsid w:val="0080095A"/>
    <w:rsid w:val="00801A01"/>
    <w:rsid w:val="00803CC3"/>
    <w:rsid w:val="008138DD"/>
    <w:rsid w:val="0081798E"/>
    <w:rsid w:val="00821686"/>
    <w:rsid w:val="00821851"/>
    <w:rsid w:val="0082343F"/>
    <w:rsid w:val="008258B5"/>
    <w:rsid w:val="00825E03"/>
    <w:rsid w:val="0082784B"/>
    <w:rsid w:val="00836D62"/>
    <w:rsid w:val="00837442"/>
    <w:rsid w:val="00840197"/>
    <w:rsid w:val="00844B40"/>
    <w:rsid w:val="0084520C"/>
    <w:rsid w:val="00846C91"/>
    <w:rsid w:val="0085199B"/>
    <w:rsid w:val="00851DEB"/>
    <w:rsid w:val="00861057"/>
    <w:rsid w:val="00861E34"/>
    <w:rsid w:val="00862596"/>
    <w:rsid w:val="00862F61"/>
    <w:rsid w:val="00866D4B"/>
    <w:rsid w:val="00867270"/>
    <w:rsid w:val="00870DF6"/>
    <w:rsid w:val="00873680"/>
    <w:rsid w:val="00873C51"/>
    <w:rsid w:val="0088026C"/>
    <w:rsid w:val="00884406"/>
    <w:rsid w:val="00887DD6"/>
    <w:rsid w:val="00890287"/>
    <w:rsid w:val="008919F8"/>
    <w:rsid w:val="00892271"/>
    <w:rsid w:val="00892427"/>
    <w:rsid w:val="00894844"/>
    <w:rsid w:val="008A3535"/>
    <w:rsid w:val="008B2498"/>
    <w:rsid w:val="008B653F"/>
    <w:rsid w:val="008C115A"/>
    <w:rsid w:val="008C1548"/>
    <w:rsid w:val="008C2256"/>
    <w:rsid w:val="008C399C"/>
    <w:rsid w:val="008C629C"/>
    <w:rsid w:val="008D25D0"/>
    <w:rsid w:val="008D7FAD"/>
    <w:rsid w:val="008E5003"/>
    <w:rsid w:val="008F140D"/>
    <w:rsid w:val="0090213A"/>
    <w:rsid w:val="00903194"/>
    <w:rsid w:val="009053C0"/>
    <w:rsid w:val="00905BB5"/>
    <w:rsid w:val="00914593"/>
    <w:rsid w:val="00930C81"/>
    <w:rsid w:val="00932046"/>
    <w:rsid w:val="00932532"/>
    <w:rsid w:val="00933580"/>
    <w:rsid w:val="00934B89"/>
    <w:rsid w:val="00935392"/>
    <w:rsid w:val="009420F7"/>
    <w:rsid w:val="0094485B"/>
    <w:rsid w:val="00944B0B"/>
    <w:rsid w:val="009459C2"/>
    <w:rsid w:val="00947020"/>
    <w:rsid w:val="009474DA"/>
    <w:rsid w:val="009504AA"/>
    <w:rsid w:val="00950E66"/>
    <w:rsid w:val="00951415"/>
    <w:rsid w:val="00955BC1"/>
    <w:rsid w:val="00957863"/>
    <w:rsid w:val="009611B5"/>
    <w:rsid w:val="0096168A"/>
    <w:rsid w:val="00964334"/>
    <w:rsid w:val="00964EBB"/>
    <w:rsid w:val="00964F42"/>
    <w:rsid w:val="009717D5"/>
    <w:rsid w:val="0097270C"/>
    <w:rsid w:val="00973051"/>
    <w:rsid w:val="00973BFD"/>
    <w:rsid w:val="00981243"/>
    <w:rsid w:val="00981A5A"/>
    <w:rsid w:val="00982321"/>
    <w:rsid w:val="009844E2"/>
    <w:rsid w:val="0099074B"/>
    <w:rsid w:val="00991A74"/>
    <w:rsid w:val="00996DD2"/>
    <w:rsid w:val="009975E0"/>
    <w:rsid w:val="0099774D"/>
    <w:rsid w:val="009A0010"/>
    <w:rsid w:val="009A12DE"/>
    <w:rsid w:val="009A13F7"/>
    <w:rsid w:val="009A30B3"/>
    <w:rsid w:val="009A42E3"/>
    <w:rsid w:val="009A75E5"/>
    <w:rsid w:val="009B01FF"/>
    <w:rsid w:val="009B0D37"/>
    <w:rsid w:val="009B0F63"/>
    <w:rsid w:val="009B3AEB"/>
    <w:rsid w:val="009C0AA7"/>
    <w:rsid w:val="009C154A"/>
    <w:rsid w:val="009C721C"/>
    <w:rsid w:val="009C7922"/>
    <w:rsid w:val="009D21A4"/>
    <w:rsid w:val="009D2835"/>
    <w:rsid w:val="009D2E7F"/>
    <w:rsid w:val="009D3FC1"/>
    <w:rsid w:val="009D743A"/>
    <w:rsid w:val="009E1335"/>
    <w:rsid w:val="009E5D1A"/>
    <w:rsid w:val="009E6387"/>
    <w:rsid w:val="009E6AD2"/>
    <w:rsid w:val="009F0A52"/>
    <w:rsid w:val="009F4B32"/>
    <w:rsid w:val="00A04D16"/>
    <w:rsid w:val="00A05A6D"/>
    <w:rsid w:val="00A1015B"/>
    <w:rsid w:val="00A11578"/>
    <w:rsid w:val="00A1194B"/>
    <w:rsid w:val="00A179B2"/>
    <w:rsid w:val="00A20D45"/>
    <w:rsid w:val="00A247F4"/>
    <w:rsid w:val="00A2712B"/>
    <w:rsid w:val="00A27359"/>
    <w:rsid w:val="00A27705"/>
    <w:rsid w:val="00A34688"/>
    <w:rsid w:val="00A409F9"/>
    <w:rsid w:val="00A41558"/>
    <w:rsid w:val="00A41C4F"/>
    <w:rsid w:val="00A435BD"/>
    <w:rsid w:val="00A43ACB"/>
    <w:rsid w:val="00A526D3"/>
    <w:rsid w:val="00A6013A"/>
    <w:rsid w:val="00A61057"/>
    <w:rsid w:val="00A62B0B"/>
    <w:rsid w:val="00A63B60"/>
    <w:rsid w:val="00A67A1E"/>
    <w:rsid w:val="00A7059F"/>
    <w:rsid w:val="00A72082"/>
    <w:rsid w:val="00A74FA3"/>
    <w:rsid w:val="00A856BE"/>
    <w:rsid w:val="00A915B0"/>
    <w:rsid w:val="00A91784"/>
    <w:rsid w:val="00AB546C"/>
    <w:rsid w:val="00AC7F50"/>
    <w:rsid w:val="00AD0665"/>
    <w:rsid w:val="00AD68C5"/>
    <w:rsid w:val="00AE31A4"/>
    <w:rsid w:val="00AF0040"/>
    <w:rsid w:val="00AF5672"/>
    <w:rsid w:val="00AF666A"/>
    <w:rsid w:val="00AF6994"/>
    <w:rsid w:val="00B123A2"/>
    <w:rsid w:val="00B140CF"/>
    <w:rsid w:val="00B145D1"/>
    <w:rsid w:val="00B15ABC"/>
    <w:rsid w:val="00B25DB8"/>
    <w:rsid w:val="00B3092B"/>
    <w:rsid w:val="00B309FD"/>
    <w:rsid w:val="00B33C83"/>
    <w:rsid w:val="00B349A2"/>
    <w:rsid w:val="00B467B1"/>
    <w:rsid w:val="00B47122"/>
    <w:rsid w:val="00B55EC4"/>
    <w:rsid w:val="00B60DB2"/>
    <w:rsid w:val="00B614FE"/>
    <w:rsid w:val="00B6333E"/>
    <w:rsid w:val="00B63F06"/>
    <w:rsid w:val="00B63F74"/>
    <w:rsid w:val="00B65369"/>
    <w:rsid w:val="00B72F57"/>
    <w:rsid w:val="00B75873"/>
    <w:rsid w:val="00B76626"/>
    <w:rsid w:val="00B7741D"/>
    <w:rsid w:val="00B8069C"/>
    <w:rsid w:val="00B825BD"/>
    <w:rsid w:val="00B82759"/>
    <w:rsid w:val="00B847D5"/>
    <w:rsid w:val="00B90A1C"/>
    <w:rsid w:val="00B911AF"/>
    <w:rsid w:val="00BA27C6"/>
    <w:rsid w:val="00BA35E7"/>
    <w:rsid w:val="00BA6FE3"/>
    <w:rsid w:val="00BB4B7D"/>
    <w:rsid w:val="00BD0F2A"/>
    <w:rsid w:val="00BE33B0"/>
    <w:rsid w:val="00BE55B9"/>
    <w:rsid w:val="00BE7161"/>
    <w:rsid w:val="00BF3B82"/>
    <w:rsid w:val="00BF5A2C"/>
    <w:rsid w:val="00BF7BC3"/>
    <w:rsid w:val="00C027BC"/>
    <w:rsid w:val="00C0300A"/>
    <w:rsid w:val="00C0548B"/>
    <w:rsid w:val="00C054B7"/>
    <w:rsid w:val="00C064DD"/>
    <w:rsid w:val="00C10552"/>
    <w:rsid w:val="00C10F9C"/>
    <w:rsid w:val="00C15026"/>
    <w:rsid w:val="00C15BEF"/>
    <w:rsid w:val="00C168A8"/>
    <w:rsid w:val="00C17753"/>
    <w:rsid w:val="00C21B60"/>
    <w:rsid w:val="00C26A27"/>
    <w:rsid w:val="00C309F1"/>
    <w:rsid w:val="00C35AE6"/>
    <w:rsid w:val="00C37D64"/>
    <w:rsid w:val="00C37F9B"/>
    <w:rsid w:val="00C43EA2"/>
    <w:rsid w:val="00C4461B"/>
    <w:rsid w:val="00C446B3"/>
    <w:rsid w:val="00C45CE2"/>
    <w:rsid w:val="00C47B84"/>
    <w:rsid w:val="00C52899"/>
    <w:rsid w:val="00C54A43"/>
    <w:rsid w:val="00C562FB"/>
    <w:rsid w:val="00C57007"/>
    <w:rsid w:val="00C572B8"/>
    <w:rsid w:val="00C57453"/>
    <w:rsid w:val="00C662FF"/>
    <w:rsid w:val="00C670E5"/>
    <w:rsid w:val="00C714AF"/>
    <w:rsid w:val="00C73C6A"/>
    <w:rsid w:val="00C81AEC"/>
    <w:rsid w:val="00C83AA9"/>
    <w:rsid w:val="00C83E63"/>
    <w:rsid w:val="00C91C5E"/>
    <w:rsid w:val="00C92D04"/>
    <w:rsid w:val="00C943D2"/>
    <w:rsid w:val="00C95825"/>
    <w:rsid w:val="00CA169D"/>
    <w:rsid w:val="00CA29E5"/>
    <w:rsid w:val="00CA35AE"/>
    <w:rsid w:val="00CB1057"/>
    <w:rsid w:val="00CB265F"/>
    <w:rsid w:val="00CB3304"/>
    <w:rsid w:val="00CC6647"/>
    <w:rsid w:val="00CD00A6"/>
    <w:rsid w:val="00CD2D53"/>
    <w:rsid w:val="00CD69B2"/>
    <w:rsid w:val="00CE2C73"/>
    <w:rsid w:val="00CE7D27"/>
    <w:rsid w:val="00CF3906"/>
    <w:rsid w:val="00D00904"/>
    <w:rsid w:val="00D02EF8"/>
    <w:rsid w:val="00D0468D"/>
    <w:rsid w:val="00D04E6E"/>
    <w:rsid w:val="00D074DE"/>
    <w:rsid w:val="00D11006"/>
    <w:rsid w:val="00D13683"/>
    <w:rsid w:val="00D14CB0"/>
    <w:rsid w:val="00D159FC"/>
    <w:rsid w:val="00D16C16"/>
    <w:rsid w:val="00D1772F"/>
    <w:rsid w:val="00D22F3E"/>
    <w:rsid w:val="00D24EFF"/>
    <w:rsid w:val="00D32F55"/>
    <w:rsid w:val="00D3389B"/>
    <w:rsid w:val="00D34481"/>
    <w:rsid w:val="00D37B78"/>
    <w:rsid w:val="00D42BE7"/>
    <w:rsid w:val="00D43DA6"/>
    <w:rsid w:val="00D533DE"/>
    <w:rsid w:val="00D53436"/>
    <w:rsid w:val="00D57A5E"/>
    <w:rsid w:val="00D637D9"/>
    <w:rsid w:val="00D653CF"/>
    <w:rsid w:val="00D676A4"/>
    <w:rsid w:val="00D71CDD"/>
    <w:rsid w:val="00D73B8D"/>
    <w:rsid w:val="00D742EF"/>
    <w:rsid w:val="00D75579"/>
    <w:rsid w:val="00D8182C"/>
    <w:rsid w:val="00D82400"/>
    <w:rsid w:val="00D857E5"/>
    <w:rsid w:val="00D90B1A"/>
    <w:rsid w:val="00D93696"/>
    <w:rsid w:val="00D97EED"/>
    <w:rsid w:val="00DA0CBD"/>
    <w:rsid w:val="00DA18A2"/>
    <w:rsid w:val="00DA4E52"/>
    <w:rsid w:val="00DA5A52"/>
    <w:rsid w:val="00DB09C0"/>
    <w:rsid w:val="00DB0ED4"/>
    <w:rsid w:val="00DC0886"/>
    <w:rsid w:val="00DC344C"/>
    <w:rsid w:val="00DC3619"/>
    <w:rsid w:val="00DD170C"/>
    <w:rsid w:val="00DD22A0"/>
    <w:rsid w:val="00DD26A0"/>
    <w:rsid w:val="00DD5C31"/>
    <w:rsid w:val="00DE0091"/>
    <w:rsid w:val="00DE4220"/>
    <w:rsid w:val="00DE6692"/>
    <w:rsid w:val="00DE73C4"/>
    <w:rsid w:val="00DF43D6"/>
    <w:rsid w:val="00E021F4"/>
    <w:rsid w:val="00E0520A"/>
    <w:rsid w:val="00E07D7B"/>
    <w:rsid w:val="00E13F0A"/>
    <w:rsid w:val="00E165D7"/>
    <w:rsid w:val="00E24C24"/>
    <w:rsid w:val="00E26377"/>
    <w:rsid w:val="00E33703"/>
    <w:rsid w:val="00E337A3"/>
    <w:rsid w:val="00E40C38"/>
    <w:rsid w:val="00E444FF"/>
    <w:rsid w:val="00E453C0"/>
    <w:rsid w:val="00E46AF7"/>
    <w:rsid w:val="00E50536"/>
    <w:rsid w:val="00E51946"/>
    <w:rsid w:val="00E528FA"/>
    <w:rsid w:val="00E534BB"/>
    <w:rsid w:val="00E55A44"/>
    <w:rsid w:val="00E60179"/>
    <w:rsid w:val="00E66C03"/>
    <w:rsid w:val="00E85834"/>
    <w:rsid w:val="00E862BF"/>
    <w:rsid w:val="00E901B1"/>
    <w:rsid w:val="00E9031A"/>
    <w:rsid w:val="00E92364"/>
    <w:rsid w:val="00E9463A"/>
    <w:rsid w:val="00E9560C"/>
    <w:rsid w:val="00EA173C"/>
    <w:rsid w:val="00EA376B"/>
    <w:rsid w:val="00EA498E"/>
    <w:rsid w:val="00EA6428"/>
    <w:rsid w:val="00EB45E3"/>
    <w:rsid w:val="00EB5881"/>
    <w:rsid w:val="00EB66DD"/>
    <w:rsid w:val="00EC079F"/>
    <w:rsid w:val="00ED1426"/>
    <w:rsid w:val="00ED2A83"/>
    <w:rsid w:val="00EE22F7"/>
    <w:rsid w:val="00EE3737"/>
    <w:rsid w:val="00EF3513"/>
    <w:rsid w:val="00EF66C3"/>
    <w:rsid w:val="00EF7541"/>
    <w:rsid w:val="00EF797F"/>
    <w:rsid w:val="00F001EF"/>
    <w:rsid w:val="00F020FC"/>
    <w:rsid w:val="00F04B7D"/>
    <w:rsid w:val="00F051FC"/>
    <w:rsid w:val="00F05672"/>
    <w:rsid w:val="00F0595F"/>
    <w:rsid w:val="00F068EC"/>
    <w:rsid w:val="00F16365"/>
    <w:rsid w:val="00F1637E"/>
    <w:rsid w:val="00F201EE"/>
    <w:rsid w:val="00F22EE8"/>
    <w:rsid w:val="00F233FD"/>
    <w:rsid w:val="00F2685B"/>
    <w:rsid w:val="00F3126C"/>
    <w:rsid w:val="00F34F0A"/>
    <w:rsid w:val="00F355D3"/>
    <w:rsid w:val="00F409E8"/>
    <w:rsid w:val="00F43F5F"/>
    <w:rsid w:val="00F470CC"/>
    <w:rsid w:val="00F52685"/>
    <w:rsid w:val="00F53111"/>
    <w:rsid w:val="00F5367A"/>
    <w:rsid w:val="00F570E8"/>
    <w:rsid w:val="00F6387A"/>
    <w:rsid w:val="00F72860"/>
    <w:rsid w:val="00F73CE0"/>
    <w:rsid w:val="00F77E43"/>
    <w:rsid w:val="00F80134"/>
    <w:rsid w:val="00F80467"/>
    <w:rsid w:val="00F80BFF"/>
    <w:rsid w:val="00F84C12"/>
    <w:rsid w:val="00F91491"/>
    <w:rsid w:val="00F92EF5"/>
    <w:rsid w:val="00F957D1"/>
    <w:rsid w:val="00FA116E"/>
    <w:rsid w:val="00FA4D5D"/>
    <w:rsid w:val="00FA6844"/>
    <w:rsid w:val="00FB0329"/>
    <w:rsid w:val="00FB68A6"/>
    <w:rsid w:val="00FC215B"/>
    <w:rsid w:val="00FC3902"/>
    <w:rsid w:val="00FC5E6F"/>
    <w:rsid w:val="00FD36F1"/>
    <w:rsid w:val="00FD501F"/>
    <w:rsid w:val="00FE1A35"/>
    <w:rsid w:val="00FE7770"/>
    <w:rsid w:val="00FF0BB3"/>
    <w:rsid w:val="00FF1563"/>
    <w:rsid w:val="00FF4637"/>
    <w:rsid w:val="00FF7181"/>
    <w:rsid w:val="00FF77F1"/>
    <w:rsid w:val="09EA2570"/>
    <w:rsid w:val="0D376013"/>
    <w:rsid w:val="120D54CF"/>
    <w:rsid w:val="27A6458F"/>
    <w:rsid w:val="29F87446"/>
    <w:rsid w:val="2C0948A9"/>
    <w:rsid w:val="36B20A98"/>
    <w:rsid w:val="44091C93"/>
    <w:rsid w:val="4A746BE4"/>
    <w:rsid w:val="4D906AB6"/>
    <w:rsid w:val="542E4700"/>
    <w:rsid w:val="6D2E7A45"/>
    <w:rsid w:val="6EAD136A"/>
    <w:rsid w:val="7AF53EE8"/>
    <w:rsid w:val="7E52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3"/>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Plain Text"/>
    <w:basedOn w:val="1"/>
    <w:link w:val="33"/>
    <w:unhideWhenUsed/>
    <w:qFormat/>
    <w:uiPriority w:val="99"/>
    <w:rPr>
      <w:rFonts w:hAnsi="Courier New" w:cs="Courier New" w:asciiTheme="minorEastAsia"/>
    </w:rPr>
  </w:style>
  <w:style w:type="paragraph" w:styleId="7">
    <w:name w:val="Body Text Indent 2"/>
    <w:basedOn w:val="1"/>
    <w:link w:val="27"/>
    <w:qFormat/>
    <w:uiPriority w:val="99"/>
    <w:pPr>
      <w:ind w:firstLine="620" w:firstLineChars="200"/>
    </w:pPr>
    <w:rPr>
      <w:szCs w:val="24"/>
    </w:r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jc w:val="center"/>
    </w:p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4"/>
    <w:next w:val="4"/>
    <w:link w:val="3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2 字符"/>
    <w:basedOn w:val="17"/>
    <w:link w:val="2"/>
    <w:semiHidden/>
    <w:qFormat/>
    <w:uiPriority w:val="9"/>
    <w:rPr>
      <w:rFonts w:asciiTheme="majorHAnsi" w:hAnsiTheme="majorHAnsi" w:eastAsiaTheme="majorEastAsia" w:cstheme="majorBidi"/>
      <w:b/>
      <w:bCs/>
      <w:kern w:val="2"/>
      <w:sz w:val="32"/>
      <w:szCs w:val="32"/>
    </w:rPr>
  </w:style>
  <w:style w:type="character" w:customStyle="1" w:styleId="23">
    <w:name w:val="标题 3 字符"/>
    <w:basedOn w:val="17"/>
    <w:link w:val="3"/>
    <w:qFormat/>
    <w:uiPriority w:val="9"/>
    <w:rPr>
      <w:rFonts w:ascii="宋体" w:hAnsi="宋体" w:eastAsia="宋体" w:cs="宋体"/>
      <w:b/>
      <w:bCs/>
      <w:kern w:val="0"/>
      <w:sz w:val="27"/>
      <w:szCs w:val="27"/>
    </w:rPr>
  </w:style>
  <w:style w:type="character" w:customStyle="1" w:styleId="24">
    <w:name w:val="apple-converted-space"/>
    <w:basedOn w:val="17"/>
    <w:qFormat/>
    <w:uiPriority w:val="0"/>
  </w:style>
  <w:style w:type="character" w:customStyle="1" w:styleId="25">
    <w:name w:val="页眉 字符"/>
    <w:basedOn w:val="17"/>
    <w:link w:val="10"/>
    <w:uiPriority w:val="99"/>
    <w:rPr>
      <w:kern w:val="2"/>
      <w:sz w:val="18"/>
      <w:szCs w:val="18"/>
    </w:rPr>
  </w:style>
  <w:style w:type="character" w:customStyle="1" w:styleId="26">
    <w:name w:val="页脚 字符"/>
    <w:basedOn w:val="17"/>
    <w:link w:val="9"/>
    <w:uiPriority w:val="99"/>
    <w:rPr>
      <w:kern w:val="2"/>
      <w:sz w:val="18"/>
      <w:szCs w:val="18"/>
    </w:rPr>
  </w:style>
  <w:style w:type="character" w:customStyle="1" w:styleId="27">
    <w:name w:val="正文文本缩进 2 字符"/>
    <w:basedOn w:val="17"/>
    <w:link w:val="7"/>
    <w:uiPriority w:val="99"/>
    <w:rPr>
      <w:kern w:val="2"/>
      <w:sz w:val="21"/>
      <w:szCs w:val="24"/>
    </w:rPr>
  </w:style>
  <w:style w:type="paragraph" w:customStyle="1" w:styleId="28">
    <w:name w:val="BodyText"/>
    <w:basedOn w:val="1"/>
    <w:qFormat/>
    <w:uiPriority w:val="0"/>
    <w:pPr>
      <w:jc w:val="center"/>
    </w:pPr>
    <w:rPr>
      <w:sz w:val="48"/>
    </w:rPr>
  </w:style>
  <w:style w:type="character" w:customStyle="1" w:styleId="29">
    <w:name w:val="批注文字 字符"/>
    <w:basedOn w:val="17"/>
    <w:link w:val="4"/>
    <w:qFormat/>
    <w:uiPriority w:val="99"/>
    <w:rPr>
      <w:kern w:val="2"/>
      <w:sz w:val="21"/>
      <w:szCs w:val="22"/>
    </w:rPr>
  </w:style>
  <w:style w:type="character" w:customStyle="1" w:styleId="30">
    <w:name w:val="批注主题 字符"/>
    <w:basedOn w:val="29"/>
    <w:link w:val="14"/>
    <w:semiHidden/>
    <w:uiPriority w:val="99"/>
    <w:rPr>
      <w:b/>
      <w:bCs/>
      <w:kern w:val="2"/>
      <w:sz w:val="21"/>
      <w:szCs w:val="22"/>
    </w:rPr>
  </w:style>
  <w:style w:type="character" w:customStyle="1" w:styleId="31">
    <w:name w:val="批注框文本 字符"/>
    <w:basedOn w:val="17"/>
    <w:link w:val="8"/>
    <w:semiHidden/>
    <w:uiPriority w:val="99"/>
    <w:rPr>
      <w:kern w:val="2"/>
      <w:sz w:val="18"/>
      <w:szCs w:val="18"/>
    </w:rPr>
  </w:style>
  <w:style w:type="paragraph" w:styleId="32">
    <w:name w:val="List Paragraph"/>
    <w:basedOn w:val="1"/>
    <w:uiPriority w:val="99"/>
    <w:pPr>
      <w:ind w:firstLine="420" w:firstLineChars="200"/>
    </w:pPr>
  </w:style>
  <w:style w:type="character" w:customStyle="1" w:styleId="33">
    <w:name w:val="纯文本 字符"/>
    <w:basedOn w:val="17"/>
    <w:link w:val="6"/>
    <w:uiPriority w:val="99"/>
    <w:rPr>
      <w:rFonts w:hAnsi="Courier New" w:cs="Courier New" w:asciiTheme="minorEastAsia"/>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7A26A9-CA06-436F-A6BA-E189A09D3BBC}">
  <ds:schemaRefs/>
</ds:datastoreItem>
</file>

<file path=docProps/app.xml><?xml version="1.0" encoding="utf-8"?>
<Properties xmlns="http://schemas.openxmlformats.org/officeDocument/2006/extended-properties" xmlns:vt="http://schemas.openxmlformats.org/officeDocument/2006/docPropsVTypes">
  <Template>Normal</Template>
  <Pages>54</Pages>
  <Words>27479</Words>
  <Characters>28017</Characters>
  <Lines>219</Lines>
  <Paragraphs>61</Paragraphs>
  <TotalTime>43</TotalTime>
  <ScaleCrop>false</ScaleCrop>
  <LinksUpToDate>false</LinksUpToDate>
  <CharactersWithSpaces>28106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2021-01-22T08:24:00Z</dcterms:created>
  <dc:creator>颖 焦</dc:creator>
  <cp:lastModifiedBy>吕芮莹</cp:lastModifiedBy>
  <cp:lastPrinted>2021-02-04T06:22:00Z</cp:lastPrinted>
  <dcterms:modified xsi:type="dcterms:W3CDTF">2024-10-10T08:14:35Z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8EC39940407248F885B57CBD7BD7531E_12</vt:lpwstr>
  </property>
</Properties>
</file>