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2"/>
          <w:sz w:val="44"/>
          <w:szCs w:val="44"/>
          <w:u w:val="none"/>
          <w:lang w:val="en-US" w:eastAsia="zh-CN" w:bidi="ar-SA"/>
        </w:rPr>
      </w:pPr>
      <w:r>
        <w:rPr>
          <w:rFonts w:hint="eastAsia" w:ascii="方正小标宋简体" w:hAnsi="方正小标宋简体" w:eastAsia="方正小标宋简体" w:cs="方正小标宋简体"/>
          <w:b w:val="0"/>
          <w:bCs w:val="0"/>
          <w:kern w:val="2"/>
          <w:sz w:val="44"/>
          <w:szCs w:val="44"/>
          <w:u w:val="none"/>
          <w:lang w:val="en-US" w:eastAsia="zh-CN" w:bidi="ar-SA"/>
        </w:rPr>
        <w:t>安宁市农业用水价格</w:t>
      </w:r>
      <w:r>
        <w:rPr>
          <w:rFonts w:hint="eastAsia" w:ascii="方正小标宋简体" w:hAnsi="方正小标宋简体" w:eastAsia="方正小标宋简体" w:cs="方正小标宋简体"/>
          <w:b w:val="0"/>
          <w:bCs w:val="0"/>
          <w:kern w:val="2"/>
          <w:sz w:val="44"/>
          <w:szCs w:val="44"/>
          <w:u w:val="none"/>
          <w:lang w:val="en-US" w:eastAsia="zh-CN" w:bidi="ar-SA"/>
        </w:rPr>
        <w:t>指导意见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Cs/>
          <w:sz w:val="32"/>
          <w:szCs w:val="32"/>
        </w:rPr>
      </w:pPr>
      <w:bookmarkStart w:id="0" w:name="_GoBack"/>
      <w:r>
        <w:rPr>
          <w:rFonts w:hint="eastAsia" w:ascii="仿宋_GB2312" w:hAnsi="仿宋_GB2312" w:eastAsia="仿宋_GB2312" w:cs="仿宋_GB2312"/>
          <w:sz w:val="32"/>
          <w:szCs w:val="32"/>
          <w:lang w:val="en-US" w:eastAsia="zh-CN"/>
        </w:rPr>
        <w:t>（征求意见稿）</w:t>
      </w:r>
    </w:p>
    <w:bookmarkEnd w:id="0"/>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按照《国务院办公厅关于推进农业水价综合改革的意见》（国办〔2016〕2号）农业水价改革的总体目标：建立健全合理反映供水成本、有利于节水和农田水利体制机制创新、与投融资体制相适应的农业水价形成机制；农业用水价格总体达到运行维护成本水平，农业用水总量和定额管理普遍实行，可持续的精准补贴和节水奖励机制基本建立，先进适用的节水技术措施普遍运用，农业种植结构实现优化调整，促进农业用水方式由粗放式向集约化转变。依据</w:t>
      </w:r>
      <w:r>
        <w:rPr>
          <w:rFonts w:hint="default" w:ascii="Times New Roman" w:hAnsi="Times New Roman" w:eastAsia="仿宋_GB2312" w:cs="Times New Roman"/>
          <w:sz w:val="32"/>
          <w:szCs w:val="32"/>
        </w:rPr>
        <w:t>《云南省物价局 云南省水利厅关于进一步健全农业水价形成机制的通知》（云价价格〔2017〕156号），制定农业水价要综合考虑供水成本、运行维护费用、水资源稀缺程度、农户承受能力、补贴机制建立等因素，合理测算并制定农业供水价格。把握农业用水价格调整幅度和节奏，可以分步提高到运行维护成本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云南省人民政府办公厅关于加快推进农业水价综合改革的实施意见》（云政办发〔2016〕81号），大中型灌区骨干工程农业水价至少达到运行维护费用水平，力争达到供水成本水平；大中型灌区末级渠系和小型灌区的农业用水价格达到供水成本水平；其他灌区要加快完善水利设施，逐步实现成本定价</w:t>
      </w:r>
      <w:r>
        <w:rPr>
          <w:rFonts w:hint="default" w:ascii="Times New Roman" w:hAnsi="Times New Roman" w:eastAsia="仿宋_GB2312" w:cs="Times New Roman"/>
          <w:sz w:val="32"/>
          <w:szCs w:val="32"/>
          <w:lang w:val="en-US" w:eastAsia="zh-CN"/>
        </w:rPr>
        <w:t>等相关要求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安宁市水务局组织对安宁市农业用水成本进行了测算，安宁市发展和改革局对安宁市水务局提交的农业水价测算成本情况进行了核定，结合安宁市实际，</w:t>
      </w:r>
      <w:r>
        <w:rPr>
          <w:rFonts w:hint="default" w:ascii="Times New Roman" w:hAnsi="Times New Roman" w:eastAsia="仿宋_GB2312" w:cs="Times New Roman"/>
          <w:sz w:val="32"/>
          <w:szCs w:val="32"/>
        </w:rPr>
        <w:t>拟提出以下农业水价</w:t>
      </w:r>
      <w:r>
        <w:rPr>
          <w:rFonts w:hint="default" w:ascii="Times New Roman" w:hAnsi="Times New Roman" w:eastAsia="仿宋_GB2312" w:cs="Times New Roman"/>
          <w:sz w:val="32"/>
          <w:szCs w:val="32"/>
          <w:lang w:val="en-US" w:eastAsia="zh-CN"/>
        </w:rPr>
        <w:t>改革</w:t>
      </w:r>
      <w:r>
        <w:rPr>
          <w:rFonts w:hint="default" w:ascii="Times New Roman" w:hAnsi="Times New Roman" w:eastAsia="仿宋_GB2312" w:cs="Times New Roman"/>
          <w:sz w:val="32"/>
          <w:szCs w:val="32"/>
        </w:rPr>
        <w:t>方案：</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eastAsia" w:ascii="黑体" w:hAnsi="黑体" w:eastAsia="黑体" w:cs="黑体"/>
          <w:b w:val="0"/>
          <w:bCs w:val="0"/>
          <w:sz w:val="32"/>
          <w:szCs w:val="32"/>
          <w:lang w:val="en-US" w:eastAsia="zh-CN"/>
        </w:rPr>
        <w:t>一、农业用水</w:t>
      </w:r>
      <w:r>
        <w:rPr>
          <w:rFonts w:hint="eastAsia" w:ascii="黑体" w:hAnsi="黑体" w:eastAsia="黑体" w:cs="黑体"/>
          <w:b w:val="0"/>
          <w:bCs w:val="0"/>
          <w:sz w:val="32"/>
          <w:szCs w:val="32"/>
        </w:rPr>
        <w:t>供水</w:t>
      </w:r>
      <w:r>
        <w:rPr>
          <w:rFonts w:hint="eastAsia" w:ascii="黑体" w:hAnsi="黑体" w:eastAsia="黑体" w:cs="黑体"/>
          <w:b w:val="0"/>
          <w:bCs w:val="0"/>
          <w:sz w:val="32"/>
          <w:szCs w:val="32"/>
          <w:lang w:val="en-US" w:eastAsia="zh-CN"/>
        </w:rPr>
        <w:t xml:space="preserve">成本构成     </w:t>
      </w:r>
      <w:r>
        <w:rPr>
          <w:rFonts w:hint="default" w:ascii="Times New Roman" w:hAnsi="Times New Roman" w:eastAsia="仿宋_GB2312"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供水成本是指农业供水生产过程中正常发生的运行维护费、财务费用、固定资产折旧费、其他直接支出等费用构成；运行维护费由人工费、材料费、维修费构成。</w:t>
      </w:r>
    </w:p>
    <w:p>
      <w:pPr>
        <w:keepNext w:val="0"/>
        <w:keepLines w:val="0"/>
        <w:pageBreakBefore w:val="0"/>
        <w:widowControl w:val="0"/>
        <w:numPr>
          <w:ilvl w:val="0"/>
          <w:numId w:val="1"/>
        </w:numPr>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固定资产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水源工程</w:t>
      </w:r>
      <w:r>
        <w:rPr>
          <w:rFonts w:hint="default" w:ascii="Times New Roman" w:hAnsi="Times New Roman" w:eastAsia="仿宋_GB2312" w:cs="Times New Roman"/>
          <w:sz w:val="32"/>
          <w:szCs w:val="32"/>
        </w:rPr>
        <w:t>小（1）型水库每座</w:t>
      </w:r>
      <w:r>
        <w:rPr>
          <w:rFonts w:hint="default" w:ascii="Times New Roman" w:hAnsi="Times New Roman" w:eastAsia="仿宋_GB2312" w:cs="Times New Roman"/>
          <w:sz w:val="32"/>
          <w:szCs w:val="32"/>
          <w:lang w:eastAsia="zh-CN"/>
        </w:rPr>
        <w:t>投资按</w:t>
      </w:r>
      <w:r>
        <w:rPr>
          <w:rFonts w:hint="default"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计</w:t>
      </w:r>
      <w:r>
        <w:rPr>
          <w:rFonts w:hint="default" w:ascii="Times New Roman" w:hAnsi="Times New Roman" w:eastAsia="仿宋_GB2312" w:cs="Times New Roman"/>
          <w:sz w:val="32"/>
          <w:szCs w:val="32"/>
        </w:rPr>
        <w:t>，小（2）型水库每座</w:t>
      </w:r>
      <w:r>
        <w:rPr>
          <w:rFonts w:hint="default" w:ascii="Times New Roman" w:hAnsi="Times New Roman" w:eastAsia="仿宋_GB2312" w:cs="Times New Roman"/>
          <w:sz w:val="32"/>
          <w:szCs w:val="32"/>
          <w:lang w:eastAsia="zh-CN"/>
        </w:rPr>
        <w:t>投资按</w:t>
      </w:r>
      <w:r>
        <w:rPr>
          <w:rFonts w:hint="default" w:ascii="Times New Roman" w:hAnsi="Times New Roman" w:eastAsia="仿宋_GB2312" w:cs="Times New Roman"/>
          <w:sz w:val="32"/>
          <w:szCs w:val="32"/>
          <w:lang w:val="en-US" w:eastAsia="zh-CN"/>
        </w:rPr>
        <w:t>120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计；引（输）水及田间工程投资根据各灌区的实际情况计算了部分资金；</w:t>
      </w:r>
    </w:p>
    <w:p>
      <w:pPr>
        <w:keepNext w:val="0"/>
        <w:keepLines w:val="0"/>
        <w:pageBreakBefore w:val="0"/>
        <w:widowControl w:val="0"/>
        <w:numPr>
          <w:ilvl w:val="0"/>
          <w:numId w:val="1"/>
        </w:numPr>
        <w:kinsoku/>
        <w:wordWrap/>
        <w:overflowPunct/>
        <w:topLinePunct w:val="0"/>
        <w:autoSpaceDE/>
        <w:autoSpaceDN/>
        <w:bidi w:val="0"/>
        <w:adjustRightIn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维护修理费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按固定资产的2.25%计</w:t>
      </w:r>
      <w:r>
        <w:rPr>
          <w:rFonts w:hint="default" w:ascii="Times New Roman" w:hAnsi="Times New Roman" w:eastAsia="仿宋_GB2312" w:cs="Times New Roman"/>
          <w:sz w:val="32"/>
          <w:szCs w:val="32"/>
          <w:lang w:eastAsia="zh-CN"/>
        </w:rPr>
        <w:t>，实际情况是每年由政府安排资金进行维护，</w:t>
      </w:r>
      <w:r>
        <w:rPr>
          <w:rFonts w:hint="default" w:ascii="Times New Roman" w:hAnsi="Times New Roman" w:eastAsia="仿宋_GB2312" w:cs="Times New Roman"/>
          <w:sz w:val="32"/>
          <w:szCs w:val="32"/>
          <w:lang w:val="en-US" w:eastAsia="zh-CN"/>
        </w:rPr>
        <w:t>安宁市没有计算该项费用</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职工薪酬：小型水库均由安宁市农林水利有限公司负责管理，管理人员工资及相关管理费用由安宁市水务局报财政预算安排，小（1）型水库每座每年5万元，小（2）型水库每座每年3万元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小坝塘</w:t>
      </w:r>
      <w:r>
        <w:rPr>
          <w:rFonts w:hint="default" w:ascii="Times New Roman" w:hAnsi="Times New Roman" w:eastAsia="仿宋_GB2312" w:cs="Times New Roman"/>
          <w:sz w:val="32"/>
          <w:szCs w:val="32"/>
          <w:lang w:eastAsia="zh-CN"/>
        </w:rPr>
        <w:t>、引（输）水及田间工程</w:t>
      </w:r>
      <w:r>
        <w:rPr>
          <w:rFonts w:hint="default" w:ascii="Times New Roman" w:hAnsi="Times New Roman" w:eastAsia="仿宋_GB2312" w:cs="Times New Roman"/>
          <w:sz w:val="32"/>
          <w:szCs w:val="32"/>
        </w:rPr>
        <w:t>管理工作由街道及各村委会工作人员承担，职工薪酬</w:t>
      </w:r>
      <w:r>
        <w:rPr>
          <w:rFonts w:hint="default" w:ascii="Times New Roman" w:hAnsi="Times New Roman" w:eastAsia="仿宋_GB2312" w:cs="Times New Roman"/>
          <w:sz w:val="32"/>
          <w:szCs w:val="32"/>
          <w:lang w:eastAsia="zh-CN"/>
        </w:rPr>
        <w:t>每个村委会每年按</w:t>
      </w:r>
      <w:r>
        <w:rPr>
          <w:rFonts w:hint="default" w:ascii="Times New Roman" w:hAnsi="Times New Roman" w:eastAsia="仿宋_GB2312" w:cs="Times New Roman"/>
          <w:sz w:val="32"/>
          <w:szCs w:val="32"/>
          <w:lang w:val="en-US" w:eastAsia="zh-CN"/>
        </w:rPr>
        <w:t>1.5万元计；</w:t>
      </w:r>
    </w:p>
    <w:p>
      <w:pPr>
        <w:keepNext w:val="0"/>
        <w:keepLines w:val="0"/>
        <w:pageBreakBefore w:val="0"/>
        <w:widowControl w:val="0"/>
        <w:numPr>
          <w:ilvl w:val="0"/>
          <w:numId w:val="1"/>
        </w:numPr>
        <w:kinsoku/>
        <w:wordWrap/>
        <w:overflowPunct/>
        <w:topLinePunct w:val="0"/>
        <w:autoSpaceDE/>
        <w:autoSpaceDN/>
        <w:bidi w:val="0"/>
        <w:adjustRightIn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燃料及动力费：自流灌区均不计燃料及动力费，抽水费用按抽水量</w:t>
      </w:r>
      <w:r>
        <w:rPr>
          <w:rFonts w:hint="default" w:ascii="Times New Roman" w:hAnsi="Times New Roman" w:eastAsia="仿宋_GB2312" w:cs="Times New Roman"/>
          <w:sz w:val="32"/>
          <w:szCs w:val="32"/>
          <w:lang w:eastAsia="zh-CN"/>
        </w:rPr>
        <w:t>适当</w:t>
      </w:r>
      <w:r>
        <w:rPr>
          <w:rFonts w:hint="default" w:ascii="Times New Roman" w:hAnsi="Times New Roman" w:eastAsia="仿宋_GB2312" w:cs="Times New Roman"/>
          <w:sz w:val="32"/>
          <w:szCs w:val="32"/>
        </w:rPr>
        <w:t>计取</w:t>
      </w:r>
      <w:r>
        <w:rPr>
          <w:rFonts w:hint="default" w:ascii="Times New Roman" w:hAnsi="Times New Roman" w:eastAsia="仿宋_GB2312" w:cs="Times New Roman"/>
          <w:sz w:val="32"/>
          <w:szCs w:val="32"/>
          <w:lang w:val="en-US" w:eastAsia="zh-CN"/>
        </w:rPr>
        <w:t>电费</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576"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水资源费：</w:t>
      </w:r>
      <w:r>
        <w:rPr>
          <w:rFonts w:hint="default" w:ascii="Times New Roman" w:hAnsi="Times New Roman" w:eastAsia="仿宋_GB2312" w:cs="Times New Roman"/>
          <w:sz w:val="32"/>
          <w:szCs w:val="32"/>
          <w:lang w:eastAsia="zh-CN"/>
        </w:rPr>
        <w:t>农业灌溉用水，</w:t>
      </w:r>
      <w:r>
        <w:rPr>
          <w:rFonts w:hint="default" w:ascii="Times New Roman" w:hAnsi="Times New Roman" w:eastAsia="仿宋_GB2312" w:cs="Times New Roman"/>
          <w:sz w:val="32"/>
          <w:szCs w:val="32"/>
          <w:lang w:val="en-US" w:eastAsia="zh-CN"/>
        </w:rPr>
        <w:t>不计算</w:t>
      </w:r>
      <w:r>
        <w:rPr>
          <w:rFonts w:hint="default" w:ascii="Times New Roman" w:hAnsi="Times New Roman" w:eastAsia="仿宋_GB2312" w:cs="Times New Roman"/>
          <w:sz w:val="32"/>
          <w:szCs w:val="32"/>
          <w:lang w:eastAsia="zh-CN"/>
        </w:rPr>
        <w:t>水资源费</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折旧费：按固定资产的3%计</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1"/>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二、安宁市农业用水价格成本情况</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终端水价由水源工程、引（输）水工程水价和田间工程水价两部分组成。</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核算出各街道办的终端水价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各街道供水成本价：连然0.21</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金方0.26</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八街0.26</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温泉0.24</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禄脿0.25</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草铺0.37</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县街0.19</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青龙0.40</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太平0.41</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各街道运行成本：连然0.11</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金方0.16</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八街0.13</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温泉0.10</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禄脿0.12</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草铺0.21</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县街0.11</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青龙0.23</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太平0.16</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将各街道的面积作为权重进行加权平均，最终核算得到全市的终端水价，全市实际灌溉面积86675亩，保证率为P=75%时的用水量为4786万m³，核算得安宁市终端水价为：供水成本水价为</w:t>
      </w:r>
      <w:r>
        <w:rPr>
          <w:rFonts w:hint="default" w:ascii="Times New Roman" w:hAnsi="Times New Roman" w:eastAsia="仿宋_GB2312" w:cs="Times New Roman"/>
          <w:sz w:val="32"/>
          <w:szCs w:val="32"/>
          <w:lang w:val="en-US" w:eastAsia="zh-CN"/>
        </w:rPr>
        <w:t>0.26</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含折旧费、职工薪酬、电费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，运行成本水价为0.</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不含折旧费</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76" w:lineRule="exact"/>
        <w:jc w:val="both"/>
        <w:textAlignment w:val="auto"/>
        <w:rPr>
          <w:rFonts w:hint="default" w:ascii="黑体" w:hAnsi="黑体" w:eastAsia="黑体" w:cs="黑体"/>
          <w:b w:val="0"/>
          <w:bCs w:val="0"/>
          <w:kern w:val="2"/>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黑体" w:hAnsi="黑体" w:eastAsia="黑体" w:cs="黑体"/>
          <w:b w:val="0"/>
          <w:bCs w:val="0"/>
          <w:kern w:val="2"/>
          <w:sz w:val="32"/>
          <w:szCs w:val="32"/>
          <w:lang w:val="en-US" w:eastAsia="zh-CN"/>
        </w:rPr>
        <w:t>三、安宁市农业用水价格方案</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、区分粮食作物、经济作物等用水类型，在终端用水环节实行分类水价并分步实施。202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年至202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年：粮食作物，用水价格按照略低于运行成本0.</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元/m³执行，经济作物和其他类型，用水价格按照运行成本0.13元/m³执行；202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年至20</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年：粮食作物，用水价格按照供水运行成本0.13元/m³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按照0.08元/</w:t>
      </w:r>
      <w:r>
        <w:rPr>
          <w:rFonts w:hint="default" w:ascii="Times New Roman" w:hAnsi="Times New Roman" w:eastAsia="仿宋_GB2312" w:cs="Times New Roman"/>
          <w:sz w:val="32"/>
          <w:szCs w:val="32"/>
        </w:rPr>
        <w:t>m³执行，经济作物和其他类型，用水价格按照略低于供水成本0.2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元/m³</w:t>
      </w:r>
      <w:r>
        <w:rPr>
          <w:rFonts w:hint="default" w:ascii="Times New Roman" w:hAnsi="Times New Roman" w:eastAsia="仿宋_GB2312" w:cs="Times New Roman"/>
          <w:sz w:val="32"/>
          <w:szCs w:val="32"/>
          <w:lang w:val="en-US" w:eastAsia="zh-CN"/>
        </w:rPr>
        <w:t>，按照0.20元</w:t>
      </w:r>
      <w:r>
        <w:rPr>
          <w:rFonts w:hint="default" w:ascii="Times New Roman" w:hAnsi="Times New Roman" w:eastAsia="仿宋_GB2312" w:cs="Times New Roman"/>
          <w:sz w:val="32"/>
          <w:szCs w:val="32"/>
        </w:rPr>
        <w:t>m³</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执行。20</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年以后，</w:t>
      </w:r>
      <w:r>
        <w:rPr>
          <w:rFonts w:hint="default" w:ascii="Times New Roman" w:hAnsi="Times New Roman" w:eastAsia="仿宋_GB2312" w:cs="Times New Roman"/>
          <w:sz w:val="32"/>
          <w:szCs w:val="32"/>
          <w:lang w:val="en-US" w:eastAsia="zh-CN"/>
        </w:rPr>
        <w:t>根据农业用水成本变化情况，按照定价程序，重新制定安宁市农业用水价格</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2、田地间暂未安装计量设施的，净</w:t>
      </w:r>
      <w:r>
        <w:rPr>
          <w:rFonts w:hint="default" w:ascii="Times New Roman" w:hAnsi="Times New Roman" w:eastAsia="仿宋_GB2312" w:cs="Times New Roman"/>
          <w:sz w:val="32"/>
          <w:szCs w:val="32"/>
        </w:rPr>
        <w:t>用水</w:t>
      </w:r>
      <w:r>
        <w:rPr>
          <w:rFonts w:hint="default" w:ascii="Times New Roman" w:hAnsi="Times New Roman" w:eastAsia="仿宋_GB2312" w:cs="Times New Roman"/>
          <w:sz w:val="32"/>
          <w:szCs w:val="32"/>
          <w:lang w:val="en-US" w:eastAsia="zh-CN"/>
        </w:rPr>
        <w:t>定额按照</w:t>
      </w:r>
      <w:r>
        <w:rPr>
          <w:rFonts w:hint="default" w:ascii="Times New Roman" w:hAnsi="Times New Roman" w:eastAsia="仿宋_GB2312" w:cs="Times New Roman"/>
          <w:sz w:val="32"/>
          <w:szCs w:val="32"/>
        </w:rPr>
        <w:t>《云南省用水定额》（2019年版）</w:t>
      </w:r>
      <w:r>
        <w:rPr>
          <w:rFonts w:hint="default" w:ascii="Times New Roman" w:hAnsi="Times New Roman" w:eastAsia="仿宋_GB2312" w:cs="Times New Roman"/>
          <w:sz w:val="32"/>
          <w:szCs w:val="32"/>
          <w:lang w:val="en-US" w:eastAsia="zh-CN"/>
        </w:rPr>
        <w:t>规定的下限值</w:t>
      </w:r>
      <w:r>
        <w:rPr>
          <w:rFonts w:hint="default" w:ascii="Times New Roman" w:hAnsi="Times New Roman" w:eastAsia="仿宋_GB2312" w:cs="Times New Roman"/>
          <w:sz w:val="32"/>
          <w:szCs w:val="32"/>
        </w:rPr>
        <w:t>，结合农作物种植结构及面积，</w:t>
      </w:r>
      <w:r>
        <w:rPr>
          <w:rFonts w:hint="default" w:ascii="Times New Roman" w:hAnsi="Times New Roman" w:eastAsia="仿宋_GB2312" w:cs="Times New Roman"/>
          <w:sz w:val="32"/>
          <w:szCs w:val="32"/>
          <w:lang w:val="en-US" w:eastAsia="zh-CN"/>
        </w:rPr>
        <w:t>确定用水量，拟定每亩用水价格标准。</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、已实施了高效节水项目，计量设施已安装到田间地头的或者是采取抽水灌溉的，水价按照充分尊重用水主体意愿，按照自愿平等、有利于促进节约用水、保障供水工程良性运行、促进农业发展的原则，</w:t>
      </w:r>
      <w:r>
        <w:rPr>
          <w:rFonts w:hint="default" w:ascii="Times New Roman" w:hAnsi="Times New Roman" w:eastAsia="仿宋_GB2312" w:cs="Times New Roman"/>
          <w:sz w:val="32"/>
          <w:szCs w:val="32"/>
          <w:lang w:val="en-US" w:eastAsia="zh-CN"/>
        </w:rPr>
        <w:t>农业用水合作组织按照“一事一议”，协商确定终端农业用水价格，报安宁市发展和改革局和安宁市水务局备案后执行</w:t>
      </w:r>
      <w:r>
        <w:rPr>
          <w:rFonts w:hint="default" w:ascii="Times New Roman" w:hAnsi="Times New Roman" w:eastAsia="仿宋_GB2312" w:cs="Times New Roman"/>
          <w:sz w:val="32"/>
          <w:szCs w:val="32"/>
        </w:rPr>
        <w:t>。如：八街凤仪农业用水协会协商确定水价为0.60元/m³。</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四、安宁市农业用水价格具体实行范围、实施时间等有关要求，按照市水务局拟定的《安宁市农业水价综合改革实施方案》执行。</w:t>
      </w:r>
      <w:r>
        <w:rPr>
          <w:rFonts w:hint="eastAsia" w:ascii="黑体" w:hAnsi="黑体" w:eastAsia="黑体" w:cs="黑体"/>
          <w:b w:val="0"/>
          <w:bCs w:val="0"/>
          <w:sz w:val="32"/>
          <w:szCs w:val="32"/>
        </w:rPr>
        <w:t xml:space="preserve"> </w:t>
      </w:r>
    </w:p>
    <w:p>
      <w:pPr>
        <w:pStyle w:val="2"/>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附：安宁市农业用水价格表（拟定）</w:t>
      </w:r>
    </w:p>
    <w:p>
      <w:pPr>
        <w:pStyle w:val="2"/>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5120" w:firstLineChars="1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安宁市发展和改革局</w:t>
      </w:r>
    </w:p>
    <w:p>
      <w:pPr>
        <w:pStyle w:val="2"/>
        <w:keepNext w:val="0"/>
        <w:keepLines w:val="0"/>
        <w:pageBreakBefore w:val="0"/>
        <w:widowControl w:val="0"/>
        <w:kinsoku/>
        <w:wordWrap/>
        <w:overflowPunct/>
        <w:topLinePunct w:val="0"/>
        <w:autoSpaceDE/>
        <w:autoSpaceDN/>
        <w:bidi w:val="0"/>
        <w:adjustRightInd/>
        <w:spacing w:line="576"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p>
    <w:p>
      <w:pPr>
        <w:pStyle w:val="2"/>
        <w:rPr>
          <w:rFonts w:hint="eastAsia" w:ascii="仿宋" w:hAnsi="仿宋" w:eastAsia="仿宋" w:cs="Times New Roman"/>
          <w:sz w:val="32"/>
          <w:szCs w:val="32"/>
        </w:rPr>
      </w:pPr>
    </w:p>
    <w:tbl>
      <w:tblPr>
        <w:tblStyle w:val="4"/>
        <w:tblW w:w="8880" w:type="dxa"/>
        <w:tblInd w:w="93" w:type="dxa"/>
        <w:tblLayout w:type="fixed"/>
        <w:tblCellMar>
          <w:top w:w="0" w:type="dxa"/>
          <w:left w:w="108" w:type="dxa"/>
          <w:bottom w:w="0" w:type="dxa"/>
          <w:right w:w="108" w:type="dxa"/>
        </w:tblCellMar>
      </w:tblPr>
      <w:tblGrid>
        <w:gridCol w:w="826"/>
        <w:gridCol w:w="1687"/>
        <w:gridCol w:w="1184"/>
        <w:gridCol w:w="1287"/>
        <w:gridCol w:w="1292"/>
        <w:gridCol w:w="1287"/>
        <w:gridCol w:w="1317"/>
      </w:tblGrid>
      <w:tr>
        <w:tblPrEx>
          <w:tblCellMar>
            <w:top w:w="0" w:type="dxa"/>
            <w:left w:w="108" w:type="dxa"/>
            <w:bottom w:w="0" w:type="dxa"/>
            <w:right w:w="108" w:type="dxa"/>
          </w:tblCellMar>
        </w:tblPrEx>
        <w:trPr>
          <w:trHeight w:val="289" w:hRule="atLeast"/>
        </w:trPr>
        <w:tc>
          <w:tcPr>
            <w:tcW w:w="8880" w:type="dxa"/>
            <w:gridSpan w:val="7"/>
            <w:tcBorders>
              <w:top w:val="nil"/>
              <w:left w:val="nil"/>
              <w:bottom w:val="nil"/>
              <w:right w:val="nil"/>
            </w:tcBorders>
            <w:noWrap/>
            <w:vAlign w:val="bottom"/>
          </w:tcPr>
          <w:p>
            <w:pPr>
              <w:widowControl/>
              <w:ind w:firstLine="1606" w:firstLineChars="500"/>
              <w:textAlignment w:val="bottom"/>
              <w:rPr>
                <w:rFonts w:hint="eastAsia" w:ascii="仿宋" w:hAnsi="仿宋" w:eastAsia="仿宋" w:cs="Times New Roman"/>
                <w:b/>
                <w:bCs/>
                <w:color w:val="000000"/>
                <w:kern w:val="0"/>
                <w:sz w:val="32"/>
                <w:szCs w:val="32"/>
              </w:rPr>
            </w:pPr>
          </w:p>
          <w:p>
            <w:pPr>
              <w:widowControl/>
              <w:ind w:firstLine="1606" w:firstLineChars="500"/>
              <w:textAlignment w:val="bottom"/>
              <w:rPr>
                <w:rFonts w:hint="eastAsia" w:ascii="仿宋" w:hAnsi="仿宋" w:eastAsia="仿宋" w:cs="Times New Roman"/>
                <w:b/>
                <w:bCs/>
                <w:color w:val="000000"/>
                <w:kern w:val="0"/>
                <w:sz w:val="32"/>
                <w:szCs w:val="32"/>
              </w:rPr>
            </w:pPr>
          </w:p>
          <w:p>
            <w:pPr>
              <w:widowControl/>
              <w:ind w:firstLine="1606" w:firstLineChars="500"/>
              <w:textAlignment w:val="bottom"/>
              <w:rPr>
                <w:rFonts w:hint="eastAsia" w:ascii="仿宋" w:hAnsi="仿宋" w:eastAsia="仿宋" w:cs="Times New Roman"/>
                <w:b/>
                <w:bCs/>
                <w:color w:val="000000"/>
                <w:kern w:val="0"/>
                <w:sz w:val="32"/>
                <w:szCs w:val="32"/>
              </w:rPr>
            </w:pPr>
          </w:p>
          <w:p>
            <w:pPr>
              <w:widowControl/>
              <w:ind w:firstLine="1606" w:firstLineChars="500"/>
              <w:textAlignment w:val="bottom"/>
              <w:rPr>
                <w:rFonts w:hint="eastAsia" w:ascii="仿宋" w:hAnsi="仿宋" w:eastAsia="仿宋" w:cs="Times New Roman"/>
                <w:b/>
                <w:bCs/>
                <w:color w:val="000000"/>
                <w:kern w:val="0"/>
                <w:sz w:val="32"/>
                <w:szCs w:val="32"/>
              </w:rPr>
            </w:pPr>
          </w:p>
          <w:p>
            <w:pPr>
              <w:widowControl/>
              <w:jc w:val="center"/>
              <w:textAlignment w:val="bottom"/>
              <w:rPr>
                <w:rFonts w:ascii="仿宋" w:hAnsi="仿宋" w:eastAsia="仿宋" w:cs="Times New Roman"/>
                <w:b/>
                <w:bCs/>
                <w:color w:val="000000"/>
                <w:sz w:val="32"/>
                <w:szCs w:val="32"/>
              </w:rPr>
            </w:pPr>
            <w:r>
              <w:rPr>
                <w:rFonts w:hint="eastAsia" w:ascii="方正小标宋简体" w:hAnsi="方正小标宋简体" w:eastAsia="方正小标宋简体" w:cs="方正小标宋简体"/>
                <w:b w:val="0"/>
                <w:bCs w:val="0"/>
                <w:kern w:val="2"/>
                <w:sz w:val="44"/>
                <w:szCs w:val="44"/>
                <w:u w:val="none"/>
                <w:lang w:val="en-US" w:eastAsia="zh-CN" w:bidi="ar-SA"/>
              </w:rPr>
              <w:t>安宁市农业用水价格表（拟定）</w:t>
            </w:r>
          </w:p>
        </w:tc>
      </w:tr>
      <w:tr>
        <w:tblPrEx>
          <w:tblCellMar>
            <w:top w:w="0" w:type="dxa"/>
            <w:left w:w="108" w:type="dxa"/>
            <w:bottom w:w="0" w:type="dxa"/>
            <w:right w:w="108" w:type="dxa"/>
          </w:tblCellMar>
        </w:tblPrEx>
        <w:trPr>
          <w:trHeight w:val="1158" w:hRule="atLeast"/>
        </w:trPr>
        <w:tc>
          <w:tcPr>
            <w:tcW w:w="826" w:type="dxa"/>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序号</w:t>
            </w:r>
          </w:p>
        </w:tc>
        <w:tc>
          <w:tcPr>
            <w:tcW w:w="1687" w:type="dxa"/>
            <w:vMerge w:val="restart"/>
            <w:tcBorders>
              <w:top w:val="single" w:color="000000" w:sz="4" w:space="0"/>
              <w:left w:val="nil"/>
              <w:bottom w:val="nil"/>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作物名称</w:t>
            </w:r>
          </w:p>
        </w:tc>
        <w:tc>
          <w:tcPr>
            <w:tcW w:w="1184" w:type="dxa"/>
            <w:vMerge w:val="restart"/>
            <w:tcBorders>
              <w:top w:val="single" w:color="000000" w:sz="4" w:space="0"/>
              <w:left w:val="nil"/>
              <w:bottom w:val="nil"/>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净用水定额(m</w:t>
            </w:r>
            <w:r>
              <w:rPr>
                <w:rFonts w:hint="eastAsia" w:ascii="仿宋" w:hAnsi="仿宋" w:eastAsia="仿宋" w:cs="Times New Roman"/>
                <w:color w:val="000000"/>
                <w:kern w:val="0"/>
                <w:sz w:val="28"/>
                <w:szCs w:val="28"/>
                <w:vertAlign w:val="superscript"/>
              </w:rPr>
              <w:t>3</w:t>
            </w:r>
            <w:r>
              <w:rPr>
                <w:rFonts w:hint="eastAsia" w:ascii="仿宋" w:hAnsi="仿宋" w:eastAsia="仿宋" w:cs="Times New Roman"/>
                <w:color w:val="000000"/>
                <w:kern w:val="0"/>
                <w:sz w:val="28"/>
                <w:szCs w:val="28"/>
              </w:rPr>
              <w:t>/亩.年)</w:t>
            </w:r>
          </w:p>
        </w:tc>
        <w:tc>
          <w:tcPr>
            <w:tcW w:w="2579" w:type="dxa"/>
            <w:gridSpan w:val="2"/>
            <w:tcBorders>
              <w:top w:val="single" w:color="000000" w:sz="4" w:space="0"/>
              <w:left w:val="nil"/>
              <w:bottom w:val="single" w:color="auto"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202</w:t>
            </w:r>
            <w:r>
              <w:rPr>
                <w:rFonts w:hint="eastAsia" w:ascii="仿宋" w:hAnsi="仿宋" w:eastAsia="仿宋" w:cs="Times New Roman"/>
                <w:color w:val="000000"/>
                <w:kern w:val="0"/>
                <w:sz w:val="28"/>
                <w:szCs w:val="28"/>
                <w:lang w:val="en-US" w:eastAsia="zh-CN"/>
              </w:rPr>
              <w:t>3</w:t>
            </w:r>
            <w:r>
              <w:rPr>
                <w:rFonts w:hint="eastAsia" w:ascii="仿宋" w:hAnsi="仿宋" w:eastAsia="仿宋" w:cs="Times New Roman"/>
                <w:color w:val="000000"/>
                <w:kern w:val="0"/>
                <w:sz w:val="28"/>
                <w:szCs w:val="28"/>
              </w:rPr>
              <w:t>年-202</w:t>
            </w:r>
            <w:r>
              <w:rPr>
                <w:rFonts w:hint="eastAsia" w:ascii="仿宋" w:hAnsi="仿宋" w:eastAsia="仿宋" w:cs="Times New Roman"/>
                <w:color w:val="000000"/>
                <w:kern w:val="0"/>
                <w:sz w:val="28"/>
                <w:szCs w:val="28"/>
                <w:lang w:val="en-US" w:eastAsia="zh-CN"/>
              </w:rPr>
              <w:t>5</w:t>
            </w:r>
            <w:r>
              <w:rPr>
                <w:rFonts w:hint="eastAsia" w:ascii="仿宋" w:hAnsi="仿宋" w:eastAsia="仿宋" w:cs="Times New Roman"/>
                <w:color w:val="000000"/>
                <w:kern w:val="0"/>
                <w:sz w:val="28"/>
                <w:szCs w:val="28"/>
              </w:rPr>
              <w:t>年</w:t>
            </w:r>
          </w:p>
        </w:tc>
        <w:tc>
          <w:tcPr>
            <w:tcW w:w="2604" w:type="dxa"/>
            <w:gridSpan w:val="2"/>
            <w:tcBorders>
              <w:top w:val="single" w:color="000000" w:sz="4" w:space="0"/>
              <w:left w:val="nil"/>
              <w:bottom w:val="single" w:color="auto"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202</w:t>
            </w:r>
            <w:r>
              <w:rPr>
                <w:rFonts w:hint="eastAsia" w:ascii="仿宋" w:hAnsi="仿宋" w:eastAsia="仿宋" w:cs="Times New Roman"/>
                <w:color w:val="000000"/>
                <w:kern w:val="0"/>
                <w:sz w:val="28"/>
                <w:szCs w:val="28"/>
                <w:lang w:val="en-US" w:eastAsia="zh-CN"/>
              </w:rPr>
              <w:t>6</w:t>
            </w:r>
            <w:r>
              <w:rPr>
                <w:rFonts w:hint="eastAsia" w:ascii="仿宋" w:hAnsi="仿宋" w:eastAsia="仿宋" w:cs="Times New Roman"/>
                <w:color w:val="000000"/>
                <w:kern w:val="0"/>
                <w:sz w:val="28"/>
                <w:szCs w:val="28"/>
              </w:rPr>
              <w:t>年-20</w:t>
            </w:r>
            <w:r>
              <w:rPr>
                <w:rFonts w:hint="eastAsia" w:ascii="仿宋" w:hAnsi="仿宋" w:eastAsia="仿宋" w:cs="Times New Roman"/>
                <w:color w:val="000000"/>
                <w:kern w:val="0"/>
                <w:sz w:val="28"/>
                <w:szCs w:val="28"/>
                <w:lang w:val="en-US" w:eastAsia="zh-CN"/>
              </w:rPr>
              <w:t>28</w:t>
            </w:r>
            <w:r>
              <w:rPr>
                <w:rFonts w:hint="eastAsia" w:ascii="仿宋" w:hAnsi="仿宋" w:eastAsia="仿宋" w:cs="Times New Roman"/>
                <w:color w:val="000000"/>
                <w:kern w:val="0"/>
                <w:sz w:val="28"/>
                <w:szCs w:val="28"/>
              </w:rPr>
              <w:t>年</w:t>
            </w:r>
          </w:p>
        </w:tc>
      </w:tr>
      <w:tr>
        <w:tblPrEx>
          <w:tblCellMar>
            <w:top w:w="0" w:type="dxa"/>
            <w:left w:w="108" w:type="dxa"/>
            <w:bottom w:w="0" w:type="dxa"/>
            <w:right w:w="108" w:type="dxa"/>
          </w:tblCellMar>
        </w:tblPrEx>
        <w:trPr>
          <w:trHeight w:val="1348" w:hRule="atLeast"/>
        </w:trPr>
        <w:tc>
          <w:tcPr>
            <w:tcW w:w="826"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仿宋" w:hAnsi="仿宋" w:eastAsia="仿宋" w:cs="Times New Roman"/>
                <w:color w:val="000000"/>
                <w:kern w:val="0"/>
                <w:sz w:val="32"/>
                <w:szCs w:val="32"/>
              </w:rPr>
            </w:pPr>
          </w:p>
        </w:tc>
        <w:tc>
          <w:tcPr>
            <w:tcW w:w="1687" w:type="dxa"/>
            <w:vMerge w:val="continue"/>
            <w:tcBorders>
              <w:top w:val="single" w:color="000000" w:sz="4" w:space="0"/>
              <w:left w:val="nil"/>
              <w:bottom w:val="nil"/>
              <w:right w:val="single" w:color="000000" w:sz="4" w:space="0"/>
            </w:tcBorders>
            <w:noWrap w:val="0"/>
            <w:vAlign w:val="center"/>
          </w:tcPr>
          <w:p>
            <w:pPr>
              <w:widowControl/>
              <w:jc w:val="left"/>
              <w:rPr>
                <w:rFonts w:ascii="仿宋" w:hAnsi="仿宋" w:eastAsia="仿宋" w:cs="Times New Roman"/>
                <w:color w:val="000000"/>
                <w:kern w:val="0"/>
                <w:sz w:val="28"/>
                <w:szCs w:val="28"/>
              </w:rPr>
            </w:pPr>
          </w:p>
        </w:tc>
        <w:tc>
          <w:tcPr>
            <w:tcW w:w="1184" w:type="dxa"/>
            <w:vMerge w:val="continue"/>
            <w:tcBorders>
              <w:top w:val="single" w:color="000000" w:sz="4" w:space="0"/>
              <w:left w:val="nil"/>
              <w:bottom w:val="nil"/>
              <w:right w:val="single" w:color="000000" w:sz="4" w:space="0"/>
            </w:tcBorders>
            <w:noWrap w:val="0"/>
            <w:vAlign w:val="center"/>
          </w:tcPr>
          <w:p>
            <w:pPr>
              <w:widowControl/>
              <w:jc w:val="left"/>
              <w:rPr>
                <w:rFonts w:ascii="仿宋" w:hAnsi="仿宋" w:eastAsia="仿宋" w:cs="Times New Roman"/>
                <w:color w:val="000000"/>
                <w:kern w:val="0"/>
                <w:sz w:val="28"/>
                <w:szCs w:val="28"/>
              </w:rPr>
            </w:pPr>
          </w:p>
        </w:tc>
        <w:tc>
          <w:tcPr>
            <w:tcW w:w="1287"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用水单价元/</w:t>
            </w:r>
            <w:r>
              <w:rPr>
                <w:rFonts w:ascii="Agency FB" w:hAnsi="Agency FB" w:eastAsia="仿宋" w:cs="Times New Roman"/>
                <w:color w:val="000000"/>
                <w:kern w:val="0"/>
                <w:sz w:val="24"/>
                <w:szCs w:val="24"/>
              </w:rPr>
              <w:t>m³</w:t>
            </w:r>
          </w:p>
        </w:tc>
        <w:tc>
          <w:tcPr>
            <w:tcW w:w="1292"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执行价格元/亩.年</w:t>
            </w:r>
          </w:p>
        </w:tc>
        <w:tc>
          <w:tcPr>
            <w:tcW w:w="1287"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用水单价元/</w:t>
            </w:r>
            <w:r>
              <w:rPr>
                <w:rFonts w:ascii="Agency FB" w:hAnsi="Agency FB" w:eastAsia="仿宋" w:cs="Times New Roman"/>
                <w:color w:val="000000"/>
                <w:kern w:val="0"/>
                <w:sz w:val="24"/>
                <w:szCs w:val="24"/>
              </w:rPr>
              <w:t>m³</w:t>
            </w:r>
          </w:p>
        </w:tc>
        <w:tc>
          <w:tcPr>
            <w:tcW w:w="1317" w:type="dxa"/>
            <w:tcBorders>
              <w:top w:val="single" w:color="auto"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执行价格元/亩.年</w:t>
            </w:r>
          </w:p>
        </w:tc>
      </w:tr>
      <w:tr>
        <w:tblPrEx>
          <w:tblCellMar>
            <w:top w:w="0" w:type="dxa"/>
            <w:left w:w="108" w:type="dxa"/>
            <w:bottom w:w="0" w:type="dxa"/>
            <w:right w:w="108" w:type="dxa"/>
          </w:tblCellMar>
        </w:tblPrEx>
        <w:trPr>
          <w:trHeight w:val="295"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水稻</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345</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0.08 </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27.00 </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0.13</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44.00</w:t>
            </w:r>
          </w:p>
        </w:tc>
      </w:tr>
      <w:tr>
        <w:tblPrEx>
          <w:tblCellMar>
            <w:top w:w="0" w:type="dxa"/>
            <w:left w:w="108" w:type="dxa"/>
            <w:bottom w:w="0" w:type="dxa"/>
            <w:right w:w="108" w:type="dxa"/>
          </w:tblCellMar>
        </w:tblPrEx>
        <w:trPr>
          <w:trHeight w:val="295"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玉米</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85</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0.08</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6</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0.13 </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11</w:t>
            </w:r>
          </w:p>
        </w:tc>
      </w:tr>
      <w:tr>
        <w:tblPrEx>
          <w:tblCellMar>
            <w:top w:w="0" w:type="dxa"/>
            <w:left w:w="108" w:type="dxa"/>
            <w:bottom w:w="0" w:type="dxa"/>
            <w:right w:w="108" w:type="dxa"/>
          </w:tblCellMar>
        </w:tblPrEx>
        <w:trPr>
          <w:trHeight w:val="295"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3</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烤烟</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35</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0.13 </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4.50 </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0.20</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7</w:t>
            </w:r>
          </w:p>
        </w:tc>
      </w:tr>
      <w:tr>
        <w:tblPrEx>
          <w:tblCellMar>
            <w:top w:w="0" w:type="dxa"/>
            <w:left w:w="108" w:type="dxa"/>
            <w:bottom w:w="0" w:type="dxa"/>
            <w:right w:w="108" w:type="dxa"/>
          </w:tblCellMar>
        </w:tblPrEx>
        <w:trPr>
          <w:trHeight w:val="295"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4</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小麦</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125</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0.08</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10</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0.13</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16</w:t>
            </w:r>
          </w:p>
        </w:tc>
      </w:tr>
      <w:tr>
        <w:tblPrEx>
          <w:tblCellMar>
            <w:top w:w="0" w:type="dxa"/>
            <w:left w:w="108" w:type="dxa"/>
            <w:bottom w:w="0" w:type="dxa"/>
            <w:right w:w="108" w:type="dxa"/>
          </w:tblCellMar>
        </w:tblPrEx>
        <w:trPr>
          <w:trHeight w:val="295"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5</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油菜</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150</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0.08</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12</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0.13</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19</w:t>
            </w:r>
          </w:p>
        </w:tc>
      </w:tr>
      <w:tr>
        <w:tblPrEx>
          <w:tblCellMar>
            <w:top w:w="0" w:type="dxa"/>
            <w:left w:w="108" w:type="dxa"/>
            <w:bottom w:w="0" w:type="dxa"/>
            <w:right w:w="108" w:type="dxa"/>
          </w:tblCellMar>
        </w:tblPrEx>
        <w:trPr>
          <w:trHeight w:val="295"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6</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豆类</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100</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0.08</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8</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0.13 </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13</w:t>
            </w:r>
          </w:p>
        </w:tc>
      </w:tr>
      <w:tr>
        <w:tblPrEx>
          <w:tblCellMar>
            <w:top w:w="0" w:type="dxa"/>
            <w:left w:w="108" w:type="dxa"/>
            <w:bottom w:w="0" w:type="dxa"/>
            <w:right w:w="108" w:type="dxa"/>
          </w:tblCellMar>
        </w:tblPrEx>
        <w:trPr>
          <w:trHeight w:val="295"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7</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露天蔬菜</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300</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0.13 </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39 </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0.20</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60</w:t>
            </w:r>
          </w:p>
        </w:tc>
      </w:tr>
      <w:tr>
        <w:tblPrEx>
          <w:tblCellMar>
            <w:top w:w="0" w:type="dxa"/>
            <w:left w:w="108" w:type="dxa"/>
            <w:bottom w:w="0" w:type="dxa"/>
            <w:right w:w="108" w:type="dxa"/>
          </w:tblCellMar>
        </w:tblPrEx>
        <w:trPr>
          <w:trHeight w:val="295"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8</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大棚蔬菜</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690</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0.13 </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89</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0.20 </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138</w:t>
            </w:r>
          </w:p>
        </w:tc>
      </w:tr>
      <w:tr>
        <w:tblPrEx>
          <w:tblCellMar>
            <w:top w:w="0" w:type="dxa"/>
            <w:left w:w="108" w:type="dxa"/>
            <w:bottom w:w="0" w:type="dxa"/>
            <w:right w:w="108" w:type="dxa"/>
          </w:tblCellMar>
        </w:tblPrEx>
        <w:trPr>
          <w:trHeight w:val="295"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9</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露天花卉</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360</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0.13 </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46 </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0.20</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72</w:t>
            </w:r>
          </w:p>
        </w:tc>
      </w:tr>
      <w:tr>
        <w:tblPrEx>
          <w:tblCellMar>
            <w:top w:w="0" w:type="dxa"/>
            <w:left w:w="108" w:type="dxa"/>
            <w:bottom w:w="0" w:type="dxa"/>
            <w:right w:w="108" w:type="dxa"/>
          </w:tblCellMar>
        </w:tblPrEx>
        <w:trPr>
          <w:trHeight w:val="295"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10</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大棚花卉</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816</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0.13 </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106</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0.20</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163</w:t>
            </w:r>
          </w:p>
        </w:tc>
      </w:tr>
      <w:tr>
        <w:tblPrEx>
          <w:tblCellMar>
            <w:top w:w="0" w:type="dxa"/>
            <w:left w:w="108" w:type="dxa"/>
            <w:bottom w:w="0" w:type="dxa"/>
            <w:right w:w="108" w:type="dxa"/>
          </w:tblCellMar>
        </w:tblPrEx>
        <w:trPr>
          <w:trHeight w:val="295"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11</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24"/>
                <w:szCs w:val="24"/>
              </w:rPr>
              <w:t>果类（草本类）</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90</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0.13 </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11</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0.20</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18</w:t>
            </w:r>
          </w:p>
        </w:tc>
      </w:tr>
      <w:tr>
        <w:tblPrEx>
          <w:tblCellMar>
            <w:top w:w="0" w:type="dxa"/>
            <w:left w:w="108" w:type="dxa"/>
            <w:bottom w:w="0" w:type="dxa"/>
            <w:right w:w="108" w:type="dxa"/>
          </w:tblCellMar>
        </w:tblPrEx>
        <w:trPr>
          <w:trHeight w:val="304"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12</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果林</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60</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 xml:space="preserve">0.13 </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7</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0.20</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12</w:t>
            </w:r>
          </w:p>
        </w:tc>
      </w:tr>
      <w:tr>
        <w:tblPrEx>
          <w:tblCellMar>
            <w:top w:w="0" w:type="dxa"/>
            <w:left w:w="108" w:type="dxa"/>
            <w:bottom w:w="0" w:type="dxa"/>
            <w:right w:w="108" w:type="dxa"/>
          </w:tblCellMar>
        </w:tblPrEx>
        <w:trPr>
          <w:trHeight w:val="304" w:hRule="atLeast"/>
        </w:trPr>
        <w:tc>
          <w:tcPr>
            <w:tcW w:w="8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13</w:t>
            </w:r>
          </w:p>
        </w:tc>
        <w:tc>
          <w:tcPr>
            <w:tcW w:w="16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池塘水产养殖</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default" w:ascii="仿宋" w:hAnsi="仿宋" w:eastAsia="仿宋" w:cs="Times New Roman"/>
                <w:color w:val="000000"/>
                <w:kern w:val="0"/>
                <w:sz w:val="28"/>
                <w:szCs w:val="28"/>
                <w:lang w:val="en-US" w:eastAsia="zh-CN"/>
              </w:rPr>
            </w:pPr>
            <w:r>
              <w:rPr>
                <w:rFonts w:hint="eastAsia" w:ascii="仿宋" w:hAnsi="仿宋" w:eastAsia="仿宋" w:cs="Times New Roman"/>
                <w:color w:val="000000"/>
                <w:kern w:val="0"/>
                <w:sz w:val="28"/>
                <w:szCs w:val="28"/>
                <w:lang w:val="en-US" w:eastAsia="zh-CN"/>
              </w:rPr>
              <w:t>2500</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0.13</w:t>
            </w:r>
          </w:p>
        </w:tc>
        <w:tc>
          <w:tcPr>
            <w:tcW w:w="1292"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仿宋" w:hAnsi="仿宋" w:eastAsia="仿宋" w:cs="Times New Roman"/>
                <w:color w:val="000000"/>
                <w:kern w:val="0"/>
                <w:sz w:val="28"/>
                <w:szCs w:val="28"/>
                <w:lang w:val="en-US" w:eastAsia="zh-CN"/>
              </w:rPr>
            </w:pPr>
            <w:r>
              <w:rPr>
                <w:rFonts w:hint="eastAsia" w:ascii="仿宋" w:hAnsi="仿宋" w:eastAsia="仿宋" w:cs="Times New Roman"/>
                <w:color w:val="000000"/>
                <w:kern w:val="0"/>
                <w:sz w:val="28"/>
                <w:szCs w:val="28"/>
                <w:lang w:val="en-US" w:eastAsia="zh-CN"/>
              </w:rPr>
              <w:t>325</w:t>
            </w:r>
          </w:p>
        </w:tc>
        <w:tc>
          <w:tcPr>
            <w:tcW w:w="128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0.20</w:t>
            </w:r>
          </w:p>
        </w:tc>
        <w:tc>
          <w:tcPr>
            <w:tcW w:w="1317"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仿宋" w:hAnsi="仿宋" w:eastAsia="仿宋" w:cs="Times New Roman"/>
                <w:color w:val="000000"/>
                <w:kern w:val="0"/>
                <w:sz w:val="28"/>
                <w:szCs w:val="28"/>
                <w:lang w:val="en-US" w:eastAsia="zh-CN"/>
              </w:rPr>
            </w:pPr>
            <w:r>
              <w:rPr>
                <w:rFonts w:hint="eastAsia" w:ascii="仿宋" w:hAnsi="仿宋" w:eastAsia="仿宋" w:cs="Times New Roman"/>
                <w:color w:val="000000"/>
                <w:kern w:val="0"/>
                <w:sz w:val="28"/>
                <w:szCs w:val="28"/>
                <w:lang w:val="en-US" w:eastAsia="zh-CN"/>
              </w:rPr>
              <w:t>500</w:t>
            </w:r>
          </w:p>
        </w:tc>
      </w:tr>
    </w:tbl>
    <w:p>
      <w:pPr>
        <w:pStyle w:val="2"/>
      </w:pPr>
      <w:r>
        <w:rPr>
          <w:rFonts w:hint="eastAsia" w:ascii="仿宋" w:hAnsi="仿宋" w:eastAsia="仿宋" w:cs="Times New Roman"/>
          <w:sz w:val="32"/>
          <w:szCs w:val="32"/>
        </w:rPr>
        <w:t>畜禽养殖用水若为规模化养殖，使用农村饮用水的，按照农村生活用水价格标准执行，计量收费。</w: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gency FB">
    <w:altName w:val="DejaVu Math TeX Gyre"/>
    <w:panose1 w:val="020B0503020202020204"/>
    <w:charset w:val="00"/>
    <w:family w:val="swiss"/>
    <w:pitch w:val="default"/>
    <w:sig w:usb0="00000000" w:usb1="00000000" w:usb2="00000000" w:usb3="00000000" w:csb0="2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F00FC"/>
    <w:multiLevelType w:val="singleLevel"/>
    <w:tmpl w:val="BAAF00F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B1A30"/>
    <w:rsid w:val="1EBB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省发展改革委</Company>
  <Pages>1</Pages>
  <Words>0</Words>
  <Characters>0</Characters>
  <Lines>0</Lines>
  <Paragraphs>0</Paragraphs>
  <TotalTime>4</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2025-01-23T07:00:00Z</dcterms:created>
  <dc:creator>Administrator</dc:creator>
  <cp:lastModifiedBy>Administrator</cp:lastModifiedBy>
  <dcterms:modified xsi:type="dcterms:W3CDTF">2025-01-23T07:05:19Z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7E8489DDB69B40E7BB02C6BEB28CA86F</vt:lpwstr>
  </property>
</Properties>
</file>