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_GBK" w:eastAsia="方正小标宋_GBK"/>
          <w:sz w:val="44"/>
          <w:szCs w:val="44"/>
        </w:rPr>
      </w:pPr>
      <w:r>
        <w:rPr>
          <w:rFonts w:hint="eastAsia" w:ascii="方正小标宋_GBK" w:eastAsia="方正小标宋_GBK"/>
          <w:sz w:val="44"/>
          <w:szCs w:val="44"/>
        </w:rPr>
        <w:t>安宁市工业经贸和科学技术信息化局</w:t>
      </w:r>
    </w:p>
    <w:p>
      <w:pPr>
        <w:spacing w:line="0" w:lineRule="atLeast"/>
        <w:jc w:val="center"/>
        <w:rPr>
          <w:rFonts w:ascii="方正小标宋_GBK" w:eastAsia="方正小标宋_GBK"/>
          <w:sz w:val="44"/>
          <w:szCs w:val="44"/>
        </w:rPr>
      </w:pPr>
      <w:r>
        <w:rPr>
          <w:rFonts w:hint="eastAsia" w:ascii="方正小标宋_GBK" w:eastAsia="方正小标宋_GBK"/>
          <w:sz w:val="44"/>
          <w:szCs w:val="44"/>
        </w:rPr>
        <w:t>关于2017年部门整体支出绩效自评报告</w:t>
      </w:r>
    </w:p>
    <w:p>
      <w:r>
        <w:rPr>
          <w:rFonts w:hint="eastAsia"/>
        </w:rPr>
        <w:t xml:space="preserve"> </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为进一步规范财政资金管理，牢固树立预算绩效理念，强化支出责任，提高财政资金使用效益，我们根据安宁市财政局《关于做好2017年度预算绩效自评工作的通知》精神，结合我局的具体情况，认真组织开展了2017年部门整体支出绩效自评工作，现将我局2017年度部门整体支出绩效评价情况报告如下：</w:t>
      </w:r>
    </w:p>
    <w:p>
      <w:pPr>
        <w:spacing w:line="520" w:lineRule="exact"/>
        <w:ind w:firstLine="624" w:firstLineChars="200"/>
        <w:jc w:val="left"/>
        <w:rPr>
          <w:rFonts w:ascii="仿宋_GB2312" w:hAnsi="仿宋_GB2312" w:eastAsia="仿宋_GB2312" w:cs="仿宋_GB2312"/>
          <w:szCs w:val="32"/>
        </w:rPr>
      </w:pPr>
      <w:r>
        <w:fldChar w:fldCharType="begin"/>
      </w:r>
      <w:r>
        <w:instrText xml:space="preserve"> HYPERLINK \l "_Toc434746187" </w:instrText>
      </w:r>
      <w:r>
        <w:fldChar w:fldCharType="separate"/>
      </w:r>
      <w:r>
        <w:rPr>
          <w:rFonts w:hint="eastAsia" w:ascii="仿宋_GB2312" w:hAnsi="仿宋_GB2312" w:eastAsia="仿宋_GB2312" w:cs="仿宋_GB2312"/>
          <w:szCs w:val="32"/>
        </w:rPr>
        <w:t>一、部门概况</w:t>
      </w:r>
      <w:r>
        <w:rPr>
          <w:rFonts w:hint="eastAsia" w:ascii="仿宋_GB2312" w:hAnsi="仿宋_GB2312" w:eastAsia="仿宋_GB2312" w:cs="仿宋_GB2312"/>
          <w:szCs w:val="32"/>
        </w:rPr>
        <w:fldChar w:fldCharType="end"/>
      </w:r>
      <w:bookmarkStart w:id="0" w:name="_GoBack"/>
      <w:bookmarkEnd w:id="0"/>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（一）机构组成</w:t>
      </w:r>
    </w:p>
    <w:p>
      <w:pPr>
        <w:snapToGrid w:val="0"/>
        <w:spacing w:line="520" w:lineRule="exact"/>
        <w:ind w:firstLine="624" w:firstLineChars="200"/>
        <w:rPr>
          <w:rFonts w:ascii="仿宋_GB2312" w:hAnsi="仿宋_GB2312" w:eastAsia="仿宋_GB2312" w:cs="仿宋_GB2312"/>
          <w:szCs w:val="32"/>
        </w:rPr>
      </w:pPr>
      <w:r>
        <w:rPr>
          <w:rFonts w:hint="eastAsia" w:eastAsia="仿宋_GB2312" w:cs="Times New Roman"/>
          <w:szCs w:val="32"/>
        </w:rPr>
        <w:t>安宁市工业经贸和科学技术信息局内设机构8个科室和2个事业单位，分别是</w:t>
      </w:r>
      <w:r>
        <w:rPr>
          <w:rFonts w:eastAsia="仿宋_GB2312" w:cs="Times New Roman"/>
          <w:szCs w:val="32"/>
        </w:rPr>
        <w:t>党政综合办公室</w:t>
      </w:r>
      <w:r>
        <w:rPr>
          <w:rFonts w:hint="eastAsia" w:eastAsia="仿宋_GB2312" w:cs="Times New Roman"/>
          <w:szCs w:val="32"/>
        </w:rPr>
        <w:t>、</w:t>
      </w:r>
      <w:r>
        <w:rPr>
          <w:rFonts w:eastAsia="仿宋_GB2312" w:cs="Times New Roman"/>
          <w:szCs w:val="32"/>
        </w:rPr>
        <w:t>工业经济科</w:t>
      </w:r>
      <w:r>
        <w:rPr>
          <w:rFonts w:hint="eastAsia" w:eastAsia="仿宋_GB2312" w:cs="Times New Roman"/>
          <w:szCs w:val="32"/>
        </w:rPr>
        <w:t>、</w:t>
      </w:r>
      <w:r>
        <w:rPr>
          <w:rFonts w:eastAsia="仿宋_GB2312" w:cs="Times New Roman"/>
          <w:szCs w:val="32"/>
        </w:rPr>
        <w:t>中小企业科</w:t>
      </w:r>
      <w:r>
        <w:rPr>
          <w:rFonts w:hint="eastAsia" w:eastAsia="仿宋_GB2312" w:cs="Times New Roman"/>
          <w:szCs w:val="32"/>
        </w:rPr>
        <w:t>、</w:t>
      </w:r>
      <w:r>
        <w:rPr>
          <w:rFonts w:eastAsia="仿宋_GB2312" w:cs="Times New Roman"/>
          <w:szCs w:val="32"/>
        </w:rPr>
        <w:t>商务经贸科</w:t>
      </w:r>
      <w:r>
        <w:rPr>
          <w:rFonts w:hint="eastAsia" w:eastAsia="仿宋_GB2312" w:cs="Times New Roman"/>
          <w:szCs w:val="32"/>
        </w:rPr>
        <w:t>、</w:t>
      </w:r>
      <w:r>
        <w:rPr>
          <w:rFonts w:eastAsia="仿宋_GB2312" w:cs="Times New Roman"/>
          <w:szCs w:val="32"/>
        </w:rPr>
        <w:t>信息化科（安宁市电子政务网络管理中心，安宁市无线电管理办公室）</w:t>
      </w:r>
      <w:r>
        <w:rPr>
          <w:rFonts w:hint="eastAsia" w:eastAsia="仿宋_GB2312" w:cs="Times New Roman"/>
          <w:szCs w:val="32"/>
        </w:rPr>
        <w:t>、</w:t>
      </w:r>
      <w:r>
        <w:rPr>
          <w:rFonts w:eastAsia="仿宋_GB2312" w:cs="Times New Roman"/>
          <w:szCs w:val="32"/>
        </w:rPr>
        <w:t>科学技术科</w:t>
      </w:r>
      <w:r>
        <w:rPr>
          <w:rFonts w:hint="eastAsia" w:eastAsia="仿宋_GB2312" w:cs="Times New Roman"/>
          <w:szCs w:val="32"/>
        </w:rPr>
        <w:t>、</w:t>
      </w:r>
      <w:r>
        <w:rPr>
          <w:rFonts w:eastAsia="仿宋_GB2312" w:cs="Times New Roman"/>
          <w:szCs w:val="32"/>
        </w:rPr>
        <w:t>能源建设科</w:t>
      </w:r>
      <w:r>
        <w:rPr>
          <w:rFonts w:hint="eastAsia" w:eastAsia="仿宋_GB2312" w:cs="Times New Roman"/>
          <w:szCs w:val="32"/>
        </w:rPr>
        <w:t>、</w:t>
      </w:r>
      <w:r>
        <w:rPr>
          <w:rFonts w:eastAsia="仿宋_GB2312" w:cs="Times New Roman"/>
          <w:szCs w:val="32"/>
        </w:rPr>
        <w:t>政策法规科</w:t>
      </w:r>
      <w:r>
        <w:rPr>
          <w:rFonts w:hint="eastAsia" w:eastAsia="仿宋_GB2312" w:cs="Times New Roman"/>
          <w:szCs w:val="32"/>
        </w:rPr>
        <w:t>、</w:t>
      </w:r>
      <w:r>
        <w:rPr>
          <w:rFonts w:eastAsia="仿宋_GB2312" w:cs="Times New Roman"/>
          <w:szCs w:val="32"/>
        </w:rPr>
        <w:t>安宁市知识产权局</w:t>
      </w:r>
      <w:r>
        <w:rPr>
          <w:rFonts w:hint="eastAsia" w:eastAsia="仿宋_GB2312" w:cs="Times New Roman"/>
          <w:szCs w:val="32"/>
        </w:rPr>
        <w:t>、</w:t>
      </w:r>
      <w:r>
        <w:rPr>
          <w:rFonts w:eastAsia="仿宋_GB2312" w:cs="Times New Roman"/>
          <w:szCs w:val="32"/>
        </w:rPr>
        <w:t>安宁市节约能源监察大队</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（二）部门职能</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1.</w:t>
      </w:r>
      <w:r>
        <w:rPr>
          <w:rFonts w:ascii="仿宋_GB2312" w:hAnsi="仿宋_GB2312" w:eastAsia="仿宋_GB2312" w:cs="仿宋_GB2312"/>
          <w:szCs w:val="32"/>
        </w:rPr>
        <w:t>认真组织贯彻落实国家、省、昆明市工业经济、商贸流通、科学技术和信息化建设的方针、政策，提出我市相应的中长期发展规划，组织实施年度工作计划。</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2.</w:t>
      </w:r>
      <w:r>
        <w:rPr>
          <w:rFonts w:ascii="仿宋_GB2312" w:hAnsi="仿宋_GB2312" w:eastAsia="仿宋_GB2312" w:cs="仿宋_GB2312"/>
          <w:szCs w:val="32"/>
        </w:rPr>
        <w:t>贯彻实施市委、市政府工业强市战略，对工业产业可持续发展进行综合分析和研究，提出产业发展导向，重点行业、重要产品结构调整方案，并组织实施；研究和编制工业经济、非公经济、中小企业年度运行调控方案；监测分析工业经济运行态势，研究提出调控的措施与建议；优化生产力布局，促进资源的优化配置；指导工业集聚区的产业发展工作；指导行业进行制度创新和管理创新；贯彻执行国家企业技术进步政策，编制全市企业技术创新、技术引进、重大装备国产化和重大技术装备项目实施规划；提出引导企业技术进步的有关政策措施。</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3.</w:t>
      </w:r>
      <w:r>
        <w:rPr>
          <w:rFonts w:ascii="仿宋_GB2312" w:hAnsi="仿宋_GB2312" w:eastAsia="仿宋_GB2312" w:cs="仿宋_GB2312"/>
          <w:szCs w:val="32"/>
        </w:rPr>
        <w:t>监控我市工业经济运行，协调解决工业经济运行中的重大问题；建立和完善产业预警机制；拟定工业经济、非公经济、中小企业等发展政策，协调相关产业政策的制定并监督落实；负责工业企业信息技术推广和运用，指导和推进工业企业信息技术的应用工作。</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4.</w:t>
      </w:r>
      <w:r>
        <w:rPr>
          <w:rFonts w:ascii="仿宋_GB2312" w:hAnsi="仿宋_GB2312" w:eastAsia="仿宋_GB2312" w:cs="仿宋_GB2312"/>
          <w:szCs w:val="32"/>
        </w:rPr>
        <w:t>承担市级审批权限范围内工业企业技术改造项目的登记备案，上报省、市级审批的工业企业技术改造项目审核；实施工业企业行业管理；拟定地方性行业发展规划、行业规范性文件和产业技术政策，并组织实施。</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5.</w:t>
      </w:r>
      <w:r>
        <w:rPr>
          <w:rFonts w:ascii="仿宋_GB2312" w:hAnsi="仿宋_GB2312" w:eastAsia="仿宋_GB2312" w:cs="仿宋_GB2312"/>
          <w:szCs w:val="32"/>
        </w:rPr>
        <w:t>加强对中小企业、非公企业、乡镇企业的指导，协调解决发展中的有关问题；负责相关统计和运行情况分析；维护中小企业、乡镇企业、非公企业经营者的合法权益；承担安宁市非公经济领导小组办公室的日常工作。</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6.</w:t>
      </w:r>
      <w:r>
        <w:rPr>
          <w:rFonts w:ascii="仿宋_GB2312" w:hAnsi="仿宋_GB2312" w:eastAsia="仿宋_GB2312" w:cs="仿宋_GB2312"/>
          <w:szCs w:val="32"/>
        </w:rPr>
        <w:t>指导和推动企业实施清洁生产；对资源综合利用和再生资源回收利用申报企业进行初审、上报；负责全市能源及重要物资的紧急调度工作；负责协调铁路、公路重点物资出省、出口运输计划工作；实施煤、电、油、运等生产要素的有效综合平衡；规范全市地方煤炭经营秩序；负责辖区内电力供需协调；指导和监督企业抓好资源节约和综合利用；引导企业实施以节能降耗为主的新产品、新技术开发和设备改造；参与拟订工业环保发展规划。协同做好对工业企业环保工作的监督检查；承担编制本市能源建设规划、计划，研究并组织实施；承担引进开发能源新技术，组织实施本市能源建设和能源审计工作；承担安宁市“三电”办领导小组办公室的日常工作；联系企业家协会等行业协会组织。</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7.</w:t>
      </w:r>
      <w:r>
        <w:rPr>
          <w:rFonts w:ascii="仿宋_GB2312" w:hAnsi="仿宋_GB2312" w:eastAsia="仿宋_GB2312" w:cs="仿宋_GB2312"/>
          <w:szCs w:val="32"/>
        </w:rPr>
        <w:t>会同有关部门拟订全市内外贸易、国际经济合作的相关政策和规范性文件，提出全市内外贸易和对外经济合作的中长期发展规划以及年度计划并组织实施。分析研究全市外商投资情况，依法核准、转报、审批外商投资企业的设立和外商投资项目合同、章程变更事项；监督外商投资企业执行有关法律法规、规章及合同、章程；协助指导全市利用外资工作，提升利用外资的规模水平。</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8.</w:t>
      </w:r>
      <w:r>
        <w:rPr>
          <w:rFonts w:ascii="仿宋_GB2312" w:hAnsi="仿宋_GB2312" w:eastAsia="仿宋_GB2312" w:cs="仿宋_GB2312"/>
          <w:szCs w:val="32"/>
        </w:rPr>
        <w:t>会同有关部门研究全市现代流通业的发展规划，提出流通体制改革意见；负责流通产业结构调整，推广连锁经营、物流配送、电子商务等现代流通方式，促进现代流通业发展；拟订全市商业网点规划，协助有关部门合理确定商业网点和数量、规模和业态，组织实施农村现代流通网络工程，推进城乡市场协调发展。</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9.</w:t>
      </w:r>
      <w:r>
        <w:rPr>
          <w:rFonts w:ascii="仿宋_GB2312" w:hAnsi="仿宋_GB2312" w:eastAsia="仿宋_GB2312" w:cs="仿宋_GB2312"/>
          <w:szCs w:val="32"/>
        </w:rPr>
        <w:t>研究拟订全市规范市场运行和流通秩序的政策、规范性文件；负责商品流通的行业监督和管理；监测分析全市市场运行和商品供求状况，实施重要消费品市场调控和政府储备工作；负责全市定点屠宰及拍卖、典当、旧货等特殊流通业的管理，规范市场流通秩序；开展“创绿”工程，创建绿色饭店和绿色商场，推进商务领导品牌建设，组织实施“振兴老字号工程”，实施节能工程，开展连锁经营，完善社区商务服务；组织实施安宁市信用体系平台建设工作；依法初审安宁市新建、改扩建加油站工作，协调组织管理成品油并监测成品油供应市场信息工作；牵头组织实施安宁市再生资源回收体系建设工作；承担安宁市市场整顿和规范市场经济秩序领导小组、安宁市畜禽屠宰管理工作领导小组办公室的日常工作。</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10.</w:t>
      </w:r>
      <w:r>
        <w:rPr>
          <w:rFonts w:ascii="仿宋_GB2312" w:hAnsi="仿宋_GB2312" w:eastAsia="仿宋_GB2312" w:cs="仿宋_GB2312"/>
          <w:szCs w:val="32"/>
        </w:rPr>
        <w:t>拟定科技发展规划和年度计划，编制重大科技攻关计划；指导有关部门拟定科技计划；承担引进、开发先进的工业、农业等科学技术，并做好成果转化工作。促进市域工业、农业的科技进步，推动工业、农业产业化和新的经济增长；牵头协调相关部门推进全市科技创新体系建设，指导市内企业科技进步工作，推动产、学、研结合，强化高新技术的引进、应用、开发与推广，推进企业技术创新体系建设，促进企业技术进步。</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11.</w:t>
      </w:r>
      <w:r>
        <w:rPr>
          <w:rFonts w:ascii="仿宋_GB2312" w:hAnsi="仿宋_GB2312" w:eastAsia="仿宋_GB2312" w:cs="仿宋_GB2312"/>
          <w:szCs w:val="32"/>
        </w:rPr>
        <w:t>负责组织实施全市的科技计划项目，申报省和国家各类科研课题和科技计划，并组织实施。负责组织对我市社会经济发展所需技术进行重点研究开发；监督检查全市的科技计划项目经费使用情况，负责市级中试基地、科技示范园、科普示范基地的规划、论证。承担全市技术市场的服务工作，推动科技合作与交流，促进科技成果转化；推进全市民营科技企业的发展；会同相关部门研究科技人才资源合理配置。</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12.</w:t>
      </w:r>
      <w:r>
        <w:rPr>
          <w:rFonts w:ascii="仿宋_GB2312" w:hAnsi="仿宋_GB2312" w:eastAsia="仿宋_GB2312" w:cs="仿宋_GB2312"/>
          <w:szCs w:val="32"/>
        </w:rPr>
        <w:t>协调市科普工作联席会议，指导全市的科学技术普及宣传工作及科技信息网的建设，利用科技信息资源，开展科技宣传、科技咨询、科学教育、科技培训、提高全民科技素质；负责安宁市科普联席会议办公室日常工作。</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13.</w:t>
      </w:r>
      <w:r>
        <w:rPr>
          <w:rFonts w:ascii="仿宋_GB2312" w:hAnsi="仿宋_GB2312" w:eastAsia="仿宋_GB2312" w:cs="仿宋_GB2312"/>
          <w:szCs w:val="32"/>
        </w:rPr>
        <w:t>负责全市科技成果的申报、鉴定、评定、验收，成果登记、评审和奖励工作，推荐上报昆明市及省级以上奖励。做好人才引进、中青年学科带头人培养和推荐；参与研究制定科技人才队伍建设的规划、政策和措施。负责组织参与省院省校科技合作，推动市校科技合作进程；负责安宁市科学技术奖励委员会办公室日常工作。</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14.</w:t>
      </w:r>
      <w:r>
        <w:rPr>
          <w:rFonts w:ascii="仿宋_GB2312" w:hAnsi="仿宋_GB2312" w:eastAsia="仿宋_GB2312" w:cs="仿宋_GB2312"/>
          <w:szCs w:val="32"/>
        </w:rPr>
        <w:t>负责全市信息化建设的规划、实施和管理，制定全市信息产业建设相关政策、规定，并监督实施；对全市信息建设的重大问题进行调研，为市信息化建设领导小组提供决策依据；按照建设“数字安宁”的总体要求，负责全市党政机关信息化和电子政务应用项目的规划、建设、管理和维护，确保所开发的应用系统实现信息资源共享，做好各部门电子政务应用人员的业务技能培训；负责全市光纤城域网的扩容、升级、维护和管理，保障光纤网络正常运行；承担安宁市信息化建设领导小组的日常工作。</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15.</w:t>
      </w:r>
      <w:r>
        <w:rPr>
          <w:rFonts w:ascii="仿宋_GB2312" w:hAnsi="仿宋_GB2312" w:eastAsia="仿宋_GB2312" w:cs="仿宋_GB2312"/>
          <w:szCs w:val="32"/>
        </w:rPr>
        <w:t>承担安宁市电子政务网络管理中心职责，负责保障中心机房、市委、市政府和政务服务中心等骨干机房网络设备的正常运行、维护和升级等工作。负责安宁市电子政务视频会议中心的日常管理和维护工作；负责安宁市无线电管理办公室日常工作。</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16.</w:t>
      </w:r>
      <w:r>
        <w:rPr>
          <w:rFonts w:ascii="仿宋_GB2312" w:hAnsi="仿宋_GB2312" w:eastAsia="仿宋_GB2312" w:cs="仿宋_GB2312"/>
          <w:szCs w:val="32"/>
        </w:rPr>
        <w:t>承担深化企业改革及改制企业人员管理职责；承担农贸市场管理职责。</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17.</w:t>
      </w:r>
      <w:r>
        <w:rPr>
          <w:rFonts w:ascii="仿宋_GB2312" w:hAnsi="仿宋_GB2312" w:eastAsia="仿宋_GB2312" w:cs="仿宋_GB2312"/>
          <w:szCs w:val="32"/>
        </w:rPr>
        <w:t>承办安宁市委、市人民政府和上级机关交办的其他事项。</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（三）人员及资产情况</w:t>
      </w:r>
    </w:p>
    <w:p>
      <w:pPr>
        <w:snapToGrid w:val="0"/>
        <w:ind w:firstLine="624" w:firstLineChars="200"/>
        <w:rPr>
          <w:rFonts w:ascii="仿宋_GB2312" w:hAnsi="仿宋" w:eastAsia="仿宋_GB2312"/>
          <w:szCs w:val="32"/>
        </w:rPr>
      </w:pPr>
      <w:r>
        <w:rPr>
          <w:rFonts w:hint="eastAsia" w:ascii="仿宋_GB2312" w:eastAsia="仿宋_GB2312"/>
          <w:color w:val="000000"/>
          <w:szCs w:val="32"/>
          <w:u w:val="single"/>
        </w:rPr>
        <w:t>2017 </w:t>
      </w:r>
      <w:r>
        <w:rPr>
          <w:rFonts w:hint="eastAsia" w:ascii="仿宋_GB2312" w:hAnsi="仿宋" w:eastAsia="仿宋_GB2312" w:cs="仿宋"/>
          <w:color w:val="000000"/>
          <w:szCs w:val="32"/>
        </w:rPr>
        <w:t>年度，纳入本部门决算汇编范围的独立核算单位共</w:t>
      </w:r>
      <w:r>
        <w:rPr>
          <w:rFonts w:hint="eastAsia" w:ascii="仿宋_GB2312" w:eastAsia="仿宋_GB2312"/>
          <w:color w:val="000000"/>
          <w:szCs w:val="32"/>
          <w:u w:val="single"/>
        </w:rPr>
        <w:t>     1     </w:t>
      </w:r>
      <w:r>
        <w:rPr>
          <w:rFonts w:hint="eastAsia" w:ascii="仿宋_GB2312" w:hAnsi="仿宋" w:eastAsia="仿宋_GB2312" w:cs="仿宋"/>
          <w:color w:val="000000"/>
          <w:szCs w:val="32"/>
        </w:rPr>
        <w:t>个。</w:t>
      </w:r>
    </w:p>
    <w:p>
      <w:pPr>
        <w:spacing w:line="520" w:lineRule="exact"/>
        <w:ind w:firstLine="624" w:firstLineChars="200"/>
        <w:jc w:val="left"/>
        <w:rPr>
          <w:rFonts w:ascii="仿宋_GB2312" w:hAnsi="仿宋_GB2312" w:eastAsia="仿宋_GB2312" w:cs="仿宋_GB2312"/>
          <w:szCs w:val="32"/>
        </w:rPr>
      </w:pPr>
      <w:r>
        <w:rPr>
          <w:rFonts w:ascii="仿宋_GB2312" w:hAnsi="仿宋_GB2312" w:eastAsia="仿宋_GB2312" w:cs="仿宋_GB2312"/>
          <w:szCs w:val="32"/>
        </w:rPr>
        <w:t>我单位实有职工</w:t>
      </w:r>
      <w:r>
        <w:rPr>
          <w:rFonts w:hint="eastAsia" w:ascii="仿宋_GB2312" w:hAnsi="仿宋_GB2312" w:eastAsia="仿宋_GB2312" w:cs="仿宋_GB2312"/>
          <w:szCs w:val="32"/>
        </w:rPr>
        <w:t>38</w:t>
      </w:r>
      <w:r>
        <w:rPr>
          <w:rFonts w:ascii="仿宋_GB2312" w:hAnsi="仿宋_GB2312" w:eastAsia="仿宋_GB2312" w:cs="仿宋_GB2312"/>
          <w:szCs w:val="32"/>
        </w:rPr>
        <w:t>人，其中，公务员</w:t>
      </w:r>
      <w:r>
        <w:rPr>
          <w:rFonts w:hint="eastAsia" w:ascii="仿宋_GB2312" w:hAnsi="仿宋_GB2312" w:eastAsia="仿宋_GB2312" w:cs="仿宋_GB2312"/>
          <w:szCs w:val="32"/>
        </w:rPr>
        <w:t>18</w:t>
      </w:r>
      <w:r>
        <w:rPr>
          <w:rFonts w:ascii="仿宋_GB2312" w:hAnsi="仿宋_GB2312" w:eastAsia="仿宋_GB2312" w:cs="仿宋_GB2312"/>
          <w:szCs w:val="32"/>
        </w:rPr>
        <w:t>人，工勤人员</w:t>
      </w:r>
      <w:r>
        <w:rPr>
          <w:rFonts w:hint="eastAsia" w:ascii="仿宋_GB2312" w:hAnsi="仿宋_GB2312" w:eastAsia="仿宋_GB2312" w:cs="仿宋_GB2312"/>
          <w:szCs w:val="32"/>
        </w:rPr>
        <w:t>10</w:t>
      </w:r>
      <w:r>
        <w:rPr>
          <w:rFonts w:ascii="仿宋_GB2312" w:hAnsi="仿宋_GB2312" w:eastAsia="仿宋_GB2312" w:cs="仿宋_GB2312"/>
          <w:szCs w:val="32"/>
        </w:rPr>
        <w:t>人，事业编人员10人。</w:t>
      </w:r>
      <w:r>
        <w:rPr>
          <w:rFonts w:hint="eastAsia" w:ascii="仿宋_GB2312" w:hAnsi="仿宋_GB2312" w:eastAsia="仿宋_GB2312" w:cs="仿宋_GB2312"/>
          <w:szCs w:val="32"/>
        </w:rPr>
        <w:t>离</w:t>
      </w:r>
      <w:r>
        <w:rPr>
          <w:rFonts w:ascii="仿宋_GB2312" w:hAnsi="仿宋_GB2312" w:eastAsia="仿宋_GB2312" w:cs="仿宋_GB2312"/>
          <w:szCs w:val="32"/>
        </w:rPr>
        <w:t>退休人员5</w:t>
      </w:r>
      <w:r>
        <w:rPr>
          <w:rFonts w:hint="eastAsia" w:ascii="仿宋_GB2312" w:hAnsi="仿宋_GB2312" w:eastAsia="仿宋_GB2312" w:cs="仿宋_GB2312"/>
          <w:szCs w:val="32"/>
        </w:rPr>
        <w:t>4</w:t>
      </w:r>
      <w:r>
        <w:rPr>
          <w:rFonts w:ascii="仿宋_GB2312" w:hAnsi="仿宋_GB2312" w:eastAsia="仿宋_GB2312" w:cs="仿宋_GB2312"/>
          <w:szCs w:val="32"/>
        </w:rPr>
        <w:t>人</w:t>
      </w:r>
      <w:r>
        <w:rPr>
          <w:rFonts w:hint="eastAsia" w:ascii="仿宋_GB2312" w:hAnsi="仿宋_GB2312" w:eastAsia="仿宋_GB2312" w:cs="仿宋_GB2312"/>
          <w:szCs w:val="32"/>
        </w:rPr>
        <w:t>其中，离休</w:t>
      </w:r>
      <w:r>
        <w:rPr>
          <w:rFonts w:ascii="仿宋_GB2312" w:hAnsi="仿宋_GB2312" w:eastAsia="仿宋_GB2312" w:cs="仿宋_GB2312"/>
          <w:szCs w:val="32"/>
        </w:rPr>
        <w:t>人员</w:t>
      </w:r>
      <w:r>
        <w:rPr>
          <w:rFonts w:hint="eastAsia" w:ascii="仿宋_GB2312" w:hAnsi="仿宋_GB2312" w:eastAsia="仿宋_GB2312" w:cs="仿宋_GB2312"/>
          <w:szCs w:val="32"/>
        </w:rPr>
        <w:t>1</w:t>
      </w:r>
      <w:r>
        <w:rPr>
          <w:rFonts w:ascii="仿宋_GB2312" w:hAnsi="仿宋_GB2312" w:eastAsia="仿宋_GB2312" w:cs="仿宋_GB2312"/>
          <w:szCs w:val="32"/>
        </w:rPr>
        <w:t>人</w:t>
      </w:r>
      <w:r>
        <w:rPr>
          <w:rFonts w:hint="eastAsia" w:ascii="仿宋_GB2312" w:hAnsi="仿宋_GB2312" w:eastAsia="仿宋_GB2312" w:cs="仿宋_GB2312"/>
          <w:szCs w:val="32"/>
        </w:rPr>
        <w:t>，</w:t>
      </w:r>
      <w:r>
        <w:rPr>
          <w:rFonts w:ascii="仿宋_GB2312" w:hAnsi="仿宋_GB2312" w:eastAsia="仿宋_GB2312" w:cs="仿宋_GB2312"/>
          <w:szCs w:val="32"/>
        </w:rPr>
        <w:t>退休人员5</w:t>
      </w:r>
      <w:r>
        <w:rPr>
          <w:rFonts w:hint="eastAsia" w:ascii="仿宋_GB2312" w:hAnsi="仿宋_GB2312" w:eastAsia="仿宋_GB2312" w:cs="仿宋_GB2312"/>
          <w:szCs w:val="32"/>
        </w:rPr>
        <w:t>3</w:t>
      </w:r>
      <w:r>
        <w:rPr>
          <w:rFonts w:ascii="仿宋_GB2312" w:hAnsi="仿宋_GB2312" w:eastAsia="仿宋_GB2312" w:cs="仿宋_GB2312"/>
          <w:szCs w:val="32"/>
        </w:rPr>
        <w:t>人</w:t>
      </w:r>
      <w:r>
        <w:rPr>
          <w:rFonts w:hint="eastAsia" w:ascii="仿宋_GB2312" w:hAnsi="仿宋_GB2312" w:eastAsia="仿宋_GB2312" w:cs="仿宋_GB2312"/>
          <w:szCs w:val="32"/>
        </w:rPr>
        <w:t>。</w:t>
      </w:r>
      <w:r>
        <w:rPr>
          <w:rFonts w:ascii="仿宋_GB2312" w:hAnsi="仿宋_GB2312" w:eastAsia="仿宋_GB2312" w:cs="仿宋_GB2312"/>
          <w:szCs w:val="32"/>
        </w:rPr>
        <w:t>实有车辆编制1辆，事业编实有车辆2辆。</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（四）2018年重点工作概述</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2018年，我们将围绕市委、市政府确定的目标任务，敢于担当，勇于负责，全力以赴抓落实。重点抓好以下几项工作：</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1.加强转型升级，促进产业提升。一是</w:t>
      </w:r>
      <w:r>
        <w:fldChar w:fldCharType="begin"/>
      </w:r>
      <w:r>
        <w:instrText xml:space="preserve"> HYPERLINK \l "_Toc454460194" </w:instrText>
      </w:r>
      <w:r>
        <w:fldChar w:fldCharType="separate"/>
      </w:r>
      <w:r>
        <w:rPr>
          <w:rFonts w:hint="eastAsia" w:ascii="仿宋_GB2312" w:hAnsi="仿宋_GB2312" w:eastAsia="仿宋_GB2312" w:cs="仿宋_GB2312"/>
          <w:szCs w:val="32"/>
        </w:rPr>
        <w:t>延伸发展优势产业。</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t>在石化、磷化等领域推广先进技术、新工艺、新设备、新材料，延伸产业链，实现供给侧的优化和升级。同时，围绕延伸产业链条，强链补链，积极开展产业链招商引资，争取引进、培育一批行业龙头企业，筑牢产业发展优势。</w:t>
      </w:r>
      <w:r>
        <w:fldChar w:fldCharType="begin"/>
      </w:r>
      <w:r>
        <w:instrText xml:space="preserve"> HYPERLINK \l "_Toc454460197" </w:instrText>
      </w:r>
      <w:r>
        <w:fldChar w:fldCharType="separate"/>
      </w:r>
      <w:r>
        <w:rPr>
          <w:rFonts w:hint="eastAsia" w:ascii="仿宋_GB2312" w:hAnsi="仿宋_GB2312" w:eastAsia="仿宋_GB2312" w:cs="仿宋_GB2312"/>
          <w:szCs w:val="32"/>
        </w:rPr>
        <w:t>二是创新发展新兴产业。</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t>把握先进制造业的发展趋势，以服务滇中产业群，对接东南亚、南亚对机械、电子产品的潜力需求，重点发展以先进装备及精密部件、新材料为方向的新兴领域，以关键技术、科技创新为突破口，强化与传统产业的耦合发展，推动传统装备制造业向智能化、信息化的智能装备产业转型升级，大力构建以循环经济为核心的产业配套协作体系。筑牢石化、冶金钢铁、磷化工、盐化工等支撑转型发展的“四根柱子”，打造了“新重化”品牌。三是推动企业节能降耗，全力抓好高耗能行业、重点企业节能，严把能耗增长源头。大力发展循环经济。在重点行业大力推广清洁生产技术，提升工业整体能效。鼓励和支持企业加强技术改造和产品升级换代，主动提前淘汰低端产品制造能力和相对落后产能。</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2.加强融资帮扶，促进企业解困。一是</w:t>
      </w:r>
      <w:r>
        <w:rPr>
          <w:rFonts w:ascii="仿宋_GB2312" w:hAnsi="仿宋_GB2312" w:eastAsia="仿宋_GB2312" w:cs="仿宋_GB2312"/>
          <w:szCs w:val="32"/>
        </w:rPr>
        <w:t>针对企业普遍反映的融资难问题，积极推行</w:t>
      </w:r>
      <w:r>
        <w:rPr>
          <w:rFonts w:hint="eastAsia" w:ascii="仿宋_GB2312" w:hAnsi="仿宋_GB2312" w:eastAsia="仿宋_GB2312" w:cs="仿宋_GB2312"/>
          <w:szCs w:val="32"/>
        </w:rPr>
        <w:t>“助企贷”</w:t>
      </w:r>
      <w:r>
        <w:rPr>
          <w:rFonts w:ascii="仿宋_GB2312" w:hAnsi="仿宋_GB2312" w:eastAsia="仿宋_GB2312" w:cs="仿宋_GB2312"/>
          <w:szCs w:val="32"/>
        </w:rPr>
        <w:t>工作。同时，</w:t>
      </w:r>
      <w:r>
        <w:rPr>
          <w:rFonts w:hint="eastAsia" w:ascii="仿宋_GB2312" w:hAnsi="仿宋_GB2312" w:eastAsia="仿宋_GB2312" w:cs="仿宋_GB2312"/>
          <w:szCs w:val="32"/>
        </w:rPr>
        <w:t>积极宣传，贯彻落实省、昆明市及我市有关扶持工业经济发展的政策措施，进一步提振企业信心，促进企业健康稳步发展；着力稳工业、促转型，努力形成新的经济增长点，全力推进现有产业项目，继续推进中小企业成长工程，及时将符合条件的企业纳入统计体系。二是</w:t>
      </w:r>
      <w:r>
        <w:rPr>
          <w:rFonts w:ascii="仿宋_GB2312" w:hAnsi="仿宋_GB2312" w:eastAsia="仿宋_GB2312" w:cs="仿宋_GB2312"/>
          <w:szCs w:val="32"/>
        </w:rPr>
        <w:t>加大宣传力度，进一步调动我市企业上市积极性，加快企业境内外上市步伐，促进一批成长性好、发展潜力大的优质企业通过资本市场做大、做优、做强。</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3.加强商圈打造，促进三产繁荣。一是继续打造“南亚国际陆港 安宁万亩商圈”，</w:t>
      </w:r>
      <w:r>
        <w:rPr>
          <w:rFonts w:ascii="仿宋_GB2312" w:hAnsi="仿宋_GB2312" w:eastAsia="仿宋_GB2312" w:cs="仿宋_GB2312"/>
          <w:szCs w:val="32"/>
        </w:rPr>
        <w:t>鼓励本地和外来企业发展，政府主要做好整体包装宣传工作，为入驻商家创造一个高效、便捷、安全、舒适的经营环境</w:t>
      </w:r>
      <w:r>
        <w:rPr>
          <w:rFonts w:hint="eastAsia" w:ascii="仿宋_GB2312" w:hAnsi="仿宋_GB2312" w:eastAsia="仿宋_GB2312" w:cs="仿宋_GB2312"/>
          <w:szCs w:val="32"/>
        </w:rPr>
        <w:t>；</w:t>
      </w:r>
      <w:r>
        <w:rPr>
          <w:rFonts w:ascii="仿宋_GB2312" w:hAnsi="仿宋_GB2312" w:eastAsia="仿宋_GB2312" w:cs="仿宋_GB2312"/>
          <w:szCs w:val="32"/>
        </w:rPr>
        <w:t>增强商圈聚集发展，推动官渡区</w:t>
      </w:r>
      <w:r>
        <w:rPr>
          <w:rFonts w:hint="eastAsia" w:ascii="仿宋_GB2312" w:hAnsi="仿宋_GB2312" w:eastAsia="仿宋_GB2312" w:cs="仿宋_GB2312"/>
          <w:szCs w:val="32"/>
        </w:rPr>
        <w:t>、西山区</w:t>
      </w:r>
      <w:r>
        <w:rPr>
          <w:rFonts w:ascii="仿宋_GB2312" w:hAnsi="仿宋_GB2312" w:eastAsia="仿宋_GB2312" w:cs="仿宋_GB2312"/>
          <w:szCs w:val="32"/>
        </w:rPr>
        <w:t>市场承接工作，着力打</w:t>
      </w:r>
      <w:r>
        <w:rPr>
          <w:rFonts w:hint="eastAsia" w:ascii="仿宋_GB2312" w:hAnsi="仿宋_GB2312" w:eastAsia="仿宋_GB2312" w:cs="仿宋_GB2312"/>
          <w:szCs w:val="32"/>
        </w:rPr>
        <w:t>造“万亩商圈 南亚国际陆港”，不断推进商贸流通业加快发展、创新发展、转型升级。二是</w:t>
      </w:r>
      <w:r>
        <w:rPr>
          <w:rFonts w:ascii="仿宋_GB2312" w:hAnsi="仿宋_GB2312" w:eastAsia="仿宋_GB2312" w:cs="仿宋_GB2312"/>
          <w:szCs w:val="32"/>
        </w:rPr>
        <w:t>加强社会消费品市场监控，准确把握市场行情，健全市场预警机制，确保商品物资不断档、不脱销</w:t>
      </w:r>
      <w:r>
        <w:rPr>
          <w:rFonts w:hint="eastAsia" w:ascii="仿宋_GB2312" w:hAnsi="仿宋_GB2312" w:eastAsia="仿宋_GB2312" w:cs="仿宋_GB2312"/>
          <w:szCs w:val="32"/>
        </w:rPr>
        <w:t>。</w:t>
      </w:r>
      <w:r>
        <w:rPr>
          <w:rFonts w:ascii="仿宋_GB2312" w:hAnsi="仿宋_GB2312" w:eastAsia="仿宋_GB2312" w:cs="仿宋_GB2312"/>
          <w:szCs w:val="32"/>
        </w:rPr>
        <w:t>做好商贸设施和功能配套的规划，培育各类商贸市场，推动农业、工业、服务业与商贸流通发展的联动。</w:t>
      </w:r>
      <w:r>
        <w:rPr>
          <w:rFonts w:hint="eastAsia" w:ascii="仿宋_GB2312" w:hAnsi="仿宋_GB2312" w:eastAsia="仿宋_GB2312" w:cs="仿宋_GB2312"/>
          <w:szCs w:val="32"/>
        </w:rPr>
        <w:t>三是加快安宁市现代服务业升级步伐，商贸、物流成为发展新动力。商贸服务业多元化发展，构建了以主城核心商圈为主导、区域商圈和居住区商圈为补充、现代商贸物流为支撑的商业体系。</w:t>
      </w:r>
    </w:p>
    <w:p>
      <w:pPr>
        <w:spacing w:line="520" w:lineRule="exact"/>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4.加强双创工作，促进活力释放。一是努力打造“大众创业、万众创新 ”发展经济新“引擎”，充分激发安宁万人创业创新激情。大力推进“互联网+”发展。加快发展一批主业突出、核心竞争力强的企业、一批专“精、特、新”的龙头企业、一批拥有自主知识产权和自主品牌的创新型企业。二是推进</w:t>
      </w:r>
      <w:r>
        <w:rPr>
          <w:rFonts w:ascii="仿宋_GB2312" w:hAnsi="仿宋_GB2312" w:eastAsia="仿宋_GB2312" w:cs="仿宋_GB2312"/>
          <w:szCs w:val="32"/>
        </w:rPr>
        <w:t>创业园建设工作</w:t>
      </w:r>
      <w:r>
        <w:rPr>
          <w:rFonts w:hint="eastAsia" w:ascii="仿宋_GB2312" w:hAnsi="仿宋_GB2312" w:eastAsia="仿宋_GB2312" w:cs="仿宋_GB2312"/>
          <w:szCs w:val="32"/>
        </w:rPr>
        <w:t>，</w:t>
      </w:r>
      <w:r>
        <w:rPr>
          <w:rFonts w:ascii="仿宋_GB2312" w:hAnsi="仿宋_GB2312" w:eastAsia="仿宋_GB2312" w:cs="仿宋_GB2312"/>
          <w:szCs w:val="32"/>
        </w:rPr>
        <w:t>努力把安宁市小微企业创业园打造成为“一园一特色”，为全市的微型企业提供更便利、更符合发展方向的园区平台。营造“大众创业、万众创新”的软硬件环境和氛围，激发千万群众创业活力，打造我省经济发展新引擎</w:t>
      </w:r>
      <w:r>
        <w:rPr>
          <w:rFonts w:hint="eastAsia" w:ascii="仿宋_GB2312" w:hAnsi="仿宋_GB2312" w:eastAsia="仿宋_GB2312" w:cs="仿宋_GB2312"/>
          <w:szCs w:val="32"/>
        </w:rPr>
        <w:t>。</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5加强科技创新，促进智慧升级。一是以大数据、云计算等先进的信息技术为手段，不断加速平台、人才集聚，全力推进智慧安宁建设，全面提升居民幸福指数。突出“智慧管理”、“智慧服务”、“智慧产业”建设。积极推动“智慧安宁”建设步伐，为提升城市品质提供有力支撑。二是继续深化科技体制创新，提升科技创新能力和水平，着重以省级可持续发展试验区试点为基础，积极申报国家级可持续发展试验区、省级科技成果转化示范县。</w:t>
      </w:r>
    </w:p>
    <w:p>
      <w:pPr>
        <w:ind w:firstLine="624" w:firstLineChars="200"/>
      </w:pPr>
      <w:r>
        <w:rPr>
          <w:rFonts w:hint="eastAsia"/>
        </w:rPr>
        <w:t>二、部门目标设立情况</w:t>
      </w:r>
    </w:p>
    <w:p>
      <w:pPr>
        <w:ind w:firstLine="624" w:firstLineChars="200"/>
        <w:rPr>
          <w:rFonts w:ascii="微软雅黑" w:hAnsi="微软雅黑" w:cs="宋体"/>
          <w:color w:val="000000"/>
          <w:kern w:val="0"/>
          <w:szCs w:val="21"/>
        </w:rPr>
      </w:pPr>
      <w:r>
        <w:rPr>
          <w:rFonts w:ascii="微软雅黑" w:hAnsi="微软雅黑" w:cs="宋体"/>
          <w:color w:val="000000"/>
          <w:kern w:val="0"/>
          <w:szCs w:val="21"/>
        </w:rPr>
        <w:t>预决算公开：201</w:t>
      </w:r>
      <w:r>
        <w:rPr>
          <w:rFonts w:hint="eastAsia" w:ascii="微软雅黑" w:hAnsi="微软雅黑" w:cs="宋体"/>
          <w:color w:val="000000"/>
          <w:kern w:val="0"/>
          <w:szCs w:val="21"/>
        </w:rPr>
        <w:t>7</w:t>
      </w:r>
      <w:r>
        <w:rPr>
          <w:rFonts w:ascii="微软雅黑" w:hAnsi="微软雅黑" w:cs="宋体"/>
          <w:color w:val="000000"/>
          <w:kern w:val="0"/>
          <w:szCs w:val="21"/>
        </w:rPr>
        <w:t>年，按照上级的要求，我局在</w:t>
      </w:r>
      <w:r>
        <w:rPr>
          <w:rFonts w:hint="eastAsia" w:ascii="微软雅黑" w:hAnsi="微软雅黑" w:cs="宋体"/>
          <w:color w:val="000000"/>
          <w:kern w:val="0"/>
          <w:szCs w:val="21"/>
        </w:rPr>
        <w:t>政府门户</w:t>
      </w:r>
      <w:r>
        <w:rPr>
          <w:rFonts w:ascii="微软雅黑" w:hAnsi="微软雅黑" w:cs="宋体"/>
          <w:color w:val="000000"/>
          <w:kern w:val="0"/>
          <w:szCs w:val="21"/>
        </w:rPr>
        <w:t>网站上进行了预决算公开</w:t>
      </w:r>
      <w:r>
        <w:rPr>
          <w:rFonts w:hint="eastAsia" w:ascii="微软雅黑" w:hAnsi="微软雅黑" w:cs="宋体"/>
          <w:color w:val="000000"/>
          <w:kern w:val="0"/>
          <w:szCs w:val="21"/>
        </w:rPr>
        <w:t>。</w:t>
      </w:r>
    </w:p>
    <w:p>
      <w:pPr>
        <w:ind w:firstLine="624" w:firstLineChars="200"/>
        <w:rPr>
          <w:rFonts w:ascii="微软雅黑" w:hAnsi="微软雅黑" w:cs="宋体"/>
          <w:color w:val="000000"/>
          <w:kern w:val="0"/>
          <w:szCs w:val="21"/>
        </w:rPr>
      </w:pPr>
      <w:r>
        <w:rPr>
          <w:rFonts w:ascii="微软雅黑" w:hAnsi="微软雅黑" w:cs="宋体"/>
          <w:color w:val="000000"/>
          <w:kern w:val="0"/>
          <w:szCs w:val="21"/>
        </w:rPr>
        <w:t>资产管理：根据《</w:t>
      </w:r>
      <w:r>
        <w:rPr>
          <w:rFonts w:hint="eastAsia" w:ascii="微软雅黑" w:hAnsi="微软雅黑" w:cs="宋体"/>
          <w:color w:val="000000"/>
          <w:kern w:val="0"/>
          <w:szCs w:val="21"/>
        </w:rPr>
        <w:t>安宁市财政局关于开展2016年全市行政事业单位国有资产清查工作的通知</w:t>
      </w:r>
      <w:r>
        <w:rPr>
          <w:rFonts w:ascii="微软雅黑" w:hAnsi="微软雅黑" w:cs="宋体"/>
          <w:color w:val="000000"/>
          <w:kern w:val="0"/>
          <w:szCs w:val="21"/>
        </w:rPr>
        <w:t>》</w:t>
      </w:r>
      <w:r>
        <w:rPr>
          <w:rFonts w:hint="eastAsia" w:ascii="微软雅黑" w:hAnsi="微软雅黑" w:cs="宋体"/>
          <w:color w:val="000000"/>
          <w:kern w:val="0"/>
          <w:szCs w:val="21"/>
        </w:rPr>
        <w:t>精神</w:t>
      </w:r>
      <w:r>
        <w:rPr>
          <w:rFonts w:ascii="微软雅黑" w:hAnsi="微软雅黑" w:cs="宋体"/>
          <w:color w:val="000000"/>
          <w:kern w:val="0"/>
          <w:szCs w:val="21"/>
        </w:rPr>
        <w:t>，</w:t>
      </w:r>
      <w:r>
        <w:rPr>
          <w:rFonts w:hint="eastAsia" w:ascii="微软雅黑" w:hAnsi="微软雅黑" w:cs="宋体"/>
          <w:color w:val="000000"/>
          <w:kern w:val="0"/>
          <w:szCs w:val="21"/>
        </w:rPr>
        <w:t>对我</w:t>
      </w:r>
      <w:r>
        <w:rPr>
          <w:rFonts w:ascii="微软雅黑" w:hAnsi="微软雅黑" w:cs="宋体"/>
          <w:color w:val="000000"/>
          <w:kern w:val="0"/>
          <w:szCs w:val="21"/>
        </w:rPr>
        <w:t>单位进行全面的资产清查，并就清查中发现的问题进行全面整改。确保各项资产核算准确、帐实相符、管理到位。</w:t>
      </w:r>
    </w:p>
    <w:p>
      <w:pPr>
        <w:ind w:firstLine="624" w:firstLineChars="200"/>
        <w:rPr>
          <w:rFonts w:ascii="微软雅黑" w:hAnsi="微软雅黑" w:cs="宋体"/>
          <w:color w:val="000000"/>
          <w:kern w:val="0"/>
          <w:szCs w:val="21"/>
        </w:rPr>
      </w:pPr>
      <w:r>
        <w:rPr>
          <w:rFonts w:hint="eastAsia" w:ascii="微软雅黑" w:hAnsi="微软雅黑" w:cs="宋体"/>
          <w:color w:val="000000"/>
          <w:kern w:val="0"/>
          <w:szCs w:val="21"/>
          <w:lang w:eastAsia="zh-CN"/>
        </w:rPr>
        <w:t>“三公”经费</w:t>
      </w:r>
      <w:r>
        <w:rPr>
          <w:rFonts w:ascii="微软雅黑" w:hAnsi="微软雅黑" w:cs="宋体"/>
          <w:color w:val="000000"/>
          <w:kern w:val="0"/>
          <w:szCs w:val="21"/>
        </w:rPr>
        <w:t>控制情况：贯彻落实上级有关精神，严格控制</w:t>
      </w:r>
      <w:r>
        <w:rPr>
          <w:rFonts w:hint="eastAsia" w:ascii="微软雅黑" w:hAnsi="微软雅黑" w:cs="宋体"/>
          <w:color w:val="000000"/>
          <w:kern w:val="0"/>
          <w:szCs w:val="21"/>
          <w:lang w:eastAsia="zh-CN"/>
        </w:rPr>
        <w:t>“三公”经费</w:t>
      </w:r>
      <w:r>
        <w:rPr>
          <w:rFonts w:ascii="微软雅黑" w:hAnsi="微软雅黑" w:cs="宋体"/>
          <w:color w:val="000000"/>
          <w:kern w:val="0"/>
          <w:szCs w:val="21"/>
        </w:rPr>
        <w:t>支出，取得了良好效果。</w:t>
      </w:r>
      <w:r>
        <w:rPr>
          <w:rFonts w:hint="eastAsia" w:ascii="微软雅黑" w:hAnsi="微软雅黑" w:cs="宋体"/>
          <w:color w:val="000000"/>
          <w:kern w:val="0"/>
          <w:szCs w:val="21"/>
        </w:rPr>
        <w:t>本年度支出：6.2万元，与上年度支出：17.9万元相比，下降幅度为：11.7万元，下降65.36%，主要是公务用车改革，使</w:t>
      </w:r>
      <w:r>
        <w:rPr>
          <w:rFonts w:ascii="微软雅黑" w:hAnsi="微软雅黑" w:cs="宋体"/>
          <w:color w:val="000000"/>
          <w:kern w:val="0"/>
          <w:szCs w:val="21"/>
        </w:rPr>
        <w:t>公务用车运行及维护费</w:t>
      </w:r>
      <w:r>
        <w:rPr>
          <w:rFonts w:hint="eastAsia" w:ascii="微软雅黑" w:hAnsi="微软雅黑" w:cs="宋体"/>
          <w:color w:val="000000"/>
          <w:kern w:val="0"/>
          <w:szCs w:val="21"/>
        </w:rPr>
        <w:t>减少。</w:t>
      </w:r>
    </w:p>
    <w:p>
      <w:pPr>
        <w:ind w:firstLine="624" w:firstLineChars="200"/>
      </w:pPr>
      <w:r>
        <w:rPr>
          <w:rFonts w:hint="eastAsia"/>
        </w:rPr>
        <w:t>（一）部门整体收支情况：</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2017年部门决算收支完成情况：</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 w:eastAsia="仿宋_GB2312"/>
          <w:szCs w:val="32"/>
        </w:rPr>
        <w:t>预算收入:17,284.27万元（含上年</w:t>
      </w:r>
      <w:r>
        <w:rPr>
          <w:rFonts w:hint="eastAsia" w:ascii="仿宋_GB2312" w:hAnsi="仿宋_GB2312" w:eastAsia="仿宋_GB2312" w:cs="仿宋_GB2312"/>
          <w:szCs w:val="32"/>
        </w:rPr>
        <w:t>结余：4,701.36</w:t>
      </w:r>
      <w:r>
        <w:rPr>
          <w:rFonts w:hint="eastAsia" w:ascii="仿宋_GB2312" w:hAnsi="仿宋" w:eastAsia="仿宋_GB2312"/>
          <w:szCs w:val="32"/>
        </w:rPr>
        <w:t>万元）</w:t>
      </w:r>
      <w:r>
        <w:rPr>
          <w:rFonts w:hint="eastAsia" w:ascii="仿宋_GB2312" w:hAnsi="仿宋_GB2312" w:eastAsia="仿宋_GB2312" w:cs="仿宋_GB2312"/>
          <w:szCs w:val="32"/>
        </w:rPr>
        <w:t>。其中，财政基本预算收入:977.33万元,拨入项目资金:15,701.97万元。</w:t>
      </w:r>
    </w:p>
    <w:p>
      <w:pPr>
        <w:widowControl/>
        <w:ind w:firstLine="624" w:firstLineChars="200"/>
        <w:jc w:val="left"/>
        <w:rPr>
          <w:rFonts w:ascii="仿宋_GB2312" w:hAnsi="仿宋_GB2312" w:eastAsia="仿宋_GB2312" w:cs="仿宋_GB2312"/>
          <w:szCs w:val="32"/>
        </w:rPr>
      </w:pPr>
      <w:r>
        <w:rPr>
          <w:rFonts w:hint="eastAsia" w:ascii="仿宋_GB2312" w:hAnsi="仿宋_GB2312" w:eastAsia="仿宋_GB2312" w:cs="仿宋_GB2312"/>
          <w:szCs w:val="32"/>
        </w:rPr>
        <w:t>2、支出：16,679.3万元。</w:t>
      </w:r>
      <w:r>
        <w:rPr>
          <w:rFonts w:ascii="Calibri" w:hAnsi="Calibri" w:eastAsia="仿宋_GB2312" w:cs="Calibri"/>
          <w:kern w:val="0"/>
          <w:szCs w:val="32"/>
        </w:rPr>
        <w:t>①</w:t>
      </w:r>
      <w:r>
        <w:rPr>
          <w:rFonts w:hint="eastAsia" w:ascii="仿宋_GB2312" w:hAnsi="仿宋_GB2312" w:eastAsia="仿宋_GB2312" w:cs="仿宋_GB2312"/>
          <w:szCs w:val="32"/>
        </w:rPr>
        <w:t>基本支出977.33万元，</w:t>
      </w:r>
      <w:r>
        <w:rPr>
          <w:rFonts w:hint="eastAsia" w:eastAsia="仿宋_GB2312"/>
          <w:kern w:val="0"/>
          <w:szCs w:val="32"/>
        </w:rPr>
        <w:t>主要用于工资福利支出：787.96万元；商品和服务支出：95.01万元；对个人和家庭的补助支出：94.36万元</w:t>
      </w:r>
      <w:r>
        <w:rPr>
          <w:rFonts w:eastAsia="仿宋_GB2312"/>
          <w:kern w:val="0"/>
          <w:szCs w:val="32"/>
        </w:rPr>
        <w:t>。</w:t>
      </w:r>
      <w:r>
        <w:rPr>
          <w:rFonts w:ascii="Calibri" w:hAnsi="Calibri" w:eastAsia="仿宋_GB2312" w:cs="Calibri"/>
          <w:kern w:val="0"/>
          <w:szCs w:val="32"/>
        </w:rPr>
        <w:t>②</w:t>
      </w:r>
      <w:r>
        <w:rPr>
          <w:rFonts w:hint="eastAsia" w:ascii="仿宋_GB2312" w:hAnsi="仿宋_GB2312" w:eastAsia="仿宋_GB2312" w:cs="仿宋_GB2312"/>
          <w:szCs w:val="32"/>
        </w:rPr>
        <w:t>项目专项支</w:t>
      </w:r>
      <w:r>
        <w:rPr>
          <w:rFonts w:hint="eastAsia" w:eastAsia="仿宋_GB2312"/>
          <w:kern w:val="0"/>
          <w:szCs w:val="32"/>
        </w:rPr>
        <w:t>出</w:t>
      </w:r>
      <w:r>
        <w:rPr>
          <w:rFonts w:hint="eastAsia" w:ascii="仿宋_GB2312" w:hAnsi="仿宋_GB2312" w:eastAsia="仿宋_GB2312" w:cs="仿宋_GB2312"/>
          <w:szCs w:val="32"/>
        </w:rPr>
        <w:t>：15,701.97万元。</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3、年终结余604.97万元。</w:t>
      </w:r>
    </w:p>
    <w:p>
      <w:pPr>
        <w:ind w:firstLine="624" w:firstLineChars="200"/>
      </w:pPr>
      <w:r>
        <w:rPr>
          <w:rFonts w:hint="eastAsia" w:ascii="仿宋_GB2312" w:hAnsi="仿宋_GB2312" w:eastAsia="仿宋_GB2312" w:cs="仿宋_GB2312"/>
          <w:szCs w:val="32"/>
        </w:rPr>
        <w:t>（二）</w:t>
      </w:r>
      <w:r>
        <w:rPr>
          <w:rFonts w:hint="eastAsia"/>
        </w:rPr>
        <w:t>部门预算管理制度建设情</w:t>
      </w:r>
    </w:p>
    <w:p>
      <w:pPr>
        <w:ind w:firstLine="624" w:firstLineChars="200"/>
      </w:pPr>
      <w:r>
        <w:rPr>
          <w:rFonts w:ascii="微软雅黑" w:hAnsi="微软雅黑" w:cs="宋体"/>
          <w:color w:val="000000"/>
          <w:kern w:val="0"/>
          <w:szCs w:val="21"/>
        </w:rPr>
        <w:t>近年</w:t>
      </w:r>
      <w:r>
        <w:rPr>
          <w:rFonts w:hint="eastAsia" w:ascii="仿宋_GB2312" w:hAnsi="仿宋" w:eastAsia="仿宋_GB2312"/>
          <w:szCs w:val="32"/>
        </w:rPr>
        <w:t>来，我局制定、完善了《安宁市工业经贸和科学技术信息化财务管理制度》、《车辆管理制度》、《机关管理制度》、《机关办公设备管理制度》、《安宁市工信局行政办公会会议制度》等一系列内部制度，严格执行安宁市人民政府办公室《关于印发安宁市机关会议费用办法和机关差旅费管理办法的通知》</w:t>
      </w:r>
      <w:r>
        <w:rPr>
          <w:rFonts w:ascii="微软雅黑" w:hAnsi="微软雅黑" w:cs="宋体"/>
          <w:color w:val="000000"/>
          <w:kern w:val="0"/>
          <w:szCs w:val="21"/>
        </w:rPr>
        <w:t>。</w:t>
      </w:r>
    </w:p>
    <w:p>
      <w:pPr>
        <w:ind w:firstLine="624" w:firstLineChars="200"/>
        <w:rPr>
          <w:rFonts w:ascii="微软雅黑" w:hAnsi="微软雅黑" w:cs="宋体"/>
          <w:color w:val="000000"/>
          <w:kern w:val="0"/>
          <w:szCs w:val="21"/>
        </w:rPr>
      </w:pPr>
      <w:r>
        <w:rPr>
          <w:rFonts w:hint="eastAsia"/>
        </w:rPr>
        <w:t>（三）</w:t>
      </w:r>
      <w:r>
        <w:rPr>
          <w:rFonts w:ascii="微软雅黑" w:hAnsi="微软雅黑" w:cs="宋体"/>
          <w:color w:val="000000"/>
          <w:kern w:val="0"/>
          <w:szCs w:val="21"/>
        </w:rPr>
        <w:t>部门整体支出情况分析</w:t>
      </w:r>
    </w:p>
    <w:p>
      <w:pPr>
        <w:ind w:firstLine="624" w:firstLineChars="200"/>
      </w:pPr>
      <w:r>
        <w:rPr>
          <w:rFonts w:ascii="微软雅黑" w:hAnsi="微软雅黑" w:cs="宋体"/>
          <w:color w:val="000000"/>
          <w:kern w:val="0"/>
          <w:szCs w:val="21"/>
        </w:rPr>
        <w:t>从整体情况来看，我局严格按照年初预算进行部门整体支出。在支出过程中，能严格遵守各项规章制度。项目</w:t>
      </w:r>
      <w:r>
        <w:rPr>
          <w:rFonts w:hint="eastAsia" w:ascii="微软雅黑" w:hAnsi="微软雅黑" w:cs="宋体"/>
          <w:color w:val="000000"/>
          <w:kern w:val="0"/>
          <w:szCs w:val="21"/>
        </w:rPr>
        <w:t>资金</w:t>
      </w:r>
      <w:r>
        <w:rPr>
          <w:rFonts w:ascii="微软雅黑" w:hAnsi="微软雅黑" w:cs="宋体"/>
          <w:color w:val="000000"/>
          <w:kern w:val="0"/>
          <w:szCs w:val="21"/>
        </w:rPr>
        <w:t>严格按</w:t>
      </w:r>
      <w:r>
        <w:rPr>
          <w:rFonts w:hint="eastAsia" w:ascii="微软雅黑" w:hAnsi="微软雅黑" w:cs="宋体"/>
          <w:color w:val="000000"/>
          <w:kern w:val="0"/>
          <w:szCs w:val="21"/>
        </w:rPr>
        <w:t>支付程序报批</w:t>
      </w:r>
      <w:r>
        <w:rPr>
          <w:rFonts w:ascii="微软雅黑" w:hAnsi="微软雅黑" w:cs="宋体"/>
          <w:color w:val="000000"/>
          <w:kern w:val="0"/>
          <w:szCs w:val="21"/>
        </w:rPr>
        <w:t>，并加强了监督。在专项经费支出上，我们能专款专用，按项目实施计划的进度情况进行资金拨付，无截留、无挪用等现象。实行了先有预算、后有执行的新常态。</w:t>
      </w:r>
    </w:p>
    <w:p>
      <w:pPr>
        <w:ind w:firstLine="624" w:firstLineChars="200"/>
        <w:rPr>
          <w:rStyle w:val="12"/>
          <w:rFonts w:ascii="宋体" w:hAnsi="宋体"/>
        </w:rPr>
      </w:pPr>
      <w:r>
        <w:rPr>
          <w:rStyle w:val="12"/>
          <w:rFonts w:hint="eastAsia" w:ascii="宋体" w:hAnsi="宋体"/>
        </w:rPr>
        <w:t>三、绩效自评工作情况</w:t>
      </w:r>
    </w:p>
    <w:p>
      <w:pPr>
        <w:ind w:firstLine="624" w:firstLineChars="200"/>
        <w:rPr>
          <w:rStyle w:val="12"/>
          <w:rFonts w:ascii="宋体" w:hAnsi="宋体"/>
        </w:rPr>
      </w:pPr>
      <w:r>
        <w:rPr>
          <w:rStyle w:val="12"/>
          <w:rFonts w:hint="eastAsia" w:ascii="宋体" w:hAnsi="宋体"/>
        </w:rPr>
        <w:t>（一）绩效自评目</w:t>
      </w:r>
      <w:r>
        <w:rPr>
          <w:rFonts w:hint="eastAsia" w:ascii="仿宋_GB2312" w:hAnsi="仿宋" w:eastAsia="仿宋_GB2312"/>
          <w:szCs w:val="32"/>
        </w:rPr>
        <w:t>的</w:t>
      </w:r>
    </w:p>
    <w:p>
      <w:pPr>
        <w:ind w:firstLine="624" w:firstLineChars="200"/>
        <w:rPr>
          <w:rFonts w:ascii="仿宋_GB2312" w:hAnsi="仿宋" w:eastAsia="仿宋_GB2312"/>
          <w:szCs w:val="32"/>
        </w:rPr>
      </w:pPr>
      <w:r>
        <w:rPr>
          <w:rFonts w:hint="eastAsia" w:ascii="仿宋_GB2312" w:hAnsi="仿宋" w:eastAsia="仿宋_GB2312"/>
          <w:szCs w:val="32"/>
        </w:rPr>
        <w:t>绩效评价的目的是：</w:t>
      </w:r>
      <w:r>
        <w:rPr>
          <w:rFonts w:hint="eastAsia" w:ascii="仿宋_GB2312" w:hAnsi="微软雅黑" w:eastAsia="仿宋_GB2312" w:cs="仿宋_GB2312"/>
          <w:color w:val="333333"/>
          <w:szCs w:val="32"/>
          <w:shd w:val="clear" w:color="auto" w:fill="FFFFFF"/>
        </w:rPr>
        <w:t>通过项目立项，了解资金使用和项目实施管理情况、项目绩效表现情况自我评价，资金使用是否达到了预期目标、资金管理是否符合</w:t>
      </w:r>
      <w:r>
        <w:rPr>
          <w:rFonts w:hint="eastAsia" w:ascii="仿宋_GB2312" w:hAnsi="仿宋" w:eastAsia="仿宋_GB2312"/>
          <w:szCs w:val="32"/>
        </w:rPr>
        <w:t>《预算法》及省、市绩效管理工作的有关规定。</w:t>
      </w:r>
      <w:r>
        <w:rPr>
          <w:rFonts w:hint="eastAsia" w:ascii="仿宋_GB2312" w:hAnsi="微软雅黑" w:eastAsia="仿宋_GB2312" w:cs="仿宋_GB2312"/>
          <w:color w:val="333333"/>
          <w:szCs w:val="32"/>
          <w:shd w:val="clear" w:color="auto" w:fill="FFFFFF"/>
        </w:rPr>
        <w:t>分析存在问题和原因，及时总结经验，改进管理措施，不断增强和落实绩效管理责任，</w:t>
      </w:r>
      <w:r>
        <w:rPr>
          <w:rFonts w:hint="eastAsia" w:ascii="仿宋_GB2312" w:hAnsi="仿宋" w:eastAsia="仿宋_GB2312"/>
          <w:szCs w:val="32"/>
        </w:rPr>
        <w:t>进一步规范财政资金的管理，强化财政支出绩效理念，提升部门责任意识，</w:t>
      </w:r>
      <w:r>
        <w:rPr>
          <w:rFonts w:hint="eastAsia" w:ascii="仿宋_GB2312" w:hAnsi="微软雅黑" w:eastAsia="仿宋_GB2312" w:cs="仿宋_GB2312"/>
          <w:color w:val="333333"/>
          <w:szCs w:val="32"/>
          <w:shd w:val="clear" w:color="auto" w:fill="FFFFFF"/>
        </w:rPr>
        <w:t>完善工作机制，有效提高资金管理水平和使用效益。</w:t>
      </w:r>
    </w:p>
    <w:p>
      <w:pPr>
        <w:ind w:firstLine="624" w:firstLineChars="200"/>
        <w:rPr>
          <w:rStyle w:val="12"/>
          <w:rFonts w:ascii="宋体" w:hAnsi="宋体"/>
        </w:rPr>
      </w:pPr>
      <w:r>
        <w:rPr>
          <w:rStyle w:val="12"/>
          <w:rFonts w:hint="eastAsia" w:ascii="宋体" w:hAnsi="宋体"/>
        </w:rPr>
        <w:t>（二）自评指标体系</w:t>
      </w:r>
    </w:p>
    <w:p>
      <w:pPr>
        <w:ind w:firstLine="624" w:firstLineChars="200"/>
        <w:rPr>
          <w:rStyle w:val="12"/>
          <w:rFonts w:ascii="宋体" w:hAnsi="宋体"/>
        </w:rPr>
      </w:pPr>
      <w:r>
        <w:rPr>
          <w:rFonts w:hint="eastAsia" w:ascii="仿宋" w:hAnsi="仿宋" w:cs="仿宋"/>
          <w:color w:val="333333"/>
          <w:szCs w:val="32"/>
          <w:shd w:val="clear" w:color="auto" w:fill="FFFFFF"/>
        </w:rPr>
        <w:t>自评指标体系设置了：目标、各项目标的具体内容、完成各个目标内容的任务和具体措施、绩效指标实际执行情况、执行情况和年初预算安排。</w:t>
      </w:r>
    </w:p>
    <w:p>
      <w:pPr>
        <w:ind w:firstLine="624" w:firstLineChars="200"/>
        <w:rPr>
          <w:rStyle w:val="12"/>
          <w:rFonts w:ascii="宋体" w:hAnsi="宋体"/>
        </w:rPr>
      </w:pPr>
      <w:r>
        <w:rPr>
          <w:rStyle w:val="12"/>
          <w:rFonts w:hint="eastAsia" w:ascii="宋体" w:hAnsi="宋体"/>
        </w:rPr>
        <w:t>（三）自评组织过程</w:t>
      </w:r>
    </w:p>
    <w:p>
      <w:pPr>
        <w:ind w:firstLine="624" w:firstLineChars="200"/>
        <w:rPr>
          <w:rFonts w:ascii="仿宋_GB2312" w:hAnsi="仿宋" w:eastAsia="仿宋_GB2312"/>
          <w:szCs w:val="32"/>
        </w:rPr>
      </w:pPr>
      <w:r>
        <w:rPr>
          <w:rFonts w:hint="eastAsia" w:ascii="仿宋_GB2312" w:hAnsi="仿宋" w:eastAsia="仿宋_GB2312"/>
          <w:szCs w:val="32"/>
        </w:rPr>
        <w:t>根据绩效评价的要求，我们成立了自评工作领导小组，对照自评方案进行研究和布署，各科室全程参与，按照自评方案的要求，对照各实施项目的内容逐条逐项自评。在自评过程发现问题，查找原因，及时纠正偏差，为下一步工作夯实基础。</w:t>
      </w:r>
    </w:p>
    <w:p>
      <w:pPr>
        <w:ind w:firstLine="624" w:firstLineChars="200"/>
        <w:rPr>
          <w:rStyle w:val="12"/>
          <w:rFonts w:ascii="宋体" w:hAnsi="宋体"/>
        </w:rPr>
      </w:pPr>
      <w:r>
        <w:rPr>
          <w:rStyle w:val="12"/>
          <w:rFonts w:hint="eastAsia" w:ascii="宋体" w:hAnsi="宋体"/>
        </w:rPr>
        <w:t>1.前期准备</w:t>
      </w:r>
    </w:p>
    <w:p>
      <w:pPr>
        <w:pStyle w:val="6"/>
        <w:spacing w:before="0" w:beforeAutospacing="0" w:after="0" w:afterAutospacing="0" w:line="560" w:lineRule="atLeast"/>
        <w:ind w:firstLine="640"/>
        <w:rPr>
          <w:rStyle w:val="12"/>
          <w:rFonts w:ascii="宋体" w:hAnsi="宋体"/>
        </w:rPr>
      </w:pPr>
      <w:r>
        <w:rPr>
          <w:rFonts w:hint="eastAsia" w:ascii="仿宋" w:hAnsi="仿宋" w:cs="仿宋"/>
          <w:color w:val="333333"/>
          <w:sz w:val="32"/>
          <w:szCs w:val="32"/>
          <w:shd w:val="clear" w:color="auto" w:fill="FFFFFF"/>
        </w:rPr>
        <w:t>根据昆明市财政局印发的《昆明市级部门财政预算绩效自评暂行办法》，确定了纳入绩效自评的2017年度预算项目。拟定组织实施方案，将纳入绩效自评的项目分配到对应的预算申报科室，</w:t>
      </w:r>
      <w:r>
        <w:rPr>
          <w:rFonts w:hint="eastAsia" w:ascii="仿宋_GB2312" w:hAnsi="微软雅黑" w:eastAsia="仿宋_GB2312" w:cs="仿宋_GB2312"/>
          <w:color w:val="333333"/>
          <w:sz w:val="32"/>
          <w:szCs w:val="32"/>
          <w:shd w:val="clear" w:color="auto" w:fill="FFFFFF"/>
        </w:rPr>
        <w:t>要求各业务科室对项目资金使用情况，支出效果以及存在问题和原因分析，整理各项目基础数据资料。</w:t>
      </w:r>
    </w:p>
    <w:p>
      <w:pPr>
        <w:ind w:firstLine="624" w:firstLineChars="200"/>
        <w:rPr>
          <w:rStyle w:val="12"/>
          <w:rFonts w:ascii="宋体" w:hAnsi="宋体"/>
        </w:rPr>
      </w:pPr>
      <w:r>
        <w:rPr>
          <w:rStyle w:val="12"/>
          <w:rFonts w:hint="eastAsia" w:ascii="宋体" w:hAnsi="宋体"/>
        </w:rPr>
        <w:t>2.组织实施</w:t>
      </w:r>
    </w:p>
    <w:p>
      <w:pPr>
        <w:pStyle w:val="6"/>
        <w:spacing w:before="0" w:beforeAutospacing="0" w:after="0" w:afterAutospacing="0" w:line="27" w:lineRule="atLeast"/>
        <w:ind w:firstLine="624" w:firstLineChars="200"/>
      </w:pPr>
      <w:r>
        <w:rPr>
          <w:rFonts w:hint="eastAsia" w:ascii="仿宋" w:hAnsi="仿宋" w:cs="仿宋"/>
          <w:color w:val="333333"/>
          <w:sz w:val="32"/>
          <w:szCs w:val="32"/>
          <w:shd w:val="clear" w:color="auto" w:fill="FFFFFF"/>
        </w:rPr>
        <w:t>根据昆明市财政局印发的《昆明市级部门财政预算绩效自评暂行办法》，确定的部门整体支出和项目支出绩效评价共性指标体系框架基础上，结合年初预算批复的部门整体支出和项目支出绩效指标，按规定填报相关表格。通过集中讨论，总结经验和问题，形成绩效自评报告。</w:t>
      </w:r>
    </w:p>
    <w:p>
      <w:pPr>
        <w:ind w:firstLine="624" w:firstLineChars="200"/>
        <w:rPr>
          <w:rStyle w:val="12"/>
          <w:rFonts w:ascii="宋体" w:hAnsi="宋体"/>
        </w:rPr>
      </w:pPr>
      <w:r>
        <w:rPr>
          <w:rStyle w:val="12"/>
          <w:rFonts w:hint="eastAsia" w:ascii="宋体" w:hAnsi="宋体"/>
        </w:rPr>
        <w:t>四、评价情况分析及综合评价</w:t>
      </w:r>
    </w:p>
    <w:p>
      <w:pPr>
        <w:ind w:firstLine="624" w:firstLineChars="200"/>
        <w:rPr>
          <w:rFonts w:ascii="仿宋" w:hAnsi="仿宋" w:cs="仿宋"/>
          <w:color w:val="333333"/>
          <w:szCs w:val="32"/>
          <w:shd w:val="clear" w:color="auto" w:fill="FFFFFF"/>
        </w:rPr>
      </w:pPr>
      <w:r>
        <w:rPr>
          <w:rFonts w:hint="eastAsia" w:ascii="仿宋" w:hAnsi="仿宋" w:cs="仿宋"/>
          <w:color w:val="333333"/>
          <w:szCs w:val="32"/>
          <w:shd w:val="clear" w:color="auto" w:fill="FFFFFF"/>
        </w:rPr>
        <w:t>通过对预算绩效自评，实现了履职效益明显、预算配置科学、预算执行有效、预算管理规范等方面都达到了预算编制时设定的目标要求。</w:t>
      </w:r>
    </w:p>
    <w:p>
      <w:pPr>
        <w:ind w:firstLine="624" w:firstLineChars="200"/>
        <w:rPr>
          <w:szCs w:val="32"/>
        </w:rPr>
      </w:pPr>
      <w:r>
        <w:rPr>
          <w:rFonts w:hint="eastAsia" w:ascii="仿宋" w:hAnsi="仿宋" w:cs="仿宋"/>
          <w:color w:val="333333"/>
          <w:szCs w:val="32"/>
          <w:shd w:val="clear" w:color="auto" w:fill="FFFFFF"/>
        </w:rPr>
        <w:t>2017年我局在市委、市人民政府的领导下，</w:t>
      </w:r>
      <w:r>
        <w:rPr>
          <w:rFonts w:hint="eastAsia" w:ascii="仿宋_GB2312" w:hAnsi="微软雅黑" w:eastAsia="仿宋_GB2312" w:cs="仿宋_GB2312"/>
          <w:color w:val="333333"/>
          <w:szCs w:val="32"/>
          <w:shd w:val="clear" w:color="auto" w:fill="FFFFFF"/>
        </w:rPr>
        <w:t>认真履行工作职责，较好地完成了各项工作任务。认真开展财政预算执行，促进提高财政资金使用绩效；</w:t>
      </w:r>
      <w:r>
        <w:rPr>
          <w:rFonts w:hint="eastAsia"/>
          <w:kern w:val="32"/>
          <w:szCs w:val="32"/>
        </w:rPr>
        <w:t>牢固树立“产业转型升级”意识，认真履行行业主管部门职责，积极帮助企业扩产解困，保证扶持资金及时到位；</w:t>
      </w:r>
      <w:r>
        <w:rPr>
          <w:rFonts w:hint="eastAsia"/>
          <w:szCs w:val="32"/>
        </w:rPr>
        <w:t>加大三产的培育力度，力求形成新的经济增长点，</w:t>
      </w:r>
      <w:r>
        <w:rPr>
          <w:rFonts w:cs="Times New Roman"/>
          <w:szCs w:val="32"/>
        </w:rPr>
        <w:t>积极组织开展电子商务的企业申报电商补助项目</w:t>
      </w:r>
      <w:r>
        <w:rPr>
          <w:rFonts w:hint="eastAsia" w:cs="Times New Roman"/>
          <w:szCs w:val="32"/>
        </w:rPr>
        <w:t>；</w:t>
      </w:r>
      <w:r>
        <w:rPr>
          <w:rFonts w:cs="Times New Roman"/>
          <w:szCs w:val="32"/>
        </w:rPr>
        <w:t>积极做好科技项目管理，大力推进科技成果运用</w:t>
      </w:r>
      <w:r>
        <w:rPr>
          <w:rFonts w:hint="eastAsia" w:cs="Times New Roman"/>
          <w:szCs w:val="32"/>
        </w:rPr>
        <w:t>，增强可持续发展能力,积极开展各类申报认定，争取上级资金；</w:t>
      </w:r>
      <w:r>
        <w:rPr>
          <w:bCs/>
          <w:kern w:val="32"/>
          <w:szCs w:val="32"/>
        </w:rPr>
        <w:t>认真研究工作措施，切实帮助企业建立健全科技投入机制，增强企业R&amp;D经费投入意识</w:t>
      </w:r>
      <w:r>
        <w:rPr>
          <w:rFonts w:hint="eastAsia"/>
          <w:bCs/>
          <w:kern w:val="32"/>
          <w:szCs w:val="32"/>
        </w:rPr>
        <w:t>；</w:t>
      </w:r>
      <w:r>
        <w:rPr>
          <w:rFonts w:hint="eastAsia"/>
          <w:szCs w:val="32"/>
        </w:rPr>
        <w:t>对专利发明进行资助和扶持，鼓励知识产权创造与应用，提升企业创新能力。</w:t>
      </w:r>
    </w:p>
    <w:p>
      <w:pPr>
        <w:ind w:firstLine="624" w:firstLineChars="200"/>
        <w:rPr>
          <w:rFonts w:cs="Times New Roman"/>
          <w:szCs w:val="32"/>
        </w:rPr>
      </w:pPr>
      <w:r>
        <w:rPr>
          <w:rFonts w:hint="eastAsia"/>
          <w:szCs w:val="32"/>
        </w:rPr>
        <w:t>2017年</w:t>
      </w:r>
      <w:r>
        <w:rPr>
          <w:rFonts w:hint="eastAsia" w:ascii="仿宋_GB2312" w:hAnsi="微软雅黑" w:eastAsia="仿宋_GB2312" w:cs="仿宋_GB2312"/>
          <w:color w:val="333333"/>
          <w:szCs w:val="32"/>
          <w:shd w:val="clear" w:color="auto" w:fill="FFFFFF"/>
        </w:rPr>
        <w:t>通过对财政支出进行绩效管理和评价，各科室的绩效观念和责任意识不断增强，项目管理和资金绩效得到不断优化</w:t>
      </w:r>
      <w:r>
        <w:rPr>
          <w:rFonts w:hint="eastAsia" w:cs="Times New Roman"/>
          <w:szCs w:val="32"/>
        </w:rPr>
        <w:t>。</w:t>
      </w:r>
    </w:p>
    <w:p>
      <w:pPr>
        <w:ind w:firstLine="624" w:firstLineChars="200"/>
        <w:rPr>
          <w:rStyle w:val="12"/>
          <w:rFonts w:ascii="宋体" w:hAnsi="宋体"/>
        </w:rPr>
      </w:pPr>
      <w:r>
        <w:rPr>
          <w:rStyle w:val="12"/>
          <w:rFonts w:hint="eastAsia" w:ascii="宋体" w:hAnsi="宋体"/>
        </w:rPr>
        <w:t>五、存在的问题和整改情</w:t>
      </w:r>
    </w:p>
    <w:p>
      <w:pPr>
        <w:pStyle w:val="6"/>
        <w:spacing w:before="0" w:beforeAutospacing="0" w:after="0" w:afterAutospacing="0" w:line="27" w:lineRule="atLeast"/>
        <w:ind w:firstLine="624" w:firstLineChars="200"/>
        <w:rPr>
          <w:rStyle w:val="12"/>
          <w:rFonts w:ascii="宋体" w:hAnsi="宋体"/>
        </w:rPr>
      </w:pPr>
      <w:r>
        <w:rPr>
          <w:rFonts w:hint="eastAsia" w:ascii="仿宋_GB2312" w:hAnsi="微软雅黑" w:eastAsia="仿宋_GB2312" w:cs="仿宋_GB2312"/>
          <w:color w:val="333333"/>
          <w:sz w:val="32"/>
          <w:szCs w:val="32"/>
          <w:shd w:val="clear" w:color="auto" w:fill="FFFFFF"/>
        </w:rPr>
        <w:t>通过近年来高强度绩效评价工作的开展，工作取得了一定成效。但我局的部门财政支出绩效管理工作还存在绩效目标申报不够全面，绩效指标量化不够，绩效评价手段和方法有待改进，绩效自评组织实施还不够完善等问题。在今后的工作中，1.还需不断加强单位绩效管理理念；2.改进和完善在项目立项依据、项目实施过程、项目的监督的有效管理；3.成立专门机构将单位的绩效管理工作步入常态化、长效化管理轨道。同时建议财政部门对财政支出绩效评价管理工作多给予培训和指导，促进提高部门绩效自评质量。</w:t>
      </w:r>
    </w:p>
    <w:p>
      <w:pPr>
        <w:ind w:firstLine="624" w:firstLineChars="200"/>
        <w:rPr>
          <w:rStyle w:val="12"/>
          <w:rFonts w:ascii="宋体" w:hAnsi="宋体"/>
        </w:rPr>
      </w:pPr>
      <w:r>
        <w:rPr>
          <w:rStyle w:val="12"/>
          <w:rFonts w:hint="eastAsia" w:ascii="宋体" w:hAnsi="宋体"/>
        </w:rPr>
        <w:t>六、绩效自评结果应用</w:t>
      </w:r>
    </w:p>
    <w:p>
      <w:pPr>
        <w:ind w:firstLine="624" w:firstLineChars="200"/>
        <w:rPr>
          <w:rStyle w:val="12"/>
          <w:rFonts w:ascii="宋体" w:hAnsi="宋体" w:eastAsia="仿宋_GB2312"/>
        </w:rPr>
      </w:pPr>
      <w:r>
        <w:rPr>
          <w:rFonts w:hint="eastAsia" w:ascii="仿宋_GB2312" w:hAnsi="微软雅黑" w:eastAsia="仿宋_GB2312" w:cs="仿宋_GB2312"/>
          <w:color w:val="333333"/>
          <w:szCs w:val="32"/>
          <w:shd w:val="clear" w:color="auto" w:fill="FFFFFF"/>
        </w:rPr>
        <w:t>绩效自评工作的开展，能够对本部门的资金使用情况、项目实施管理工作等各方面得出较为清晰的优劣评价，要把自评的结果的数据补充完善绩效评价指标体系中，逐步建立适应本部门的绩效指标体系，提高预算编制的准确性、时效性、绩效性，推进部门自评信息的反馈和公开。通过年度绩效自评的成果，可以审视自身的资金管理水平，找出资金管理方面不足的地方，促进单位对各项管理制度进行完善，从而能在以后的工作中对资金管理、使用做得更好。自评为：优。</w:t>
      </w:r>
    </w:p>
    <w:p>
      <w:pPr>
        <w:ind w:firstLine="624" w:firstLineChars="200"/>
        <w:rPr>
          <w:rStyle w:val="12"/>
          <w:rFonts w:ascii="宋体" w:hAnsi="宋体"/>
        </w:rPr>
      </w:pPr>
      <w:r>
        <w:rPr>
          <w:rStyle w:val="12"/>
          <w:rFonts w:hint="eastAsia" w:ascii="宋体" w:hAnsi="宋体"/>
        </w:rPr>
        <w:t>七、主要经验及做法</w:t>
      </w:r>
    </w:p>
    <w:p>
      <w:pPr>
        <w:pStyle w:val="6"/>
        <w:spacing w:before="0" w:beforeAutospacing="0" w:after="0" w:afterAutospacing="0" w:line="27" w:lineRule="atLeast"/>
        <w:ind w:firstLine="624" w:firstLineChars="200"/>
        <w:rPr>
          <w:rStyle w:val="12"/>
          <w:rFonts w:ascii="宋体" w:hAnsi="宋体"/>
        </w:rPr>
      </w:pPr>
      <w:r>
        <w:rPr>
          <w:rFonts w:ascii="楷体_GB2312" w:hAnsi="微软雅黑" w:eastAsia="楷体_GB2312" w:cs="楷体_GB2312"/>
          <w:color w:val="333333"/>
          <w:sz w:val="32"/>
          <w:szCs w:val="32"/>
          <w:shd w:val="clear" w:color="auto" w:fill="FFFFFF"/>
        </w:rPr>
        <w:t>财</w:t>
      </w:r>
      <w:r>
        <w:rPr>
          <w:rFonts w:hint="eastAsia" w:ascii="仿宋_GB2312" w:hAnsi="微软雅黑" w:eastAsia="仿宋_GB2312" w:cs="仿宋_GB2312"/>
          <w:color w:val="333333"/>
          <w:sz w:val="32"/>
          <w:szCs w:val="32"/>
          <w:shd w:val="clear" w:color="auto" w:fill="FFFFFF"/>
        </w:rPr>
        <w:t>政支出绩效评价是单位提高行政效能和理财水平的重要举措，必须加强组织领导，才能保质保量完成绩效自评工作任务；严格落实绩效管理责任，</w:t>
      </w:r>
      <w:r>
        <w:rPr>
          <w:rFonts w:hint="eastAsia" w:ascii="仿宋" w:hAnsi="仿宋" w:cs="仿宋"/>
          <w:color w:val="333333"/>
          <w:sz w:val="32"/>
          <w:szCs w:val="32"/>
          <w:shd w:val="clear" w:color="auto" w:fill="FFFFFF"/>
        </w:rPr>
        <w:t>根据评价对象的特点分配任务组织实施；在实施过程中严格执行规定程序，评价符合真实、客观、公正的要求；绩效自评中要加强宣传教育，提高对绩效自评工作重要性的认识，细化工作细节，争取事半功倍。强化绩效自评结果运用，对自评中发现的问题及时整改，为预算管理提供坚实保障。</w:t>
      </w:r>
    </w:p>
    <w:p>
      <w:pPr>
        <w:ind w:firstLine="624" w:firstLineChars="200"/>
        <w:rPr>
          <w:rStyle w:val="12"/>
          <w:rFonts w:ascii="宋体" w:hAnsi="宋体"/>
        </w:rPr>
      </w:pPr>
      <w:r>
        <w:rPr>
          <w:rStyle w:val="12"/>
          <w:rFonts w:hint="eastAsia" w:ascii="宋体" w:hAnsi="宋体"/>
        </w:rPr>
        <w:t>八、其他需说明的情况</w:t>
      </w:r>
    </w:p>
    <w:p>
      <w:pPr>
        <w:ind w:firstLine="624" w:firstLineChars="200"/>
      </w:pPr>
      <w:r>
        <w:rPr>
          <w:rStyle w:val="12"/>
          <w:rFonts w:hint="eastAsia" w:ascii="宋体" w:hAnsi="宋体"/>
        </w:rPr>
        <w:t>无</w:t>
      </w:r>
    </w:p>
    <w:p>
      <w:pPr>
        <w:ind w:firstLine="624" w:firstLineChars="200"/>
      </w:pPr>
    </w:p>
    <w:p>
      <w:pPr>
        <w:ind w:firstLine="624" w:firstLineChars="200"/>
      </w:pPr>
    </w:p>
    <w:p>
      <w:pPr>
        <w:ind w:firstLine="624" w:firstLineChars="200"/>
      </w:pPr>
    </w:p>
    <w:p>
      <w:pPr>
        <w:ind w:firstLine="624" w:firstLineChars="200"/>
      </w:pPr>
    </w:p>
    <w:p>
      <w:pPr>
        <w:ind w:firstLine="3120" w:firstLineChars="1000"/>
      </w:pPr>
      <w:r>
        <w:rPr>
          <w:rFonts w:hint="eastAsia"/>
        </w:rPr>
        <w:t>安宁市工业经贸和科学技术信息化局</w:t>
      </w:r>
    </w:p>
    <w:p>
      <w:pPr>
        <w:ind w:left="5463" w:leftChars="1751"/>
      </w:pPr>
      <w:r>
        <w:rPr>
          <w:rFonts w:hint="eastAsia"/>
        </w:rPr>
        <w:t>2</w:t>
      </w:r>
      <w:r>
        <w:t>018</w:t>
      </w:r>
      <w:r>
        <w:rPr>
          <w:rFonts w:hint="eastAsia"/>
        </w:rPr>
        <w:t>年</w:t>
      </w:r>
      <w:r>
        <w:t>9</w:t>
      </w:r>
      <w:r>
        <w:rPr>
          <w:rFonts w:hint="eastAsia"/>
        </w:rPr>
        <w:t>月12日</w:t>
      </w:r>
    </w:p>
    <w:p>
      <w:pPr>
        <w:widowControl/>
        <w:jc w:val="left"/>
      </w:pPr>
    </w:p>
    <w:sectPr>
      <w:footerReference r:id="rId3" w:type="default"/>
      <w:pgSz w:w="11906" w:h="16838"/>
      <w:pgMar w:top="2098" w:right="1588" w:bottom="2098" w:left="1588" w:header="851" w:footer="992"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
      <w:suff w:val="space"/>
      <w:lvlText w:val="%1."/>
      <w:lvlJc w:val="left"/>
      <w:pPr>
        <w:ind w:left="567" w:hanging="567"/>
      </w:pPr>
      <w:rPr>
        <w:rFonts w:hint="eastAsia"/>
      </w:rPr>
    </w:lvl>
    <w:lvl w:ilvl="1" w:tentative="0">
      <w:start w:val="1"/>
      <w:numFmt w:val="decimal"/>
      <w:suff w:val="space"/>
      <w:lvlText w:val="%1.%2."/>
      <w:lvlJc w:val="left"/>
      <w:pPr>
        <w:ind w:left="709" w:hanging="709"/>
      </w:pPr>
      <w:rPr>
        <w:rFonts w:hint="default" w:ascii="Arial" w:hAnsi="Arial" w:eastAsia="Arial Unicode MS" w:cs="Arial"/>
      </w:rPr>
    </w:lvl>
    <w:lvl w:ilvl="2" w:tentative="0">
      <w:start w:val="1"/>
      <w:numFmt w:val="decimal"/>
      <w:suff w:val="space"/>
      <w:lvlText w:val="%1.%2.%3."/>
      <w:lvlJc w:val="left"/>
      <w:pPr>
        <w:ind w:left="851" w:hanging="851"/>
      </w:pPr>
      <w:rPr>
        <w:rFonts w:hint="default" w:ascii="Arial" w:hAnsi="Arial" w:eastAsia="Arial Unicode MS" w:cs="Arial"/>
        <w:b/>
        <w:bCs w:val="0"/>
        <w:i w:val="0"/>
        <w:iCs w:val="0"/>
        <w:caps w:val="0"/>
        <w:smallCaps w:val="0"/>
        <w:snapToGrid w:val="0"/>
        <w:vanish w:val="0"/>
        <w:color w:val="000000"/>
        <w:spacing w:val="0"/>
        <w:w w:val="0"/>
        <w:kern w:val="0"/>
        <w:position w:val="0"/>
        <w:szCs w:val="0"/>
        <w:u w:val="none"/>
        <w:vertAlign w:val="baseline"/>
      </w:rPr>
    </w:lvl>
    <w:lvl w:ilvl="3" w:tentative="0">
      <w:start w:val="1"/>
      <w:numFmt w:val="decimal"/>
      <w:suff w:val="space"/>
      <w:lvlText w:val="%1.%2.%3.%4."/>
      <w:lvlJc w:val="left"/>
      <w:pPr>
        <w:ind w:left="992" w:hanging="992"/>
      </w:pPr>
      <w:rPr>
        <w:rFonts w:hint="default" w:ascii="Arial" w:hAnsi="Arial" w:eastAsia="Arial Unicode MS" w:cs="Arial"/>
        <w:b/>
        <w:bCs w:val="0"/>
        <w:i w:val="0"/>
        <w:iCs w:val="0"/>
        <w:caps w:val="0"/>
        <w:smallCaps w:val="0"/>
        <w:snapToGrid w:val="0"/>
        <w:vanish w:val="0"/>
        <w:color w:val="000000"/>
        <w:spacing w:val="0"/>
        <w:w w:val="0"/>
        <w:kern w:val="0"/>
        <w:position w:val="0"/>
        <w:szCs w:val="0"/>
        <w:u w:val="none"/>
        <w:vertAlign w:val="baseline"/>
      </w:rPr>
    </w:lvl>
    <w:lvl w:ilvl="4" w:tentative="0">
      <w:start w:val="1"/>
      <w:numFmt w:val="decimal"/>
      <w:suff w:val="space"/>
      <w:lvlText w:val="%1.%2.%3.%4.%5"/>
      <w:lvlJc w:val="left"/>
      <w:pPr>
        <w:ind w:left="1134" w:hanging="1134"/>
      </w:pPr>
      <w:rPr>
        <w:rFonts w:hint="default" w:ascii="Arial" w:hAnsi="Arial" w:eastAsia="Arial Unicode MS" w:cs="Arial"/>
      </w:rPr>
    </w:lvl>
    <w:lvl w:ilvl="5" w:tentative="0">
      <w:start w:val="1"/>
      <w:numFmt w:val="decimal"/>
      <w:suff w:val="space"/>
      <w:lvlText w:val="%1.%2.%3.%4.%5.%6"/>
      <w:lvlJc w:val="left"/>
      <w:pPr>
        <w:ind w:left="1276" w:hanging="1276"/>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6"/>
  <w:drawingGridVerticalSpacing w:val="28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52A77"/>
    <w:rsid w:val="00005E22"/>
    <w:rsid w:val="00034AD3"/>
    <w:rsid w:val="00047BA1"/>
    <w:rsid w:val="0006402C"/>
    <w:rsid w:val="000912C8"/>
    <w:rsid w:val="00096924"/>
    <w:rsid w:val="000C3459"/>
    <w:rsid w:val="000D6D78"/>
    <w:rsid w:val="00131C44"/>
    <w:rsid w:val="00135321"/>
    <w:rsid w:val="001810D9"/>
    <w:rsid w:val="00181DB9"/>
    <w:rsid w:val="001C070A"/>
    <w:rsid w:val="00214E8F"/>
    <w:rsid w:val="00254AF4"/>
    <w:rsid w:val="0026540A"/>
    <w:rsid w:val="00270AD7"/>
    <w:rsid w:val="002A6471"/>
    <w:rsid w:val="002B0B22"/>
    <w:rsid w:val="00353112"/>
    <w:rsid w:val="00367D1C"/>
    <w:rsid w:val="0037482C"/>
    <w:rsid w:val="00384883"/>
    <w:rsid w:val="00395D9F"/>
    <w:rsid w:val="003E20DC"/>
    <w:rsid w:val="00420AAC"/>
    <w:rsid w:val="00452A77"/>
    <w:rsid w:val="004A5A90"/>
    <w:rsid w:val="00567238"/>
    <w:rsid w:val="0063659B"/>
    <w:rsid w:val="00664C1F"/>
    <w:rsid w:val="00665617"/>
    <w:rsid w:val="006D47A5"/>
    <w:rsid w:val="006E6362"/>
    <w:rsid w:val="007901D4"/>
    <w:rsid w:val="00805920"/>
    <w:rsid w:val="00813993"/>
    <w:rsid w:val="008255F3"/>
    <w:rsid w:val="00837B1C"/>
    <w:rsid w:val="0088004D"/>
    <w:rsid w:val="0096597D"/>
    <w:rsid w:val="009A7747"/>
    <w:rsid w:val="009E1617"/>
    <w:rsid w:val="009F2354"/>
    <w:rsid w:val="00A4652A"/>
    <w:rsid w:val="00AE6817"/>
    <w:rsid w:val="00AF1FD4"/>
    <w:rsid w:val="00B21F85"/>
    <w:rsid w:val="00B22BF5"/>
    <w:rsid w:val="00B93F1A"/>
    <w:rsid w:val="00C261E8"/>
    <w:rsid w:val="00C75D89"/>
    <w:rsid w:val="00CA14D4"/>
    <w:rsid w:val="00CD1B6B"/>
    <w:rsid w:val="00CD5DD5"/>
    <w:rsid w:val="00D675CD"/>
    <w:rsid w:val="00D94BF5"/>
    <w:rsid w:val="00E70D42"/>
    <w:rsid w:val="00EA32D2"/>
    <w:rsid w:val="00EE3C82"/>
    <w:rsid w:val="00F5747B"/>
    <w:rsid w:val="00F63CB3"/>
    <w:rsid w:val="00F80F15"/>
    <w:rsid w:val="00F87266"/>
    <w:rsid w:val="00FA1577"/>
    <w:rsid w:val="02F610CA"/>
    <w:rsid w:val="08FA759D"/>
    <w:rsid w:val="12E736AA"/>
    <w:rsid w:val="1FA36533"/>
    <w:rsid w:val="203B0F8E"/>
    <w:rsid w:val="209D7023"/>
    <w:rsid w:val="25680C98"/>
    <w:rsid w:val="259E2542"/>
    <w:rsid w:val="2CFD0A1F"/>
    <w:rsid w:val="2FFD3EB0"/>
    <w:rsid w:val="31BD318C"/>
    <w:rsid w:val="35E86C3C"/>
    <w:rsid w:val="38285EEA"/>
    <w:rsid w:val="38F9741A"/>
    <w:rsid w:val="3A0C09AD"/>
    <w:rsid w:val="3C8E2735"/>
    <w:rsid w:val="3E00516F"/>
    <w:rsid w:val="41144FDA"/>
    <w:rsid w:val="433219B7"/>
    <w:rsid w:val="448B57E4"/>
    <w:rsid w:val="4A085C1C"/>
    <w:rsid w:val="4CA67072"/>
    <w:rsid w:val="4DA33C11"/>
    <w:rsid w:val="4E587633"/>
    <w:rsid w:val="524378E1"/>
    <w:rsid w:val="55E060CA"/>
    <w:rsid w:val="592965D0"/>
    <w:rsid w:val="599F2B74"/>
    <w:rsid w:val="5A5A1976"/>
    <w:rsid w:val="5ABA5F65"/>
    <w:rsid w:val="5B1A7F33"/>
    <w:rsid w:val="6B80227A"/>
    <w:rsid w:val="6D157AD9"/>
    <w:rsid w:val="6E476AAD"/>
    <w:rsid w:val="725639CF"/>
    <w:rsid w:val="73325E68"/>
    <w:rsid w:val="735A3471"/>
    <w:rsid w:val="77F64ABD"/>
    <w:rsid w:val="784F4E44"/>
    <w:rsid w:val="79550339"/>
    <w:rsid w:val="7B1E7445"/>
    <w:rsid w:val="7ED43E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32"/>
      <w:szCs w:val="22"/>
      <w:lang w:val="en-US" w:eastAsia="zh-CN" w:bidi="ar-SA"/>
    </w:rPr>
  </w:style>
  <w:style w:type="paragraph" w:styleId="2">
    <w:name w:val="heading 1"/>
    <w:basedOn w:val="1"/>
    <w:next w:val="1"/>
    <w:qFormat/>
    <w:uiPriority w:val="9"/>
    <w:pPr>
      <w:keepNext/>
      <w:keepLines/>
      <w:pageBreakBefore/>
      <w:framePr w:wrap="around" w:vAnchor="text" w:hAnchor="text" w:y="1"/>
      <w:numPr>
        <w:ilvl w:val="0"/>
        <w:numId w:val="1"/>
      </w:numPr>
      <w:outlineLvl w:val="0"/>
    </w:pPr>
    <w:rPr>
      <w:rFonts w:eastAsia="宋体" w:cs="Arial"/>
      <w:bCs/>
      <w:sz w:val="40"/>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仿宋"/>
      <w:sz w:val="18"/>
      <w:szCs w:val="18"/>
    </w:rPr>
  </w:style>
  <w:style w:type="character" w:customStyle="1" w:styleId="11">
    <w:name w:val="页脚 Char"/>
    <w:basedOn w:val="8"/>
    <w:link w:val="4"/>
    <w:qFormat/>
    <w:uiPriority w:val="99"/>
    <w:rPr>
      <w:rFonts w:ascii="Times New Roman" w:hAnsi="Times New Roman" w:eastAsia="仿宋"/>
      <w:sz w:val="18"/>
      <w:szCs w:val="18"/>
    </w:rPr>
  </w:style>
  <w:style w:type="character" w:customStyle="1" w:styleId="12">
    <w:name w:val="10"/>
    <w:basedOn w:val="8"/>
    <w:qFormat/>
    <w:uiPriority w:val="0"/>
    <w:rPr>
      <w:rFonts w:hint="default" w:ascii="Times New Roman" w:hAnsi="Times New Roman" w:cs="Times New Roman"/>
    </w:rPr>
  </w:style>
  <w:style w:type="character" w:customStyle="1" w:styleId="13">
    <w:name w:val="批注框文本 Char"/>
    <w:basedOn w:val="8"/>
    <w:link w:val="3"/>
    <w:semiHidden/>
    <w:uiPriority w:val="99"/>
    <w:rPr>
      <w:rFonts w:eastAsia="仿宋"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1084</Words>
  <Characters>6185</Characters>
  <Lines>51</Lines>
  <Paragraphs>14</Paragraphs>
  <TotalTime>8</TotalTime>
  <ScaleCrop>false</ScaleCrop>
  <LinksUpToDate>false</LinksUpToDate>
  <CharactersWithSpaces>7255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2018-09-10T02:07:00Z</dcterms:created>
  <dc:creator>贾 勇</dc:creator>
  <cp:lastModifiedBy>小时光</cp:lastModifiedBy>
  <cp:lastPrinted>2018-09-19T06:31:00Z</cp:lastPrinted>
  <dcterms:modified xsi:type="dcterms:W3CDTF">2025-02-24T03:16:00Z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474DE6A87C7B45FDA81108ED71671832</vt:lpwstr>
  </property>
</Properties>
</file>