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附件1：</w:t>
      </w:r>
    </w:p>
    <w:p>
      <w:pPr>
        <w:pStyle w:val="15"/>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eastAsia="方正仿宋简体"/>
          <w:b/>
          <w:sz w:val="32"/>
          <w:szCs w:val="32"/>
        </w:rPr>
      </w:pPr>
      <w:r>
        <w:rPr>
          <w:rFonts w:hint="eastAsia" w:eastAsia="方正仿宋简体"/>
          <w:b/>
          <w:sz w:val="32"/>
          <w:szCs w:val="32"/>
        </w:rPr>
        <w:t>安宁工业园区第四污水处理厂运营管理单位政府采购项目招标代理服务单位询价</w:t>
      </w:r>
      <w:r>
        <w:rPr>
          <w:rFonts w:hint="eastAsia" w:eastAsia="方正仿宋简体"/>
          <w:b/>
          <w:sz w:val="32"/>
          <w:szCs w:val="32"/>
          <w:lang w:val="en-US" w:eastAsia="zh-CN"/>
        </w:rPr>
        <w:t>比选</w:t>
      </w:r>
      <w:r>
        <w:rPr>
          <w:rFonts w:eastAsia="方正仿宋简体"/>
          <w:b/>
          <w:sz w:val="32"/>
          <w:szCs w:val="32"/>
        </w:rPr>
        <w:t>评分细则</w:t>
      </w:r>
    </w:p>
    <w:p>
      <w:pPr>
        <w:pStyle w:val="15"/>
        <w:rPr>
          <w:rFonts w:hint="default" w:ascii="Times New Roman"/>
        </w:rPr>
      </w:pPr>
    </w:p>
    <w:tbl>
      <w:tblPr>
        <w:tblStyle w:val="8"/>
        <w:tblW w:w="8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52"/>
        <w:gridCol w:w="653"/>
        <w:gridCol w:w="6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355" w:type="dxa"/>
            <w:gridSpan w:val="4"/>
            <w:noWrap w:val="0"/>
            <w:vAlign w:val="center"/>
          </w:tcPr>
          <w:p>
            <w:pPr>
              <w:widowControl w:val="0"/>
              <w:spacing w:line="240" w:lineRule="auto"/>
              <w:contextualSpacing/>
              <w:jc w:val="center"/>
              <w:rPr>
                <w:rFonts w:hint="default" w:ascii="Times New Roman" w:hAnsi="Times New Roman" w:eastAsia="仿宋_GB2312" w:cs="Times New Roman"/>
                <w:b/>
                <w:snapToGrid w:val="0"/>
                <w:color w:val="auto"/>
                <w:sz w:val="21"/>
                <w:szCs w:val="21"/>
                <w:highlight w:val="none"/>
                <w:lang w:eastAsia="zh-CN"/>
              </w:rPr>
            </w:pPr>
            <w:r>
              <w:rPr>
                <w:rFonts w:hint="default" w:ascii="Times New Roman" w:hAnsi="Times New Roman" w:eastAsia="仿宋_GB2312" w:cs="Times New Roman"/>
                <w:b/>
                <w:snapToGrid w:val="0"/>
                <w:color w:val="auto"/>
                <w:sz w:val="21"/>
                <w:szCs w:val="21"/>
                <w:highlight w:val="none"/>
              </w:rPr>
              <w:t>技术部分</w:t>
            </w:r>
            <w:r>
              <w:rPr>
                <w:rFonts w:hint="default" w:ascii="Times New Roman" w:hAnsi="Times New Roman" w:eastAsia="仿宋_GB2312" w:cs="Times New Roman"/>
                <w:b/>
                <w:snapToGrid w:val="0"/>
                <w:color w:val="auto"/>
                <w:sz w:val="21"/>
                <w:szCs w:val="21"/>
                <w:highlight w:val="none"/>
                <w:lang w:eastAsia="zh-CN"/>
              </w:rPr>
              <w:t>（</w:t>
            </w:r>
            <w:r>
              <w:rPr>
                <w:rFonts w:hint="default" w:ascii="Times New Roman" w:hAnsi="Times New Roman" w:eastAsia="仿宋_GB2312" w:cs="Times New Roman"/>
                <w:b/>
                <w:snapToGrid w:val="0"/>
                <w:color w:val="auto"/>
                <w:sz w:val="21"/>
                <w:szCs w:val="21"/>
                <w:highlight w:val="none"/>
                <w:lang w:val="en-US" w:eastAsia="zh-CN"/>
              </w:rPr>
              <w:t>100分</w:t>
            </w:r>
            <w:r>
              <w:rPr>
                <w:rFonts w:hint="default" w:ascii="Times New Roman" w:hAnsi="Times New Roman" w:eastAsia="仿宋_GB2312" w:cs="Times New Roman"/>
                <w:b/>
                <w:snapToGrid w:val="0"/>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contextualSpacing/>
              <w:jc w:val="center"/>
              <w:textAlignment w:val="auto"/>
              <w:rPr>
                <w:rFonts w:hint="default" w:ascii="Times New Roman" w:hAnsi="Times New Roman" w:eastAsia="仿宋_GB2312" w:cs="Times New Roman"/>
                <w:b/>
                <w:snapToGrid w:val="0"/>
                <w:color w:val="auto"/>
                <w:sz w:val="21"/>
                <w:szCs w:val="21"/>
                <w:highlight w:val="none"/>
              </w:rPr>
            </w:pPr>
            <w:r>
              <w:rPr>
                <w:rFonts w:hint="default" w:ascii="Times New Roman" w:hAnsi="Times New Roman" w:eastAsia="仿宋_GB2312" w:cs="Times New Roman"/>
                <w:b/>
                <w:snapToGrid w:val="0"/>
                <w:color w:val="auto"/>
                <w:sz w:val="21"/>
                <w:szCs w:val="21"/>
                <w:highlight w:val="none"/>
              </w:rPr>
              <w:t>评审因素</w:t>
            </w:r>
          </w:p>
        </w:tc>
        <w:tc>
          <w:tcPr>
            <w:tcW w:w="6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contextualSpacing/>
              <w:jc w:val="center"/>
              <w:textAlignment w:val="auto"/>
              <w:rPr>
                <w:rFonts w:hint="default" w:ascii="Times New Roman" w:hAnsi="Times New Roman" w:eastAsia="仿宋_GB2312" w:cs="Times New Roman"/>
                <w:b/>
                <w:snapToGrid w:val="0"/>
                <w:color w:val="auto"/>
                <w:sz w:val="21"/>
                <w:szCs w:val="21"/>
                <w:highlight w:val="none"/>
              </w:rPr>
            </w:pPr>
            <w:r>
              <w:rPr>
                <w:rFonts w:hint="default" w:ascii="Times New Roman" w:hAnsi="Times New Roman" w:eastAsia="仿宋_GB2312" w:cs="Times New Roman"/>
                <w:b/>
                <w:snapToGrid w:val="0"/>
                <w:color w:val="auto"/>
                <w:sz w:val="21"/>
                <w:szCs w:val="21"/>
                <w:highlight w:val="none"/>
              </w:rPr>
              <w:t>分值</w:t>
            </w:r>
          </w:p>
        </w:tc>
        <w:tc>
          <w:tcPr>
            <w:tcW w:w="63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1687" w:firstLineChars="800"/>
              <w:contextualSpacing/>
              <w:jc w:val="left"/>
              <w:textAlignment w:val="auto"/>
              <w:rPr>
                <w:rFonts w:hint="default" w:ascii="Times New Roman" w:hAnsi="Times New Roman" w:eastAsia="仿宋_GB2312" w:cs="Times New Roman"/>
                <w:b/>
                <w:snapToGrid w:val="0"/>
                <w:color w:val="auto"/>
                <w:sz w:val="21"/>
                <w:szCs w:val="21"/>
                <w:highlight w:val="none"/>
              </w:rPr>
            </w:pPr>
            <w:r>
              <w:rPr>
                <w:rFonts w:hint="default" w:ascii="Times New Roman" w:hAnsi="Times New Roman" w:eastAsia="仿宋_GB2312" w:cs="Times New Roman"/>
                <w:b/>
                <w:snapToGrid w:val="0"/>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0" w:type="dxa"/>
            <w:gridSpan w:val="2"/>
            <w:noWrap w:val="0"/>
            <w:vAlign w:val="center"/>
          </w:tcPr>
          <w:p>
            <w:pPr>
              <w:spacing w:line="240" w:lineRule="auto"/>
              <w:ind w:left="0" w:leftChars="0" w:firstLine="0" w:firstLineChars="0"/>
              <w:jc w:val="center"/>
              <w:rPr>
                <w:rFonts w:hint="default" w:ascii="Times New Roman" w:hAnsi="Times New Roman" w:eastAsia="仿宋_GB2312" w:cs="Times New Roman"/>
                <w:snapToGrid w:val="0"/>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招标代理工作方案</w:t>
            </w:r>
          </w:p>
        </w:tc>
        <w:tc>
          <w:tcPr>
            <w:tcW w:w="653" w:type="dxa"/>
            <w:noWrap w:val="0"/>
            <w:vAlign w:val="center"/>
          </w:tcPr>
          <w:p>
            <w:pPr>
              <w:spacing w:line="240" w:lineRule="auto"/>
              <w:ind w:left="0" w:leftChars="0" w:firstLine="0" w:firstLineChars="0"/>
              <w:jc w:val="center"/>
              <w:rPr>
                <w:rFonts w:hint="default" w:ascii="Times New Roman" w:hAnsi="Times New Roman" w:eastAsia="仿宋_GB2312" w:cs="Times New Roman"/>
                <w:snapToGrid w:val="0"/>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35</w:t>
            </w:r>
            <w:r>
              <w:rPr>
                <w:rFonts w:hint="default" w:ascii="Times New Roman" w:hAnsi="Times New Roman" w:eastAsia="仿宋_GB2312" w:cs="Times New Roman"/>
                <w:color w:val="auto"/>
                <w:sz w:val="21"/>
                <w:szCs w:val="21"/>
                <w:highlight w:val="none"/>
              </w:rPr>
              <w:t>分</w:t>
            </w:r>
          </w:p>
        </w:tc>
        <w:tc>
          <w:tcPr>
            <w:tcW w:w="635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val="en-US" w:eastAsia="zh-CN"/>
              </w:rPr>
              <w:t>1.招标代理工作</w:t>
            </w:r>
            <w:r>
              <w:rPr>
                <w:rFonts w:hint="default" w:ascii="Times New Roman" w:hAnsi="Times New Roman" w:eastAsia="仿宋_GB2312" w:cs="Times New Roman"/>
                <w:color w:val="auto"/>
                <w:sz w:val="21"/>
                <w:szCs w:val="21"/>
                <w:highlight w:val="none"/>
                <w:lang w:eastAsia="zh-CN"/>
              </w:rPr>
              <w:t>方案详细，内容完整，针对性强，能充分体现本项目竞争性比选特点，得</w:t>
            </w:r>
            <w:r>
              <w:rPr>
                <w:rFonts w:hint="default" w:ascii="Times New Roman" w:hAnsi="Times New Roman" w:eastAsia="仿宋_GB2312" w:cs="Times New Roman"/>
                <w:color w:val="auto"/>
                <w:sz w:val="21"/>
                <w:szCs w:val="21"/>
                <w:highlight w:val="none"/>
                <w:lang w:val="en-US" w:eastAsia="zh-CN"/>
              </w:rPr>
              <w:t>25-35</w:t>
            </w:r>
            <w:r>
              <w:rPr>
                <w:rFonts w:hint="default" w:ascii="Times New Roman" w:hAnsi="Times New Roman" w:eastAsia="仿宋_GB2312" w:cs="Times New Roman"/>
                <w:color w:val="auto"/>
                <w:sz w:val="21"/>
                <w:szCs w:val="21"/>
                <w:highlight w:val="none"/>
                <w:lang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val="en-US" w:eastAsia="zh-CN"/>
              </w:rPr>
              <w:t>2.</w:t>
            </w:r>
            <w:r>
              <w:rPr>
                <w:rFonts w:hint="default" w:ascii="Times New Roman" w:hAnsi="Times New Roman" w:eastAsia="仿宋_GB2312" w:cs="Times New Roman"/>
                <w:color w:val="auto"/>
                <w:sz w:val="21"/>
                <w:szCs w:val="21"/>
                <w:highlight w:val="none"/>
                <w:lang w:eastAsia="zh-CN"/>
              </w:rPr>
              <w:t>能提供招标代理工作方案，内容基本完整，针对性一般，得</w:t>
            </w:r>
            <w:r>
              <w:rPr>
                <w:rFonts w:hint="default" w:ascii="Times New Roman" w:hAnsi="Times New Roman" w:eastAsia="仿宋_GB2312" w:cs="Times New Roman"/>
                <w:color w:val="auto"/>
                <w:sz w:val="21"/>
                <w:szCs w:val="21"/>
                <w:highlight w:val="none"/>
                <w:lang w:val="en-US" w:eastAsia="zh-CN"/>
              </w:rPr>
              <w:t>14-24</w:t>
            </w:r>
            <w:r>
              <w:rPr>
                <w:rFonts w:hint="default" w:ascii="Times New Roman" w:hAnsi="Times New Roman" w:eastAsia="仿宋_GB2312" w:cs="Times New Roman"/>
                <w:color w:val="auto"/>
                <w:sz w:val="21"/>
                <w:szCs w:val="21"/>
                <w:highlight w:val="none"/>
                <w:lang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val="en-US" w:eastAsia="zh-CN"/>
              </w:rPr>
              <w:t>3.招标代理工作方案不完整，针对性差</w:t>
            </w:r>
            <w:r>
              <w:rPr>
                <w:rFonts w:hint="default" w:ascii="Times New Roman" w:hAnsi="Times New Roman" w:eastAsia="仿宋_GB2312" w:cs="Times New Roman"/>
                <w:color w:val="auto"/>
                <w:sz w:val="21"/>
                <w:szCs w:val="21"/>
                <w:highlight w:val="none"/>
                <w:lang w:eastAsia="zh-CN"/>
              </w:rPr>
              <w:t>，得</w:t>
            </w:r>
            <w:r>
              <w:rPr>
                <w:rFonts w:hint="default" w:ascii="Times New Roman" w:hAnsi="Times New Roman" w:eastAsia="仿宋_GB2312" w:cs="Times New Roman"/>
                <w:color w:val="auto"/>
                <w:sz w:val="21"/>
                <w:szCs w:val="21"/>
                <w:highlight w:val="none"/>
                <w:lang w:val="en-US" w:eastAsia="zh-CN"/>
              </w:rPr>
              <w:t>1</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lang w:val="en-US" w:eastAsia="zh-CN"/>
              </w:rPr>
              <w:t>13</w:t>
            </w:r>
            <w:r>
              <w:rPr>
                <w:rFonts w:hint="default" w:ascii="Times New Roman" w:hAnsi="Times New Roman" w:eastAsia="仿宋_GB2312" w:cs="Times New Roman"/>
                <w:color w:val="auto"/>
                <w:sz w:val="21"/>
                <w:szCs w:val="21"/>
                <w:highlight w:val="none"/>
                <w:lang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b w:val="0"/>
                <w:bCs w:val="0"/>
                <w:color w:val="auto"/>
                <w:sz w:val="21"/>
                <w:szCs w:val="21"/>
                <w:highlight w:val="none"/>
                <w:lang w:val="en-US" w:eastAsia="zh-CN"/>
              </w:rPr>
              <w:t>4.</w:t>
            </w:r>
            <w:r>
              <w:rPr>
                <w:rFonts w:hint="default" w:ascii="Times New Roman" w:hAnsi="Times New Roman" w:eastAsia="仿宋_GB2312" w:cs="Times New Roman"/>
                <w:b w:val="0"/>
                <w:bCs w:val="0"/>
                <w:color w:val="auto"/>
                <w:sz w:val="21"/>
                <w:szCs w:val="21"/>
                <w:highlight w:val="none"/>
                <w:lang w:eastAsia="zh-CN"/>
              </w:rPr>
              <w:t>无招标代理工作方案的得</w:t>
            </w:r>
            <w:r>
              <w:rPr>
                <w:rFonts w:hint="default" w:ascii="Times New Roman" w:hAnsi="Times New Roman" w:eastAsia="仿宋_GB2312" w:cs="Times New Roman"/>
                <w:b w:val="0"/>
                <w:bCs w:val="0"/>
                <w:color w:val="auto"/>
                <w:sz w:val="21"/>
                <w:szCs w:val="21"/>
                <w:highlight w:val="none"/>
                <w:lang w:val="en-US"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eastAsia="仿宋_GB2312" w:cs="Times New Roman"/>
                <w:color w:val="auto"/>
                <w:sz w:val="21"/>
                <w:szCs w:val="21"/>
                <w:highlight w:val="none"/>
                <w:lang w:val="en-US" w:eastAsia="zh-CN"/>
              </w:rPr>
            </w:pPr>
            <w:bookmarkStart w:id="0" w:name="_Toc521507794"/>
            <w:bookmarkStart w:id="1" w:name="_Toc2261393"/>
            <w:bookmarkStart w:id="2" w:name="_Toc18672"/>
            <w:bookmarkStart w:id="3" w:name="_Toc521404074"/>
            <w:bookmarkStart w:id="4" w:name="_Toc521506629"/>
            <w:bookmarkStart w:id="5" w:name="_Toc4487715"/>
            <w:r>
              <w:rPr>
                <w:rFonts w:hint="default" w:ascii="Times New Roman" w:hAnsi="Times New Roman" w:eastAsia="仿宋_GB2312" w:cs="Times New Roman"/>
                <w:color w:val="auto"/>
                <w:sz w:val="21"/>
                <w:szCs w:val="21"/>
                <w:highlight w:val="none"/>
                <w:lang w:val="en-US" w:eastAsia="zh-CN"/>
              </w:rPr>
              <w:t>服务质量</w:t>
            </w:r>
            <w:r>
              <w:rPr>
                <w:rFonts w:hint="default" w:ascii="Times New Roman" w:hAnsi="Times New Roman" w:eastAsia="仿宋_GB2312" w:cs="Times New Roman"/>
                <w:color w:val="auto"/>
                <w:sz w:val="21"/>
                <w:szCs w:val="21"/>
                <w:highlight w:val="none"/>
              </w:rPr>
              <w:t>承诺及保证措施</w:t>
            </w:r>
            <w:bookmarkEnd w:id="0"/>
            <w:bookmarkEnd w:id="1"/>
            <w:bookmarkEnd w:id="2"/>
            <w:bookmarkEnd w:id="3"/>
            <w:bookmarkEnd w:id="4"/>
            <w:bookmarkEnd w:id="5"/>
          </w:p>
        </w:tc>
        <w:tc>
          <w:tcPr>
            <w:tcW w:w="6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1</w:t>
            </w:r>
            <w:r>
              <w:rPr>
                <w:rFonts w:hint="default" w:ascii="Times New Roman" w:hAnsi="Times New Roman" w:eastAsia="仿宋_GB2312" w:cs="Times New Roman"/>
                <w:color w:val="auto"/>
                <w:sz w:val="21"/>
                <w:szCs w:val="21"/>
                <w:highlight w:val="none"/>
                <w:lang w:val="en-US" w:eastAsia="zh-CN"/>
              </w:rPr>
              <w:t>5</w:t>
            </w:r>
            <w:r>
              <w:rPr>
                <w:rFonts w:hint="default" w:ascii="Times New Roman" w:hAnsi="Times New Roman" w:eastAsia="仿宋_GB2312" w:cs="Times New Roman"/>
                <w:color w:val="auto"/>
                <w:sz w:val="21"/>
                <w:szCs w:val="21"/>
                <w:highlight w:val="none"/>
                <w:lang w:eastAsia="zh-CN"/>
              </w:rPr>
              <w:t>分</w:t>
            </w:r>
          </w:p>
        </w:tc>
        <w:tc>
          <w:tcPr>
            <w:tcW w:w="635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val="en-US" w:eastAsia="zh-CN"/>
              </w:rPr>
              <w:t>1.有服务质量承诺且有具体的违约责任承诺，质量保证措施具体、科学合理、切实可行，得9-15分</w:t>
            </w:r>
            <w:r>
              <w:rPr>
                <w:rFonts w:hint="default" w:ascii="Times New Roman" w:hAnsi="Times New Roman" w:eastAsia="仿宋_GB2312" w:cs="Times New Roman"/>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val="en-US" w:eastAsia="zh-CN"/>
              </w:rPr>
              <w:t>2.</w:t>
            </w:r>
            <w:r>
              <w:rPr>
                <w:rFonts w:hint="default" w:ascii="Times New Roman" w:hAnsi="Times New Roman" w:eastAsia="仿宋_GB2312" w:cs="Times New Roman"/>
                <w:color w:val="auto"/>
                <w:sz w:val="21"/>
                <w:szCs w:val="21"/>
                <w:highlight w:val="none"/>
                <w:lang w:eastAsia="zh-CN"/>
              </w:rPr>
              <w:t>有服务</w:t>
            </w:r>
            <w:r>
              <w:rPr>
                <w:rFonts w:hint="default" w:ascii="Times New Roman" w:hAnsi="Times New Roman" w:eastAsia="仿宋_GB2312" w:cs="Times New Roman"/>
                <w:color w:val="auto"/>
                <w:sz w:val="21"/>
                <w:szCs w:val="21"/>
                <w:highlight w:val="none"/>
                <w:lang w:val="en-US" w:eastAsia="zh-CN"/>
              </w:rPr>
              <w:t>质量</w:t>
            </w:r>
            <w:r>
              <w:rPr>
                <w:rFonts w:hint="default" w:ascii="Times New Roman" w:hAnsi="Times New Roman" w:eastAsia="仿宋_GB2312" w:cs="Times New Roman"/>
                <w:color w:val="auto"/>
                <w:sz w:val="21"/>
                <w:szCs w:val="21"/>
                <w:highlight w:val="none"/>
                <w:lang w:eastAsia="zh-CN"/>
              </w:rPr>
              <w:t>承诺，且具体违约责任承诺，质量保证措施基本可行，得</w:t>
            </w:r>
            <w:r>
              <w:rPr>
                <w:rFonts w:hint="default" w:ascii="Times New Roman" w:hAnsi="Times New Roman" w:eastAsia="仿宋_GB2312" w:cs="Times New Roman"/>
                <w:color w:val="auto"/>
                <w:sz w:val="21"/>
                <w:szCs w:val="21"/>
                <w:highlight w:val="none"/>
                <w:lang w:val="en-US" w:eastAsia="zh-CN"/>
              </w:rPr>
              <w:t>1-8分</w:t>
            </w:r>
            <w:r>
              <w:rPr>
                <w:rFonts w:hint="default" w:ascii="Times New Roman" w:hAnsi="Times New Roman" w:eastAsia="仿宋_GB2312" w:cs="Times New Roman"/>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val="en-US" w:eastAsia="zh-CN"/>
              </w:rPr>
              <w:t>3.无服务</w:t>
            </w:r>
            <w:r>
              <w:rPr>
                <w:rFonts w:hint="default" w:ascii="Times New Roman" w:hAnsi="Times New Roman" w:eastAsia="仿宋_GB2312" w:cs="Times New Roman"/>
                <w:color w:val="auto"/>
                <w:sz w:val="21"/>
                <w:szCs w:val="21"/>
                <w:highlight w:val="none"/>
                <w:lang w:eastAsia="zh-CN"/>
              </w:rPr>
              <w:t>质量承诺得0分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廉洁管理措施及承诺</w:t>
            </w:r>
          </w:p>
        </w:tc>
        <w:tc>
          <w:tcPr>
            <w:tcW w:w="6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10分</w:t>
            </w:r>
          </w:p>
        </w:tc>
        <w:tc>
          <w:tcPr>
            <w:tcW w:w="635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1.廉洁管理措施内容具体，切实可行，并附有廉洁违约承诺，得</w:t>
            </w:r>
            <w:r>
              <w:rPr>
                <w:rFonts w:hint="default" w:ascii="Times New Roman" w:hAnsi="Times New Roman" w:eastAsia="仿宋_GB2312" w:cs="Times New Roman"/>
                <w:color w:val="auto"/>
                <w:sz w:val="21"/>
                <w:szCs w:val="21"/>
                <w:highlight w:val="none"/>
                <w:lang w:val="en-US" w:eastAsia="zh-CN"/>
              </w:rPr>
              <w:t>6-10分</w:t>
            </w:r>
            <w:r>
              <w:rPr>
                <w:rFonts w:hint="default" w:ascii="Times New Roman" w:hAnsi="Times New Roman" w:eastAsia="仿宋_GB2312" w:cs="Times New Roman"/>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eastAsia="zh-CN"/>
              </w:rPr>
              <w:t>2.廉洁管理措施内容具体，但无廉洁违约承诺，得</w:t>
            </w:r>
            <w:r>
              <w:rPr>
                <w:rFonts w:hint="default" w:ascii="Times New Roman" w:hAnsi="Times New Roman" w:eastAsia="仿宋_GB2312" w:cs="Times New Roman"/>
                <w:color w:val="auto"/>
                <w:sz w:val="21"/>
                <w:szCs w:val="21"/>
                <w:highlight w:val="none"/>
                <w:lang w:val="en-US" w:eastAsia="zh-CN"/>
              </w:rPr>
              <w:t>1-5分；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eastAsia="zh-CN"/>
              </w:rPr>
              <w:t>3.无廉洁管理措施，</w:t>
            </w:r>
            <w:r>
              <w:rPr>
                <w:rFonts w:hint="default" w:ascii="Times New Roman" w:hAnsi="Times New Roman" w:eastAsia="仿宋_GB2312" w:cs="Times New Roman"/>
                <w:color w:val="auto"/>
                <w:sz w:val="21"/>
                <w:szCs w:val="21"/>
                <w:highlight w:val="none"/>
                <w:lang w:val="en-US" w:eastAsia="zh-CN"/>
              </w:rPr>
              <w:t>得</w:t>
            </w:r>
            <w:r>
              <w:rPr>
                <w:rFonts w:hint="default" w:ascii="Times New Roman" w:hAnsi="Times New Roman" w:eastAsia="仿宋_GB2312" w:cs="Times New Roman"/>
                <w:color w:val="auto"/>
                <w:sz w:val="21"/>
                <w:szCs w:val="21"/>
                <w:highlight w:val="none"/>
                <w:lang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档案管理制度</w:t>
            </w:r>
          </w:p>
        </w:tc>
        <w:tc>
          <w:tcPr>
            <w:tcW w:w="6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val="en-US" w:eastAsia="zh-CN"/>
              </w:rPr>
              <w:t>10</w:t>
            </w:r>
            <w:r>
              <w:rPr>
                <w:rFonts w:hint="default" w:ascii="Times New Roman" w:hAnsi="Times New Roman" w:eastAsia="仿宋_GB2312" w:cs="Times New Roman"/>
                <w:color w:val="auto"/>
                <w:sz w:val="21"/>
                <w:szCs w:val="21"/>
                <w:highlight w:val="none"/>
                <w:lang w:eastAsia="zh-CN"/>
              </w:rPr>
              <w:t>分</w:t>
            </w:r>
          </w:p>
        </w:tc>
        <w:tc>
          <w:tcPr>
            <w:tcW w:w="635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1.有健全、完善的档案管理制度及固定档案室及管理员，得6-10分；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2.有档案管理制度及固定档案室及管理员，得3-5分；</w:t>
            </w:r>
          </w:p>
          <w:p>
            <w:pPr>
              <w:keepNext w:val="0"/>
              <w:keepLines w:val="0"/>
              <w:pageBreakBefore w:val="0"/>
              <w:widowControl w:val="0"/>
              <w:numPr>
                <w:ilvl w:val="0"/>
                <w:numId w:val="0"/>
              </w:numPr>
              <w:tabs>
                <w:tab w:val="left" w:pos="4307"/>
              </w:tabs>
              <w:kinsoku/>
              <w:wordWrap/>
              <w:overflowPunct/>
              <w:topLinePunct w:val="0"/>
              <w:autoSpaceDE/>
              <w:autoSpaceDN/>
              <w:bidi w:val="0"/>
              <w:adjustRightInd/>
              <w:snapToGrid/>
              <w:spacing w:line="240" w:lineRule="auto"/>
              <w:ind w:leftChars="0"/>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auto"/>
                <w:sz w:val="21"/>
                <w:szCs w:val="21"/>
                <w:highlight w:val="none"/>
                <w:lang w:val="en-US" w:eastAsia="zh-CN"/>
              </w:rPr>
              <w:t>3.无档案管理制度或固定档案室及管理员，得0分。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135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类似</w:t>
            </w:r>
            <w:r>
              <w:rPr>
                <w:rFonts w:hint="default" w:ascii="Times New Roman" w:hAnsi="Times New Roman" w:eastAsia="仿宋_GB2312" w:cs="Times New Roman"/>
                <w:color w:val="auto"/>
                <w:sz w:val="21"/>
                <w:szCs w:val="21"/>
                <w:highlight w:val="none"/>
                <w:lang w:val="en-US" w:eastAsia="zh-CN"/>
              </w:rPr>
              <w:t>企业</w:t>
            </w:r>
            <w:r>
              <w:rPr>
                <w:rFonts w:hint="default" w:ascii="Times New Roman" w:hAnsi="Times New Roman" w:eastAsia="仿宋_GB2312" w:cs="Times New Roman"/>
                <w:color w:val="auto"/>
                <w:sz w:val="21"/>
                <w:szCs w:val="21"/>
                <w:highlight w:val="none"/>
              </w:rPr>
              <w:t>业绩</w:t>
            </w:r>
          </w:p>
        </w:tc>
        <w:tc>
          <w:tcPr>
            <w:tcW w:w="6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10分</w:t>
            </w:r>
          </w:p>
        </w:tc>
        <w:tc>
          <w:tcPr>
            <w:tcW w:w="635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自2022年至今（按合同签订时间）承担过3个招标代理服务工作的得基本分2分，在此基础上每多提供一个招标代理服务工作业绩的加2分，最高得10分。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auto"/>
                <w:sz w:val="21"/>
                <w:szCs w:val="21"/>
                <w:highlight w:val="none"/>
                <w:lang w:val="en-US" w:eastAsia="zh-CN"/>
              </w:rPr>
              <w:t>注：附类似业绩证明文件复印件（类似业绩证明文件指合同协议书或中标通知书或业主证明等相关业绩证明材料），类似业绩证明材料的复印件应装订于询价文件中。</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35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项目组人员配置评审评分</w:t>
            </w:r>
          </w:p>
        </w:tc>
        <w:tc>
          <w:tcPr>
            <w:tcW w:w="6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20</w:t>
            </w:r>
            <w:r>
              <w:rPr>
                <w:rFonts w:hint="default" w:ascii="Times New Roman" w:hAnsi="Times New Roman" w:eastAsia="仿宋_GB2312" w:cs="Times New Roman"/>
                <w:color w:val="auto"/>
                <w:sz w:val="21"/>
                <w:szCs w:val="21"/>
                <w:highlight w:val="none"/>
              </w:rPr>
              <w:t>分</w:t>
            </w:r>
          </w:p>
        </w:tc>
        <w:tc>
          <w:tcPr>
            <w:tcW w:w="635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1项目负责人（满分10分）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根据项目负责人的资格证书、经历、能力进行综合评审，5-10分；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2.项目组其他人员（满分10分）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项目组成员不少于3人，针对项目实际配置且科学合理。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auto"/>
                <w:sz w:val="21"/>
                <w:szCs w:val="21"/>
                <w:highlight w:val="none"/>
                <w:lang w:val="en-US" w:eastAsia="zh-CN"/>
              </w:rPr>
              <w:t>根据各报价人投入人员综合实力及违约承诺1-10分横向对比。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5" w:type="dxa"/>
            <w:gridSpan w:val="4"/>
            <w:noWrap w:val="0"/>
            <w:vAlign w:val="center"/>
          </w:tcPr>
          <w:p>
            <w:pPr>
              <w:widowControl w:val="0"/>
              <w:adjustRightInd w:val="0"/>
              <w:snapToGrid w:val="0"/>
              <w:spacing w:line="240" w:lineRule="auto"/>
              <w:contextualSpacing/>
              <w:jc w:val="center"/>
              <w:rPr>
                <w:rFonts w:hint="default" w:ascii="Times New Roman" w:hAnsi="Times New Roman" w:eastAsia="仿宋_GB2312" w:cs="Times New Roman"/>
                <w:b/>
                <w:snapToGrid w:val="0"/>
                <w:color w:val="auto"/>
                <w:sz w:val="21"/>
                <w:szCs w:val="21"/>
                <w:highlight w:val="none"/>
                <w:lang w:eastAsia="zh-CN"/>
              </w:rPr>
            </w:pPr>
            <w:r>
              <w:rPr>
                <w:rFonts w:hint="default" w:ascii="Times New Roman" w:hAnsi="Times New Roman" w:eastAsia="仿宋_GB2312" w:cs="Times New Roman"/>
                <w:b/>
                <w:snapToGrid w:val="0"/>
                <w:color w:val="auto"/>
                <w:sz w:val="21"/>
                <w:szCs w:val="21"/>
                <w:highlight w:val="none"/>
                <w:lang w:eastAsia="zh-CN"/>
              </w:rPr>
              <w:t>商务部分</w:t>
            </w:r>
            <w:r>
              <w:rPr>
                <w:rFonts w:hint="default" w:ascii="Times New Roman" w:hAnsi="Times New Roman" w:eastAsia="仿宋_GB2312" w:cs="Times New Roman"/>
                <w:color w:val="auto"/>
                <w:sz w:val="21"/>
                <w:szCs w:val="21"/>
                <w:highlight w:val="none"/>
                <w:lang w:val="en-US" w:eastAsia="zh-CN"/>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12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比选报价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napToGrid w:val="0"/>
                <w:color w:val="auto"/>
                <w:sz w:val="21"/>
                <w:szCs w:val="21"/>
                <w:highlight w:val="none"/>
              </w:rPr>
            </w:pPr>
          </w:p>
        </w:tc>
        <w:tc>
          <w:tcPr>
            <w:tcW w:w="70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综合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highlight w:val="none"/>
                <w:lang w:val="en-US" w:eastAsia="zh-CN"/>
              </w:rPr>
              <w:t>评分</w:t>
            </w:r>
          </w:p>
        </w:tc>
        <w:tc>
          <w:tcPr>
            <w:tcW w:w="6352"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所有有效投标人投标报价的</w:t>
            </w:r>
            <w:r>
              <w:rPr>
                <w:rFonts w:hint="eastAsia" w:ascii="Times New Roman" w:hAnsi="Times New Roman" w:eastAsia="仿宋_GB2312" w:cs="Times New Roman"/>
                <w:color w:val="auto"/>
                <w:sz w:val="21"/>
                <w:szCs w:val="21"/>
                <w:highlight w:val="none"/>
                <w:lang w:val="en-US" w:eastAsia="zh-CN"/>
              </w:rPr>
              <w:t>平均值</w:t>
            </w:r>
            <w:r>
              <w:rPr>
                <w:rFonts w:hint="default" w:ascii="Times New Roman" w:hAnsi="Times New Roman" w:eastAsia="仿宋_GB2312" w:cs="Times New Roman"/>
                <w:color w:val="auto"/>
                <w:sz w:val="21"/>
                <w:szCs w:val="21"/>
                <w:highlight w:val="none"/>
                <w:lang w:val="en-US" w:eastAsia="zh-CN"/>
              </w:rPr>
              <w:t>为评标基准价，其价格分为满分100分。（报价低于控制价的则为无效报价，不参与报价打分评审）；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highlight w:val="none"/>
                <w:lang w:val="en-US" w:eastAsia="zh-CN"/>
              </w:rPr>
              <w:t>（2）其他价格分统一按照下列公式计算：报价得分=（投标报价/评标基准价）×100。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5" w:type="dxa"/>
            <w:gridSpan w:val="4"/>
            <w:noWrap w:val="0"/>
            <w:vAlign w:val="center"/>
          </w:tcPr>
          <w:p>
            <w:pPr>
              <w:widowControl w:val="0"/>
              <w:adjustRightInd w:val="0"/>
              <w:snapToGrid w:val="0"/>
              <w:spacing w:line="240" w:lineRule="auto"/>
              <w:contextualSpacing/>
              <w:jc w:val="center"/>
              <w:rPr>
                <w:rFonts w:hint="default" w:ascii="Times New Roman" w:hAnsi="Times New Roman" w:eastAsia="仿宋_GB2312" w:cs="Times New Roman"/>
                <w:b/>
                <w:snapToGrid w:val="0"/>
                <w:color w:val="auto"/>
                <w:sz w:val="21"/>
                <w:szCs w:val="21"/>
                <w:highlight w:val="none"/>
                <w:lang w:eastAsia="zh-CN"/>
              </w:rPr>
            </w:pPr>
            <w:r>
              <w:rPr>
                <w:rFonts w:hint="default" w:ascii="Times New Roman" w:hAnsi="Times New Roman" w:eastAsia="仿宋_GB2312" w:cs="Times New Roman"/>
                <w:b/>
                <w:snapToGrid w:val="0"/>
                <w:color w:val="auto"/>
                <w:sz w:val="21"/>
                <w:szCs w:val="21"/>
                <w:highlight w:val="none"/>
                <w:lang w:val="en-US" w:eastAsia="zh-CN"/>
              </w:rPr>
              <w:t>最终得分</w:t>
            </w:r>
            <w:r>
              <w:rPr>
                <w:rFonts w:hint="default" w:ascii="Times New Roman" w:hAnsi="Times New Roman" w:eastAsia="仿宋_GB2312" w:cs="Times New Roman"/>
                <w:color w:val="auto"/>
                <w:sz w:val="21"/>
                <w:szCs w:val="21"/>
                <w:highlight w:val="none"/>
                <w:lang w:val="en-US" w:eastAsia="zh-CN"/>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2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最终得分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napToGrid w:val="0"/>
                <w:color w:val="auto"/>
                <w:sz w:val="21"/>
                <w:szCs w:val="21"/>
                <w:highlight w:val="none"/>
              </w:rPr>
            </w:pPr>
          </w:p>
        </w:tc>
        <w:tc>
          <w:tcPr>
            <w:tcW w:w="70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综合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highlight w:val="none"/>
                <w:lang w:val="en-US" w:eastAsia="zh-CN"/>
              </w:rPr>
              <w:t>评分</w:t>
            </w:r>
          </w:p>
        </w:tc>
        <w:tc>
          <w:tcPr>
            <w:tcW w:w="635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highlight w:val="none"/>
                <w:lang w:val="en-US" w:eastAsia="zh-CN"/>
              </w:rPr>
              <w:t>技术部分占比70%，商务部分占比30%，总得分=技术部分*70%+商务部分*30%</w:t>
            </w:r>
          </w:p>
        </w:tc>
      </w:tr>
    </w:tbl>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54C74"/>
    <w:multiLevelType w:val="singleLevel"/>
    <w:tmpl w:val="AC254C7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A2A"/>
    <w:rsid w:val="00340B80"/>
    <w:rsid w:val="005B1080"/>
    <w:rsid w:val="0062131F"/>
    <w:rsid w:val="00885A2A"/>
    <w:rsid w:val="00A54DFB"/>
    <w:rsid w:val="00A613AC"/>
    <w:rsid w:val="00B7119B"/>
    <w:rsid w:val="00DE7664"/>
    <w:rsid w:val="00DF397C"/>
    <w:rsid w:val="00F241A7"/>
    <w:rsid w:val="10EC17A9"/>
    <w:rsid w:val="11BF633C"/>
    <w:rsid w:val="1BF70152"/>
    <w:rsid w:val="22A724C1"/>
    <w:rsid w:val="2D5564CB"/>
    <w:rsid w:val="301E0006"/>
    <w:rsid w:val="328E7BD9"/>
    <w:rsid w:val="4915429E"/>
    <w:rsid w:val="6CF05D29"/>
    <w:rsid w:val="76B209F1"/>
    <w:rsid w:val="7FB64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Plain Text"/>
    <w:basedOn w:val="3"/>
    <w:next w:val="1"/>
    <w:qFormat/>
    <w:uiPriority w:val="0"/>
    <w:rPr>
      <w:rFonts w:ascii="宋体" w:hAnsi="Courier New"/>
      <w:szCs w:val="21"/>
    </w:rPr>
  </w:style>
  <w:style w:type="paragraph" w:customStyle="1" w:styleId="3">
    <w:name w:val="Normal_2"/>
    <w:basedOn w:val="4"/>
    <w:qFormat/>
    <w:uiPriority w:val="0"/>
    <w:pPr>
      <w:widowControl w:val="0"/>
      <w:jc w:val="both"/>
    </w:pPr>
    <w:rPr>
      <w:rFonts w:ascii="Calibri" w:hAnsi="Calibri" w:eastAsia="宋体" w:cs="黑体"/>
      <w:kern w:val="2"/>
      <w:sz w:val="21"/>
      <w:szCs w:val="22"/>
      <w:lang w:val="en-US" w:eastAsia="zh-CN" w:bidi="ar-SA"/>
    </w:rPr>
  </w:style>
  <w:style w:type="paragraph" w:customStyle="1" w:styleId="4">
    <w:name w:val="Normal_3"/>
    <w:qFormat/>
    <w:uiPriority w:val="0"/>
    <w:pPr>
      <w:widowControl w:val="0"/>
      <w:jc w:val="both"/>
    </w:pPr>
    <w:rPr>
      <w:rFonts w:ascii="Times New Roman" w:hAnsi="Times New Roman" w:eastAsia="宋体" w:cs="Times New Roman"/>
      <w:lang w:val="en-US" w:eastAsia="zh-CN" w:bidi="ar-SA"/>
    </w:rPr>
  </w:style>
  <w:style w:type="paragraph" w:styleId="5">
    <w:name w:val="Body Text"/>
    <w:basedOn w:val="1"/>
    <w:link w:val="14"/>
    <w:qFormat/>
    <w:uiPriority w:val="0"/>
    <w:pPr>
      <w:spacing w:after="120"/>
    </w:pPr>
    <w:rPr>
      <w:szCs w:val="24"/>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qFormat/>
    <w:uiPriority w:val="0"/>
  </w:style>
  <w:style w:type="character" w:customStyle="1" w:styleId="11">
    <w:name w:val="页眉 字符"/>
    <w:basedOn w:val="9"/>
    <w:link w:val="7"/>
    <w:qFormat/>
    <w:uiPriority w:val="99"/>
    <w:rPr>
      <w:sz w:val="18"/>
      <w:szCs w:val="18"/>
    </w:rPr>
  </w:style>
  <w:style w:type="character" w:customStyle="1" w:styleId="12">
    <w:name w:val="页脚 字符"/>
    <w:basedOn w:val="9"/>
    <w:link w:val="6"/>
    <w:qFormat/>
    <w:uiPriority w:val="99"/>
    <w:rPr>
      <w:sz w:val="18"/>
      <w:szCs w:val="18"/>
    </w:rPr>
  </w:style>
  <w:style w:type="character" w:customStyle="1" w:styleId="13">
    <w:name w:val="正文文本 Char1"/>
    <w:qFormat/>
    <w:uiPriority w:val="0"/>
    <w:rPr>
      <w:szCs w:val="24"/>
    </w:rPr>
  </w:style>
  <w:style w:type="character" w:customStyle="1" w:styleId="14">
    <w:name w:val="正文文本 字符"/>
    <w:basedOn w:val="9"/>
    <w:link w:val="5"/>
    <w:semiHidden/>
    <w:qFormat/>
    <w:uiPriority w:val="99"/>
  </w:style>
  <w:style w:type="paragraph" w:customStyle="1" w:styleId="15">
    <w:name w:val="Default"/>
    <w:unhideWhenUsed/>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16">
    <w:name w:val="PlainText"/>
    <w:next w:val="1"/>
    <w:qFormat/>
    <w:uiPriority w:val="0"/>
    <w:pPr>
      <w:widowControl w:val="0"/>
      <w:jc w:val="both"/>
    </w:pPr>
    <w:rPr>
      <w:rFonts w:ascii="宋体" w:hAnsi="Courier New" w:eastAsia="宋体" w:cs="Times New Roman"/>
      <w:color w:val="000000"/>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541</Words>
  <Characters>581</Characters>
  <Lines>4</Lines>
  <Paragraphs>1</Paragraphs>
  <TotalTime>3</TotalTime>
  <ScaleCrop>false</ScaleCrop>
  <LinksUpToDate>false</LinksUpToDate>
  <CharactersWithSpaces>623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2024-04-12T07:01:00Z</dcterms:created>
  <dc:creator>ASUS</dc:creator>
  <cp:lastModifiedBy>Administrator</cp:lastModifiedBy>
  <dcterms:modified xsi:type="dcterms:W3CDTF">2025-07-11T07:49:36Z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EA8FAA01406840A3B0670E97B05D39E2_13</vt:lpwstr>
  </property>
  <property fmtid="{D5CDD505-2E9C-101B-9397-08002B2CF9AE}" pid="4" name="KSOTemplateDocerSaveRecord">
    <vt:lpwstr>eyJoZGlkIjoiMTA4ZTQyMTQzMWIzNjRjZWMyZTJmMjljMWIzNjYzYjgiLCJ1c2VySWQiOiI0MTIyNTY3MTAifQ==</vt:lpwstr>
  </property>
</Properties>
</file>