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附件</w:t>
      </w:r>
      <w:r>
        <w:rPr>
          <w:rFonts w:hint="default" w:ascii="Times New Roman" w:hAnsi="Times New Roman" w:eastAsia="黑体" w:cs="Times New Roman"/>
          <w:b w:val="0"/>
          <w:bCs w:val="0"/>
          <w:i w:val="0"/>
          <w:iCs w:val="0"/>
          <w:color w:val="000000"/>
          <w:kern w:val="0"/>
          <w:sz w:val="28"/>
          <w:szCs w:val="28"/>
          <w:u w:val="none"/>
          <w:lang w:val="en-US" w:eastAsia="zh-CN" w:bidi="ar"/>
        </w:rPr>
        <w:t>1</w:t>
      </w:r>
      <w:r>
        <w:rPr>
          <w:rFonts w:hint="eastAsia" w:ascii="黑体" w:hAnsi="黑体" w:eastAsia="黑体" w:cs="黑体"/>
          <w:b w:val="0"/>
          <w:bCs w:val="0"/>
          <w:i w:val="0"/>
          <w:iCs w:val="0"/>
          <w:color w:val="000000"/>
          <w:kern w:val="0"/>
          <w:sz w:val="28"/>
          <w:szCs w:val="28"/>
          <w:u w:val="none"/>
          <w:lang w:val="en-US" w:eastAsia="zh-CN" w:bidi="ar"/>
        </w:rPr>
        <w:t>：</w:t>
      </w: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center"/>
        <w:rPr>
          <w:rFonts w:hint="default" w:ascii="Times New Roman" w:hAnsi="Times New Roman" w:cs="Times New Roman"/>
          <w:sz w:val="44"/>
          <w:szCs w:val="44"/>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昆明西郊殡仪馆</w:t>
      </w:r>
      <w:r>
        <w:rPr>
          <w:rStyle w:val="14"/>
          <w:rFonts w:hint="default" w:ascii="Times New Roman" w:hAnsi="Times New Roman" w:eastAsia="方正小标宋简体" w:cs="Times New Roman"/>
          <w:b w:val="0"/>
          <w:bCs w:val="0"/>
          <w:sz w:val="44"/>
          <w:szCs w:val="44"/>
          <w:lang w:val="en-US" w:eastAsia="zh-CN" w:bidi="ar"/>
        </w:rPr>
        <w:t>基本殡仪服务项目收费清单</w:t>
      </w:r>
    </w:p>
    <w:tbl>
      <w:tblPr>
        <w:tblStyle w:val="10"/>
        <w:tblpPr w:leftFromText="180" w:rightFromText="180" w:vertAnchor="text" w:horzAnchor="page" w:tblpXSpec="center" w:tblpY="538"/>
        <w:tblOverlap w:val="never"/>
        <w:tblW w:w="10620" w:type="dxa"/>
        <w:jc w:val="center"/>
        <w:tblLayout w:type="fixed"/>
        <w:tblCellMar>
          <w:top w:w="0" w:type="dxa"/>
          <w:left w:w="108" w:type="dxa"/>
          <w:bottom w:w="0" w:type="dxa"/>
          <w:right w:w="108" w:type="dxa"/>
        </w:tblCellMar>
      </w:tblPr>
      <w:tblGrid>
        <w:gridCol w:w="594"/>
        <w:gridCol w:w="1362"/>
        <w:gridCol w:w="1587"/>
        <w:gridCol w:w="1022"/>
        <w:gridCol w:w="840"/>
        <w:gridCol w:w="863"/>
        <w:gridCol w:w="4352"/>
      </w:tblGrid>
      <w:tr>
        <w:tblPrEx>
          <w:tblCellMar>
            <w:top w:w="0" w:type="dxa"/>
            <w:left w:w="108" w:type="dxa"/>
            <w:bottom w:w="0" w:type="dxa"/>
            <w:right w:w="108" w:type="dxa"/>
          </w:tblCellMar>
        </w:tblPrEx>
        <w:trPr>
          <w:trHeight w:val="1489" w:hRule="atLeast"/>
          <w:jc w:val="center"/>
        </w:trPr>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方正小标宋简体" w:cs="Times New Roman"/>
                <w:i w:val="0"/>
                <w:iCs w:val="0"/>
                <w:color w:val="000000"/>
                <w:sz w:val="28"/>
                <w:szCs w:val="28"/>
                <w:u w:val="none"/>
              </w:rPr>
            </w:pPr>
            <w:r>
              <w:rPr>
                <w:rStyle w:val="13"/>
                <w:rFonts w:hint="default" w:ascii="Times New Roman" w:hAnsi="Times New Roman" w:eastAsia="方正小标宋简体" w:cs="Times New Roman"/>
                <w:sz w:val="28"/>
                <w:szCs w:val="28"/>
                <w:lang w:val="en-US" w:eastAsia="zh-CN" w:bidi="ar"/>
              </w:rPr>
              <w:t>序号</w:t>
            </w:r>
          </w:p>
        </w:tc>
        <w:tc>
          <w:tcPr>
            <w:tcW w:w="13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28"/>
                <w:szCs w:val="28"/>
                <w:u w:val="none"/>
              </w:rPr>
            </w:pPr>
            <w:r>
              <w:rPr>
                <w:rStyle w:val="13"/>
                <w:rFonts w:hint="default" w:ascii="Times New Roman" w:hAnsi="Times New Roman" w:eastAsia="方正小标宋简体" w:cs="Times New Roman"/>
                <w:sz w:val="28"/>
                <w:szCs w:val="28"/>
                <w:lang w:val="en-US" w:eastAsia="zh-CN" w:bidi="ar"/>
              </w:rPr>
              <w:t>收费名称</w:t>
            </w: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28"/>
                <w:szCs w:val="28"/>
                <w:u w:val="none"/>
              </w:rPr>
            </w:pPr>
            <w:r>
              <w:rPr>
                <w:rStyle w:val="13"/>
                <w:rFonts w:hint="default" w:ascii="Times New Roman" w:hAnsi="Times New Roman" w:eastAsia="方正小标宋简体" w:cs="Times New Roman"/>
                <w:sz w:val="28"/>
                <w:szCs w:val="28"/>
                <w:lang w:val="en-US" w:eastAsia="zh-CN" w:bidi="ar"/>
              </w:rPr>
              <w:t>服务内容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28"/>
                <w:szCs w:val="28"/>
                <w:u w:val="none"/>
              </w:rPr>
            </w:pPr>
            <w:r>
              <w:rPr>
                <w:rStyle w:val="13"/>
                <w:rFonts w:hint="default" w:ascii="Times New Roman" w:hAnsi="Times New Roman" w:eastAsia="方正小标宋简体" w:cs="Times New Roman"/>
                <w:sz w:val="28"/>
                <w:szCs w:val="28"/>
                <w:lang w:val="en-US" w:eastAsia="zh-CN" w:bidi="ar"/>
              </w:rPr>
              <w:t>服务项目</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28"/>
                <w:szCs w:val="28"/>
                <w:u w:val="none"/>
              </w:rPr>
            </w:pPr>
            <w:r>
              <w:rPr>
                <w:rStyle w:val="13"/>
                <w:rFonts w:hint="default" w:ascii="Times New Roman" w:hAnsi="Times New Roman" w:eastAsia="方正小标宋简体" w:cs="Times New Roman"/>
                <w:sz w:val="28"/>
                <w:szCs w:val="28"/>
                <w:lang w:val="en-US" w:eastAsia="zh-CN" w:bidi="ar"/>
              </w:rPr>
              <w:t>计价单位</w:t>
            </w:r>
          </w:p>
        </w:tc>
        <w:tc>
          <w:tcPr>
            <w:tcW w:w="8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28"/>
                <w:szCs w:val="28"/>
                <w:u w:val="none"/>
              </w:rPr>
            </w:pPr>
            <w:r>
              <w:rPr>
                <w:rStyle w:val="13"/>
                <w:rFonts w:hint="default" w:ascii="Times New Roman" w:hAnsi="Times New Roman" w:eastAsia="方正小标宋简体" w:cs="Times New Roman"/>
                <w:sz w:val="28"/>
                <w:szCs w:val="28"/>
                <w:lang w:val="en-US" w:eastAsia="zh-CN" w:bidi="ar"/>
              </w:rPr>
              <w:t>收费标准</w:t>
            </w:r>
          </w:p>
        </w:tc>
        <w:tc>
          <w:tcPr>
            <w:tcW w:w="43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28"/>
                <w:szCs w:val="28"/>
                <w:u w:val="none"/>
              </w:rPr>
            </w:pPr>
            <w:r>
              <w:rPr>
                <w:rStyle w:val="15"/>
                <w:rFonts w:hint="default" w:ascii="Times New Roman" w:hAnsi="Times New Roman" w:eastAsia="方正小标宋简体" w:cs="Times New Roman"/>
                <w:sz w:val="28"/>
                <w:szCs w:val="28"/>
                <w:lang w:val="en-US" w:eastAsia="zh-CN" w:bidi="ar"/>
              </w:rPr>
              <w:t>备</w:t>
            </w:r>
            <w:r>
              <w:rPr>
                <w:rStyle w:val="16"/>
                <w:rFonts w:hint="default" w:ascii="Times New Roman" w:hAnsi="Times New Roman" w:eastAsia="方正小标宋简体" w:cs="Times New Roman"/>
                <w:sz w:val="28"/>
                <w:szCs w:val="28"/>
                <w:lang w:val="en-US" w:eastAsia="zh-CN" w:bidi="ar"/>
              </w:rPr>
              <w:t xml:space="preserve">    </w:t>
            </w:r>
            <w:r>
              <w:rPr>
                <w:rStyle w:val="15"/>
                <w:rFonts w:hint="default" w:ascii="Times New Roman" w:hAnsi="Times New Roman" w:eastAsia="方正小标宋简体" w:cs="Times New Roman"/>
                <w:sz w:val="28"/>
                <w:szCs w:val="28"/>
                <w:lang w:val="en-US" w:eastAsia="zh-CN" w:bidi="ar"/>
              </w:rPr>
              <w:t>注</w:t>
            </w:r>
          </w:p>
        </w:tc>
      </w:tr>
      <w:tr>
        <w:tblPrEx>
          <w:tblCellMar>
            <w:top w:w="0" w:type="dxa"/>
            <w:left w:w="108" w:type="dxa"/>
            <w:bottom w:w="0" w:type="dxa"/>
            <w:right w:w="108" w:type="dxa"/>
          </w:tblCellMar>
        </w:tblPrEx>
        <w:trPr>
          <w:trHeight w:val="1632" w:hRule="atLeast"/>
          <w:jc w:val="center"/>
        </w:trPr>
        <w:tc>
          <w:tcPr>
            <w:tcW w:w="59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362"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火化</w:t>
            </w:r>
          </w:p>
        </w:tc>
        <w:tc>
          <w:tcPr>
            <w:tcW w:w="1587" w:type="dxa"/>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抬尸进炉、火化、骨灰装盒</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等服务环节</w:t>
            </w:r>
          </w:p>
        </w:tc>
        <w:tc>
          <w:tcPr>
            <w:tcW w:w="1022"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拣灰炉</w:t>
            </w:r>
          </w:p>
        </w:tc>
        <w:tc>
          <w:tcPr>
            <w:tcW w:w="8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具</w:t>
            </w:r>
          </w:p>
        </w:tc>
        <w:tc>
          <w:tcPr>
            <w:tcW w:w="8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700元</w:t>
            </w:r>
          </w:p>
        </w:tc>
        <w:tc>
          <w:tcPr>
            <w:tcW w:w="4352"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 xml:space="preserve">  12岁以下儿童遗体火化费实行减半收费。</w:t>
            </w:r>
          </w:p>
        </w:tc>
      </w:tr>
      <w:tr>
        <w:tblPrEx>
          <w:tblCellMar>
            <w:top w:w="0" w:type="dxa"/>
            <w:left w:w="108" w:type="dxa"/>
            <w:bottom w:w="0" w:type="dxa"/>
            <w:right w:w="108" w:type="dxa"/>
          </w:tblCellMar>
        </w:tblPrEx>
        <w:trPr>
          <w:trHeight w:val="3328" w:hRule="atLeast"/>
          <w:jc w:val="center"/>
        </w:trPr>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13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运尸（遗体接送）</w:t>
            </w: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包括遗体收敛，将遗体运至殡仪馆</w:t>
            </w:r>
          </w:p>
        </w:tc>
        <w:tc>
          <w:tcPr>
            <w:tcW w:w="1022" w:type="dxa"/>
            <w:tcBorders>
              <w:top w:val="single" w:color="000000" w:sz="4" w:space="0"/>
              <w:left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殡仪车</w:t>
            </w: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具</w:t>
            </w:r>
          </w:p>
        </w:tc>
        <w:tc>
          <w:tcPr>
            <w:tcW w:w="863"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560元</w:t>
            </w:r>
          </w:p>
        </w:tc>
        <w:tc>
          <w:tcPr>
            <w:tcW w:w="4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404" w:firstLineChars="20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w:t>
            </w:r>
            <w:r>
              <w:rPr>
                <w:rFonts w:hint="default" w:ascii="Times New Roman" w:hAnsi="Times New Roman" w:eastAsia="仿宋_GB2312" w:cs="Times New Roman"/>
                <w:i w:val="0"/>
                <w:iCs w:val="0"/>
                <w:color w:val="000000"/>
                <w:kern w:val="0"/>
                <w:sz w:val="21"/>
                <w:szCs w:val="21"/>
                <w:u w:val="none"/>
                <w:lang w:val="en-US" w:eastAsia="zh-CN" w:bidi="ar"/>
              </w:rPr>
              <w:t>往返20公里(含20公里)以内的运尸费收费标准为每车次560元，超出20公里的每增加1公里加收4元；</w:t>
            </w:r>
          </w:p>
          <w:p>
            <w:pPr>
              <w:keepNext w:val="0"/>
              <w:keepLines w:val="0"/>
              <w:widowControl/>
              <w:suppressLineNumbers w:val="0"/>
              <w:ind w:firstLine="404" w:firstLineChars="20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w:t>
            </w:r>
            <w:r>
              <w:rPr>
                <w:rFonts w:hint="default" w:ascii="Times New Roman" w:hAnsi="Times New Roman" w:eastAsia="仿宋_GB2312" w:cs="Times New Roman"/>
                <w:i w:val="0"/>
                <w:iCs w:val="0"/>
                <w:color w:val="000000"/>
                <w:kern w:val="0"/>
                <w:sz w:val="21"/>
                <w:szCs w:val="21"/>
                <w:u w:val="none"/>
                <w:lang w:val="en-US" w:eastAsia="zh-CN" w:bidi="ar"/>
              </w:rPr>
              <w:t xml:space="preserve">长途运载尸体往返200公里以上的，收费标准由双方协商确定。                                                                                         </w:t>
            </w:r>
          </w:p>
        </w:tc>
      </w:tr>
      <w:tr>
        <w:tblPrEx>
          <w:tblCellMar>
            <w:top w:w="0" w:type="dxa"/>
            <w:left w:w="108" w:type="dxa"/>
            <w:bottom w:w="0" w:type="dxa"/>
            <w:right w:w="108" w:type="dxa"/>
          </w:tblCellMar>
        </w:tblPrEx>
        <w:trPr>
          <w:trHeight w:val="1931" w:hRule="atLeast"/>
          <w:jc w:val="center"/>
        </w:trPr>
        <w:tc>
          <w:tcPr>
            <w:tcW w:w="59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362"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遗体存放</w:t>
            </w:r>
          </w:p>
        </w:tc>
        <w:tc>
          <w:tcPr>
            <w:tcW w:w="2609"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提供冷藏存放服务</w:t>
            </w:r>
          </w:p>
        </w:tc>
        <w:tc>
          <w:tcPr>
            <w:tcW w:w="8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天</w:t>
            </w:r>
          </w:p>
        </w:tc>
        <w:tc>
          <w:tcPr>
            <w:tcW w:w="863" w:type="dxa"/>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72元</w:t>
            </w:r>
          </w:p>
        </w:tc>
        <w:tc>
          <w:tcPr>
            <w:tcW w:w="4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冰存不足一天，按照3元/小时收费</w:t>
            </w:r>
          </w:p>
        </w:tc>
      </w:tr>
      <w:tr>
        <w:tblPrEx>
          <w:tblCellMar>
            <w:top w:w="0" w:type="dxa"/>
            <w:left w:w="108" w:type="dxa"/>
            <w:bottom w:w="0" w:type="dxa"/>
            <w:right w:w="108" w:type="dxa"/>
          </w:tblCellMar>
        </w:tblPrEx>
        <w:trPr>
          <w:trHeight w:val="1456" w:hRule="atLeast"/>
          <w:jc w:val="center"/>
        </w:trPr>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13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骨灰寄存</w:t>
            </w:r>
          </w:p>
        </w:tc>
        <w:tc>
          <w:tcPr>
            <w:tcW w:w="260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骨灰寄存（含骨灰寄存证明）</w:t>
            </w:r>
          </w:p>
        </w:tc>
        <w:tc>
          <w:tcPr>
            <w:tcW w:w="8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月</w:t>
            </w:r>
          </w:p>
        </w:tc>
        <w:tc>
          <w:tcPr>
            <w:tcW w:w="8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17元</w:t>
            </w:r>
          </w:p>
        </w:tc>
        <w:tc>
          <w:tcPr>
            <w:tcW w:w="435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首次寄存不超过15天（含15天）的，可免费寄存</w:t>
            </w:r>
          </w:p>
        </w:tc>
      </w:tr>
    </w:tbl>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center"/>
        <w:rPr>
          <w:rStyle w:val="13"/>
          <w:rFonts w:hint="default" w:ascii="Times New Roman" w:hAnsi="Times New Roman" w:eastAsia="仿宋_GB2312" w:cs="Times New Roman"/>
          <w:sz w:val="32"/>
          <w:szCs w:val="32"/>
          <w:lang w:val="en-US" w:eastAsia="zh-CN" w:bidi="ar"/>
        </w:rPr>
      </w:pPr>
      <w:r>
        <w:rPr>
          <w:rStyle w:val="13"/>
          <w:rFonts w:hint="default" w:ascii="Times New Roman" w:hAnsi="Times New Roman" w:eastAsia="仿宋_GB2312" w:cs="Times New Roman"/>
          <w:sz w:val="32"/>
          <w:szCs w:val="32"/>
          <w:lang w:val="en-US" w:eastAsia="zh-CN" w:bidi="ar"/>
        </w:rPr>
        <w:br w:type="page"/>
      </w: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default" w:ascii="仿宋_GB2312" w:hAnsi="仿宋_GB2312" w:eastAsia="仿宋_GB2312" w:cs="仿宋_GB2312"/>
          <w:sz w:val="32"/>
          <w:szCs w:val="32"/>
          <w:lang w:val="en-US" w:eastAsia="zh-CN"/>
        </w:rPr>
      </w:pPr>
      <w:r>
        <w:rPr>
          <w:rFonts w:hint="eastAsia" w:ascii="黑体" w:hAnsi="黑体" w:eastAsia="黑体" w:cs="黑体"/>
          <w:b w:val="0"/>
          <w:bCs w:val="0"/>
          <w:i w:val="0"/>
          <w:iCs w:val="0"/>
          <w:color w:val="000000"/>
          <w:kern w:val="0"/>
          <w:sz w:val="28"/>
          <w:szCs w:val="28"/>
          <w:u w:val="none"/>
          <w:lang w:val="en-US" w:eastAsia="zh-CN" w:bidi="ar"/>
        </w:rPr>
        <w:t>附件</w:t>
      </w:r>
      <w:r>
        <w:rPr>
          <w:rFonts w:hint="default" w:ascii="Times New Roman" w:hAnsi="Times New Roman" w:eastAsia="黑体" w:cs="Times New Roman"/>
          <w:b w:val="0"/>
          <w:bCs w:val="0"/>
          <w:i w:val="0"/>
          <w:iCs w:val="0"/>
          <w:color w:val="000000"/>
          <w:kern w:val="0"/>
          <w:sz w:val="28"/>
          <w:szCs w:val="28"/>
          <w:u w:val="none"/>
          <w:lang w:val="en-US" w:eastAsia="zh-CN" w:bidi="ar"/>
        </w:rPr>
        <w:t>2</w:t>
      </w:r>
      <w:r>
        <w:rPr>
          <w:rFonts w:hint="eastAsia" w:ascii="黑体" w:hAnsi="黑体" w:eastAsia="黑体" w:cs="黑体"/>
          <w:b w:val="0"/>
          <w:bCs w:val="0"/>
          <w:i w:val="0"/>
          <w:iCs w:val="0"/>
          <w:color w:val="000000"/>
          <w:kern w:val="0"/>
          <w:sz w:val="28"/>
          <w:szCs w:val="28"/>
          <w:u w:val="none"/>
          <w:lang w:val="en-US" w:eastAsia="zh-CN" w:bidi="ar"/>
        </w:rPr>
        <w:t>：</w:t>
      </w:r>
    </w:p>
    <w:tbl>
      <w:tblPr>
        <w:tblStyle w:val="10"/>
        <w:tblW w:w="9870" w:type="dxa"/>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755"/>
        <w:gridCol w:w="3372"/>
        <w:gridCol w:w="1803"/>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987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昆明西郊殡仪馆殡葬用品收费清单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殡葬用品名称</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计价单位</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售价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尸袋</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采用无纺布制品，用于收敛、包扎遗体</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元/个</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一次性卫生垫</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拣灰炉专用一次性陶瓷卫生垫</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元/张</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一次性骨灰托盘</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收敛逝者骨灰，一次性一套托盘</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元/套</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骨灰盒</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根据骨灰盒制作材料、工艺，明码标价销售</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元/只</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273元-2588元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纸棺</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根据纸棺制作材料、工艺，明码标价销售</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元/口</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228元-579元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寿衣、寿服</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提供寿衣、寿服</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元/套</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120元-1758元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其他殡葬用品</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提供地方风俗殡葬用品</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元/个、支、套</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1元-695元</w:t>
            </w:r>
          </w:p>
        </w:tc>
      </w:tr>
    </w:tbl>
    <w:p>
      <w:pPr>
        <w:ind w:firstLine="464" w:firstLineChars="200"/>
        <w:rPr>
          <w:rFonts w:hint="eastAsia" w:ascii="仿宋_GB2312" w:hAnsi="仿宋_GB2312" w:eastAsia="仿宋_GB2312" w:cs="仿宋_GB2312"/>
          <w:b/>
          <w:bCs/>
          <w:color w:val="auto"/>
          <w:sz w:val="24"/>
          <w:szCs w:val="24"/>
          <w:lang w:val="en-US" w:eastAsia="zh-CN"/>
        </w:rPr>
      </w:pPr>
    </w:p>
    <w:p>
      <w:pPr>
        <w:ind w:firstLine="464" w:firstLineChars="200"/>
        <w:rPr>
          <w:rFonts w:hint="default"/>
          <w:sz w:val="24"/>
          <w:szCs w:val="24"/>
          <w:lang w:val="en-US" w:eastAsia="zh-CN"/>
        </w:rPr>
      </w:pPr>
      <w:r>
        <w:rPr>
          <w:rFonts w:hint="eastAsia" w:ascii="仿宋_GB2312" w:hAnsi="仿宋_GB2312" w:eastAsia="仿宋_GB2312" w:cs="仿宋_GB2312"/>
          <w:b/>
          <w:bCs/>
          <w:color w:val="auto"/>
          <w:sz w:val="24"/>
          <w:szCs w:val="24"/>
          <w:lang w:val="en-US" w:eastAsia="zh-CN"/>
        </w:rPr>
        <w:t>备注：</w:t>
      </w:r>
      <w:r>
        <w:rPr>
          <w:rFonts w:hint="eastAsia" w:ascii="宋体" w:hAnsi="宋体" w:eastAsia="仿宋_GB2312" w:cs="仿宋_GB2312"/>
          <w:b w:val="0"/>
          <w:bCs w:val="0"/>
          <w:sz w:val="24"/>
          <w:szCs w:val="24"/>
          <w:lang w:val="en-US" w:eastAsia="zh-CN"/>
        </w:rPr>
        <w:t>根据《昆明市发展和改革委员会 昆明市民政局 昆明市市场监督管理局关于贯彻落实殡仪馆主要殡葬用品价格管理方式的通知》（昆发改价格〔2024〕650号）要求，“骨灰盒、纸棺、寿衣、一次性捡灰托盘、一次性卫生垫、尸袋6项主要殡葬用品采取进销差率不超过25%的标准进行定价，一律标明产地、厂商、规格、购进价格、销售价格等相关信息，接受群众监督。</w:t>
      </w:r>
    </w:p>
    <w:p>
      <w:pPr>
        <w:pStyle w:val="2"/>
        <w:rPr>
          <w:rFonts w:hint="default"/>
          <w:lang w:val="en-US" w:eastAsia="zh-CN"/>
        </w:rPr>
      </w:pPr>
    </w:p>
    <w:p>
      <w:pPr>
        <w:rPr>
          <w:rFonts w:hint="default"/>
          <w:lang w:val="en-US" w:eastAsia="zh-CN"/>
        </w:rPr>
      </w:pPr>
    </w:p>
    <w:p>
      <w:pPr>
        <w:rPr>
          <w:rFonts w:hint="default"/>
          <w:lang w:val="en-US" w:eastAsia="zh-CN"/>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附件3:</w:t>
      </w:r>
    </w:p>
    <w:tbl>
      <w:tblPr>
        <w:tblStyle w:val="10"/>
        <w:tblW w:w="10251" w:type="dxa"/>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071"/>
        <w:gridCol w:w="912"/>
        <w:gridCol w:w="16"/>
        <w:gridCol w:w="981"/>
        <w:gridCol w:w="3071"/>
        <w:gridCol w:w="855"/>
        <w:gridCol w:w="106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0251" w:type="dxa"/>
            <w:gridSpan w:val="9"/>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4"/>
                <w:szCs w:val="44"/>
                <w:u w:val="none"/>
              </w:rPr>
            </w:pPr>
            <w:bookmarkStart w:id="0" w:name="_GoBack"/>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昆明西郊殡仪馆自愿选择服务项目收费清单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服务名称</w:t>
            </w:r>
          </w:p>
        </w:tc>
        <w:tc>
          <w:tcPr>
            <w:tcW w:w="30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单位</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报备价</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795"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遗体脱衣、清洗、穿衣</w:t>
            </w:r>
          </w:p>
        </w:tc>
        <w:tc>
          <w:tcPr>
            <w:tcW w:w="190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正常遗体</w:t>
            </w:r>
          </w:p>
        </w:tc>
        <w:tc>
          <w:tcPr>
            <w:tcW w:w="30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2名工作人员操作，含场地、遗体的清洗、消毒及工作人员的防护卫生服装等。</w:t>
            </w:r>
          </w:p>
        </w:tc>
        <w:tc>
          <w:tcPr>
            <w:tcW w:w="8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106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380.00</w:t>
            </w:r>
          </w:p>
        </w:tc>
        <w:tc>
          <w:tcPr>
            <w:tcW w:w="148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非正常遗体</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传染病遗体、破裂遗体、腐败遗体、冰存遗体等，根据遗体情况和丧属要求，2-4名工作人员操作，含场地、遗体的清洗、缝合、修复消毒等及工作人员的防护卫生服装等。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双方协商确定</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遗体整容化妆</w:t>
            </w: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正常遗体</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1-2名工作人员操作，含理发修面、女性梳发、化妆。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非正常遗体</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传染病遗体、破裂遗体、腐败遗体、冰存遗体等，根据遗体情况和丧属要求，2-4名工作人员操作，含场地、遗体的清洗、缝合、修复消毒等及工作人员的防护卫生服装等。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双方协商确定</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遗体铺花</w:t>
            </w: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型号1</w:t>
            </w:r>
          </w:p>
        </w:tc>
        <w:tc>
          <w:tcPr>
            <w:tcW w:w="3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2—4名工作人员操作，遗体铺棺、装棺、棺内设计、鲜花造型等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型号2</w:t>
            </w: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型号3</w:t>
            </w: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7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守灵服务</w:t>
            </w: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w:t>
            </w:r>
          </w:p>
        </w:tc>
        <w:tc>
          <w:tcPr>
            <w:tcW w:w="3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独立套间、休息室、冷藏柜、供台、沙发、餐桌等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深情厅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中厅</w:t>
            </w: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追远厅、缅怀厅、亲慰厅、抚思厅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小厅</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冷藏柜、供台、沙发、电子香蜡、电子遗像显示屏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福寿堂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w:t>
            </w:r>
          </w:p>
        </w:tc>
        <w:tc>
          <w:tcPr>
            <w:tcW w:w="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鲜花布置</w:t>
            </w:r>
          </w:p>
        </w:tc>
        <w:tc>
          <w:tcPr>
            <w:tcW w:w="3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守灵室鲜花布置和悼念设施、设备，以及司仪主持等服务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深情厅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中厅</w:t>
            </w: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追远厅、缅怀厅、亲慰厅、抚思厅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小厅</w:t>
            </w: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福寿堂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司仪主持</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提供宾客接待、殡仪典礼主持的活动</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个性化布置</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根据丧属需求，告别厅的规模、鲜花种类及数量、场景需求、花艺设计等进行布置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双方协商确定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71"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吊唁服务</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大厅</w:t>
            </w:r>
          </w:p>
        </w:tc>
        <w:tc>
          <w:tcPr>
            <w:tcW w:w="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裸厅</w:t>
            </w:r>
          </w:p>
        </w:tc>
        <w:tc>
          <w:tcPr>
            <w:tcW w:w="3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租用告别厅，大厅裸厅140㎡，容纳150人左右；中厅50㎡，容纳50人左右；小厅30㎡，容纳30人左右。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宁和厅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中厅</w:t>
            </w: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熙和厅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小厅</w:t>
            </w: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安和厅、寿和厅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大厅</w:t>
            </w:r>
          </w:p>
        </w:tc>
        <w:tc>
          <w:tcPr>
            <w:tcW w:w="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吊唁布置</w:t>
            </w:r>
          </w:p>
        </w:tc>
        <w:tc>
          <w:tcPr>
            <w:tcW w:w="3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丧属需求,对殡仪活动的形式、内容、流程、时间等进行全面规划。含租用告别厅、告别厅内固定绢花布置，音响设备、小白花等相应吊唁设施；提供司仪主持等服务；小厅提供6副挽联、中厅提供8副挽联、大厅提供10副挽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宁和厅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中厅</w:t>
            </w: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熙和厅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小厅</w:t>
            </w:r>
          </w:p>
        </w:tc>
        <w:tc>
          <w:tcPr>
            <w:tcW w:w="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安和厅、寿和厅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挽联、横幅、对联打印</w:t>
            </w:r>
          </w:p>
        </w:tc>
        <w:tc>
          <w:tcPr>
            <w:tcW w:w="98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挽联打印</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为表达对逝者的悼念、哀思之情而打印的挽词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横幅、对联打印</w:t>
            </w:r>
          </w:p>
        </w:tc>
        <w:tc>
          <w:tcPr>
            <w:tcW w:w="30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提供为表达对逝者的敬仰、哀思而打印的联语服务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9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个性化定制服务</w:t>
            </w:r>
          </w:p>
        </w:tc>
        <w:tc>
          <w:tcPr>
            <w:tcW w:w="307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根据丧属需求，双方协商进行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双方协商确定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鲜花定制</w:t>
            </w: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鲜花花圈</w:t>
            </w:r>
          </w:p>
        </w:tc>
        <w:tc>
          <w:tcPr>
            <w:tcW w:w="3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选用菊花、百合等一种或多种鲜花及辅助材料制作，用于告别厅、守灵间、车间等场所。</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鲜花花柱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（罗马柱）</w:t>
            </w: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鲜花迎宾花架</w:t>
            </w: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遗像花（一对）</w:t>
            </w: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鲜花桌花</w:t>
            </w: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鲜花捧花</w:t>
            </w: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鲜花小花篮</w:t>
            </w: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个性化鲜花定制服务</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根据丧属要求，双方协商进行个性化设计及制作。</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双方协商确定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遗物焚烧</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焚烧炉维护、清扫、垃圾清运、固废处理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黑体" w:hAnsi="黑体" w:eastAsia="黑体" w:cs="黑体"/>
          <w:b w:val="0"/>
          <w:bCs w:val="0"/>
          <w:i w:val="0"/>
          <w:iCs w:val="0"/>
          <w:color w:val="000000"/>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default"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附件4：</w:t>
      </w:r>
    </w:p>
    <w:tbl>
      <w:tblPr>
        <w:tblStyle w:val="10"/>
        <w:tblW w:w="9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2027"/>
        <w:gridCol w:w="878"/>
        <w:gridCol w:w="5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4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Times New Roman" w:hAnsi="Times New Roman" w:eastAsia="方正小标宋简体" w:cs="Times New Roman"/>
                <w:b w:val="0"/>
                <w:bCs w:val="0"/>
                <w:i w:val="0"/>
                <w:iCs w:val="0"/>
                <w:color w:val="000000"/>
                <w:kern w:val="0"/>
                <w:sz w:val="44"/>
                <w:szCs w:val="44"/>
                <w:u w:val="none"/>
                <w:lang w:val="en-US" w:eastAsia="zh-CN" w:bidi="ar"/>
              </w:rPr>
              <w:t>昆明西郊殡仪馆免费服务项目清单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服务项目</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引导服务</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次</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提供馆内引导办理手续服务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遗体识别卡</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条/张</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遗体身份识别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委托掩埋骨灰</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次</w:t>
            </w:r>
          </w:p>
        </w:tc>
        <w:tc>
          <w:tcPr>
            <w:tcW w:w="5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丧属放弃骨灰，受丧属委托进行骨灰处理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(含消毒处理及掩埋)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取灰祭奠</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次</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前来寄存室取未落葬骨灰祭奠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查档出具证明</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次</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证件遗失查档补办资料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不锈钢拣灰托盘</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次</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收敛逝者骨灰，重复使用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火化证办理</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次</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办理并打印火化证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免费停车</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次</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殡仪馆、公墓免费停车(含清明、冬至)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小白花</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朵</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悼念人员佩戴的小白花（重复使用）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免费热水</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次</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免费提供家属饮用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信封</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纸质信封，收纳殡仪馆全套手续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独立待焚间</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间</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独立使用待焚间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轮椅</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免费提供轮椅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休息室</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间</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提供公共休息室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推车</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5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免费提供遗物推车</w:t>
            </w:r>
          </w:p>
        </w:tc>
      </w:tr>
    </w:tbl>
    <w:p>
      <w:pPr>
        <w:pStyle w:val="2"/>
        <w:spacing w:before="0" w:after="0" w:line="240" w:lineRule="auto"/>
        <w:rPr>
          <w:rFonts w:hint="default"/>
          <w:lang w:val="en-US" w:eastAsia="zh-CN"/>
        </w:rPr>
      </w:pPr>
    </w:p>
    <w:sectPr>
      <w:footerReference r:id="rId3" w:type="default"/>
      <w:footerReference r:id="rId4" w:type="even"/>
      <w:pgSz w:w="11906" w:h="16838"/>
      <w:pgMar w:top="2098" w:right="1474" w:bottom="1984" w:left="1587" w:header="851" w:footer="1701" w:gutter="0"/>
      <w:pgNumType w:fmt="decimal" w:start="1"/>
      <w:cols w:space="0" w:num="1"/>
      <w:rtlGutter w:val="0"/>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A2C0D0-EF67-4D04-9461-933648C9C4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2" w:fontKey="{54D0F3BA-C67C-4A78-8184-1FF9BEF14D6A}"/>
  </w:font>
  <w:font w:name="方正小标宋简体">
    <w:panose1 w:val="02000000000000000000"/>
    <w:charset w:val="86"/>
    <w:family w:val="auto"/>
    <w:pitch w:val="default"/>
    <w:sig w:usb0="00000001" w:usb1="08000000" w:usb2="00000000" w:usb3="00000000" w:csb0="00040000" w:csb1="00000000"/>
    <w:embedRegular r:id="rId3" w:fontKey="{9D757421-4932-44E4-B1AC-AAED9E0FD1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560" w:firstLineChars="2700"/>
    </w:pPr>
    <w:r>
      <w:rPr>
        <w:rStyle w:val="12"/>
        <w:rFonts w:hint="eastAsia"/>
        <w:sz w:val="28"/>
      </w:rPr>
      <w:t>—</w:t>
    </w:r>
    <w:r>
      <w:rPr>
        <w:rStyle w:val="12"/>
        <w:rFonts w:hint="eastAsia" w:ascii="宋体" w:hAnsi="宋体"/>
        <w:b/>
        <w:bCs/>
        <w:sz w:val="28"/>
      </w:rPr>
      <w:t xml:space="preserve"> </w:t>
    </w:r>
    <w:r>
      <w:rPr>
        <w:rFonts w:ascii="宋体" w:hAnsi="宋体"/>
        <w:sz w:val="28"/>
      </w:rPr>
      <w:fldChar w:fldCharType="begin"/>
    </w:r>
    <w:r>
      <w:rPr>
        <w:rStyle w:val="12"/>
        <w:rFonts w:ascii="宋体" w:hAnsi="宋体"/>
        <w:sz w:val="28"/>
      </w:rPr>
      <w:instrText xml:space="preserve"> PAGE </w:instrText>
    </w:r>
    <w:r>
      <w:rPr>
        <w:rFonts w:ascii="宋体" w:hAnsi="宋体"/>
        <w:sz w:val="28"/>
      </w:rPr>
      <w:fldChar w:fldCharType="separate"/>
    </w:r>
    <w:r>
      <w:rPr>
        <w:rStyle w:val="12"/>
        <w:rFonts w:ascii="宋体" w:hAnsi="宋体"/>
        <w:sz w:val="28"/>
      </w:rPr>
      <w:t>7</w:t>
    </w:r>
    <w:r>
      <w:rPr>
        <w:rFonts w:ascii="宋体" w:hAnsi="宋体"/>
        <w:sz w:val="28"/>
      </w:rPr>
      <w:fldChar w:fldCharType="end"/>
    </w:r>
    <w:r>
      <w:rPr>
        <w:rStyle w:val="12"/>
        <w:rFonts w:hint="eastAsia" w:ascii="宋体" w:hAnsi="宋体"/>
        <w:b/>
        <w:bCs/>
        <w:sz w:val="28"/>
      </w:rPr>
      <w:t xml:space="preserve"> </w:t>
    </w:r>
    <w:r>
      <w:rPr>
        <w:rStyle w:val="12"/>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Style w:val="12"/>
        <w:rFonts w:hint="eastAsia"/>
        <w:sz w:val="28"/>
      </w:rPr>
      <w:t>—</w:t>
    </w:r>
    <w:r>
      <w:rPr>
        <w:rStyle w:val="12"/>
        <w:rFonts w:hint="eastAsia" w:ascii="宋体" w:hAnsi="宋体"/>
        <w:b/>
        <w:bCs/>
        <w:sz w:val="28"/>
      </w:rPr>
      <w:t xml:space="preserve"> </w:t>
    </w:r>
    <w:r>
      <w:rPr>
        <w:rFonts w:ascii="宋体" w:hAnsi="宋体"/>
        <w:sz w:val="28"/>
      </w:rPr>
      <w:fldChar w:fldCharType="begin"/>
    </w:r>
    <w:r>
      <w:rPr>
        <w:rStyle w:val="12"/>
        <w:rFonts w:ascii="宋体" w:hAnsi="宋体"/>
        <w:sz w:val="28"/>
      </w:rPr>
      <w:instrText xml:space="preserve"> PAGE </w:instrText>
    </w:r>
    <w:r>
      <w:rPr>
        <w:rFonts w:ascii="宋体" w:hAnsi="宋体"/>
        <w:sz w:val="28"/>
      </w:rPr>
      <w:fldChar w:fldCharType="separate"/>
    </w:r>
    <w:r>
      <w:rPr>
        <w:rStyle w:val="12"/>
        <w:rFonts w:ascii="宋体" w:hAnsi="宋体"/>
        <w:sz w:val="28"/>
      </w:rPr>
      <w:t>7</w:t>
    </w:r>
    <w:r>
      <w:rPr>
        <w:rFonts w:ascii="宋体" w:hAnsi="宋体"/>
        <w:sz w:val="28"/>
      </w:rPr>
      <w:fldChar w:fldCharType="end"/>
    </w:r>
    <w:r>
      <w:rPr>
        <w:rStyle w:val="12"/>
        <w:rFonts w:hint="eastAsia" w:ascii="宋体" w:hAnsi="宋体"/>
        <w:b/>
        <w:bCs/>
        <w:sz w:val="28"/>
      </w:rPr>
      <w:t xml:space="preserve"> </w:t>
    </w:r>
    <w:r>
      <w:rPr>
        <w:rStyle w:val="12"/>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1"/>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ZDg2MTVlYjJhNmE2NDU0Y2I3ZGJlNzRlZmYyMGUifQ=="/>
    <w:docVar w:name="KSO_WPS_MARK_KEY" w:val="42c3c061-8140-460a-9e08-125a10b981fb"/>
  </w:docVars>
  <w:rsids>
    <w:rsidRoot w:val="7A1F5059"/>
    <w:rsid w:val="009A7605"/>
    <w:rsid w:val="009E3B38"/>
    <w:rsid w:val="00BA7CA7"/>
    <w:rsid w:val="012D66CB"/>
    <w:rsid w:val="016D2220"/>
    <w:rsid w:val="024644EA"/>
    <w:rsid w:val="02764E9C"/>
    <w:rsid w:val="02BF15A4"/>
    <w:rsid w:val="03261624"/>
    <w:rsid w:val="04174826"/>
    <w:rsid w:val="0451447E"/>
    <w:rsid w:val="04585EA5"/>
    <w:rsid w:val="047F2D99"/>
    <w:rsid w:val="055E50A5"/>
    <w:rsid w:val="057019A3"/>
    <w:rsid w:val="059D3E1F"/>
    <w:rsid w:val="05CA098C"/>
    <w:rsid w:val="06AC30A0"/>
    <w:rsid w:val="06EE06AA"/>
    <w:rsid w:val="07035F04"/>
    <w:rsid w:val="07D94EB6"/>
    <w:rsid w:val="08055CAB"/>
    <w:rsid w:val="081A78C6"/>
    <w:rsid w:val="083D5C6B"/>
    <w:rsid w:val="08DA2C94"/>
    <w:rsid w:val="090F79F0"/>
    <w:rsid w:val="09884EE3"/>
    <w:rsid w:val="09A45050"/>
    <w:rsid w:val="0ABC7784"/>
    <w:rsid w:val="0B266665"/>
    <w:rsid w:val="0B4E5BBB"/>
    <w:rsid w:val="0B667C03"/>
    <w:rsid w:val="0B680A2B"/>
    <w:rsid w:val="0B8E420A"/>
    <w:rsid w:val="0BA23811"/>
    <w:rsid w:val="0BAD28E2"/>
    <w:rsid w:val="0BE300B2"/>
    <w:rsid w:val="0BF26547"/>
    <w:rsid w:val="0C127724"/>
    <w:rsid w:val="0C234952"/>
    <w:rsid w:val="0C476893"/>
    <w:rsid w:val="0C5B0590"/>
    <w:rsid w:val="0C5C3735"/>
    <w:rsid w:val="0CB90E13"/>
    <w:rsid w:val="0CF06F2A"/>
    <w:rsid w:val="0D51729D"/>
    <w:rsid w:val="0D632044"/>
    <w:rsid w:val="0DD41F9D"/>
    <w:rsid w:val="0E1F1149"/>
    <w:rsid w:val="0E2D1AB8"/>
    <w:rsid w:val="0E3C0CCE"/>
    <w:rsid w:val="0EC56195"/>
    <w:rsid w:val="0ED168E7"/>
    <w:rsid w:val="0EDE1004"/>
    <w:rsid w:val="0EE83C31"/>
    <w:rsid w:val="0F390DFE"/>
    <w:rsid w:val="0F5609D2"/>
    <w:rsid w:val="0F5A17AC"/>
    <w:rsid w:val="0F5F5CA1"/>
    <w:rsid w:val="0F6E05DA"/>
    <w:rsid w:val="0FB20AC7"/>
    <w:rsid w:val="0FEF171B"/>
    <w:rsid w:val="10861954"/>
    <w:rsid w:val="114F7F97"/>
    <w:rsid w:val="11EB7CC0"/>
    <w:rsid w:val="12413A23"/>
    <w:rsid w:val="131E202B"/>
    <w:rsid w:val="13421B62"/>
    <w:rsid w:val="135433A7"/>
    <w:rsid w:val="13657645"/>
    <w:rsid w:val="13A67F5D"/>
    <w:rsid w:val="1548206F"/>
    <w:rsid w:val="155E2E9F"/>
    <w:rsid w:val="156F530F"/>
    <w:rsid w:val="1657321B"/>
    <w:rsid w:val="1695469E"/>
    <w:rsid w:val="16FE0496"/>
    <w:rsid w:val="174340FA"/>
    <w:rsid w:val="177E5060"/>
    <w:rsid w:val="17BA14A1"/>
    <w:rsid w:val="17DB4333"/>
    <w:rsid w:val="17F027BA"/>
    <w:rsid w:val="1821377C"/>
    <w:rsid w:val="18493992"/>
    <w:rsid w:val="18A07E2C"/>
    <w:rsid w:val="18DA6CE0"/>
    <w:rsid w:val="18E216F1"/>
    <w:rsid w:val="19251699"/>
    <w:rsid w:val="19B60BB4"/>
    <w:rsid w:val="19DD2B4C"/>
    <w:rsid w:val="1A1D0C33"/>
    <w:rsid w:val="1A3D12D5"/>
    <w:rsid w:val="1AAD645B"/>
    <w:rsid w:val="1B02735D"/>
    <w:rsid w:val="1B113463"/>
    <w:rsid w:val="1B122762"/>
    <w:rsid w:val="1B375D24"/>
    <w:rsid w:val="1B4C208F"/>
    <w:rsid w:val="1B9C027D"/>
    <w:rsid w:val="1C2A7637"/>
    <w:rsid w:val="1C3109C5"/>
    <w:rsid w:val="1C4701E9"/>
    <w:rsid w:val="1C534DE0"/>
    <w:rsid w:val="1C5F3784"/>
    <w:rsid w:val="1C7374EC"/>
    <w:rsid w:val="1C8036FB"/>
    <w:rsid w:val="1CEB4B1A"/>
    <w:rsid w:val="1CF81CD0"/>
    <w:rsid w:val="1D3D339A"/>
    <w:rsid w:val="1D7B2840"/>
    <w:rsid w:val="1D7E7C3A"/>
    <w:rsid w:val="1D903E12"/>
    <w:rsid w:val="1DC33256"/>
    <w:rsid w:val="1DCF66E8"/>
    <w:rsid w:val="1DDE692B"/>
    <w:rsid w:val="1E0A3ED3"/>
    <w:rsid w:val="1E4B7669"/>
    <w:rsid w:val="207E43F5"/>
    <w:rsid w:val="208F206B"/>
    <w:rsid w:val="20915ED7"/>
    <w:rsid w:val="209D487B"/>
    <w:rsid w:val="214A69D2"/>
    <w:rsid w:val="218F2C3C"/>
    <w:rsid w:val="21BE0F4D"/>
    <w:rsid w:val="21C33393"/>
    <w:rsid w:val="21C67E02"/>
    <w:rsid w:val="21EE1107"/>
    <w:rsid w:val="22124DF5"/>
    <w:rsid w:val="22AF0896"/>
    <w:rsid w:val="236F7F4F"/>
    <w:rsid w:val="239669EF"/>
    <w:rsid w:val="240C096F"/>
    <w:rsid w:val="241E5CD3"/>
    <w:rsid w:val="24212433"/>
    <w:rsid w:val="24596E30"/>
    <w:rsid w:val="24B46637"/>
    <w:rsid w:val="25657932"/>
    <w:rsid w:val="25D32000"/>
    <w:rsid w:val="265754CC"/>
    <w:rsid w:val="26854FAF"/>
    <w:rsid w:val="26D86620"/>
    <w:rsid w:val="27A110F5"/>
    <w:rsid w:val="284F0D04"/>
    <w:rsid w:val="287872B4"/>
    <w:rsid w:val="28FE4325"/>
    <w:rsid w:val="290C44D6"/>
    <w:rsid w:val="290F7A1D"/>
    <w:rsid w:val="292A511A"/>
    <w:rsid w:val="294F692F"/>
    <w:rsid w:val="29F15C38"/>
    <w:rsid w:val="2A2F0C2B"/>
    <w:rsid w:val="2A426494"/>
    <w:rsid w:val="2A6401B8"/>
    <w:rsid w:val="2AA66A22"/>
    <w:rsid w:val="2AE337D3"/>
    <w:rsid w:val="2AF7102C"/>
    <w:rsid w:val="2B2C33CC"/>
    <w:rsid w:val="2B603075"/>
    <w:rsid w:val="2B8E42BA"/>
    <w:rsid w:val="2BD80E5D"/>
    <w:rsid w:val="2CAA2BF1"/>
    <w:rsid w:val="2CAB0320"/>
    <w:rsid w:val="2CF27CFD"/>
    <w:rsid w:val="2D0143E4"/>
    <w:rsid w:val="2D373D92"/>
    <w:rsid w:val="2D9B0395"/>
    <w:rsid w:val="2E864BA1"/>
    <w:rsid w:val="2E9F5C62"/>
    <w:rsid w:val="2ED96F6C"/>
    <w:rsid w:val="2F0957D2"/>
    <w:rsid w:val="2F0F4890"/>
    <w:rsid w:val="2FDE0A0C"/>
    <w:rsid w:val="30E67B79"/>
    <w:rsid w:val="31334424"/>
    <w:rsid w:val="314174A5"/>
    <w:rsid w:val="318D6246"/>
    <w:rsid w:val="31A35A6A"/>
    <w:rsid w:val="31A44643"/>
    <w:rsid w:val="31C0661C"/>
    <w:rsid w:val="327B2543"/>
    <w:rsid w:val="32B9457E"/>
    <w:rsid w:val="32C65EB4"/>
    <w:rsid w:val="32D11B60"/>
    <w:rsid w:val="33204F82"/>
    <w:rsid w:val="333D5A4A"/>
    <w:rsid w:val="33680D19"/>
    <w:rsid w:val="33F26834"/>
    <w:rsid w:val="33F94067"/>
    <w:rsid w:val="34394463"/>
    <w:rsid w:val="34551C5B"/>
    <w:rsid w:val="34C226AB"/>
    <w:rsid w:val="350C7DCA"/>
    <w:rsid w:val="35414B88"/>
    <w:rsid w:val="35496928"/>
    <w:rsid w:val="35A3085A"/>
    <w:rsid w:val="360B1E2F"/>
    <w:rsid w:val="36370E76"/>
    <w:rsid w:val="36813FAE"/>
    <w:rsid w:val="36C3270A"/>
    <w:rsid w:val="37582032"/>
    <w:rsid w:val="37863E63"/>
    <w:rsid w:val="37AB1B1C"/>
    <w:rsid w:val="37D83F93"/>
    <w:rsid w:val="37F11517"/>
    <w:rsid w:val="37F708BD"/>
    <w:rsid w:val="38417D8A"/>
    <w:rsid w:val="38657F1D"/>
    <w:rsid w:val="389E6A5F"/>
    <w:rsid w:val="38B723D3"/>
    <w:rsid w:val="38C84008"/>
    <w:rsid w:val="3962445C"/>
    <w:rsid w:val="398C2CA8"/>
    <w:rsid w:val="3B0A4DAB"/>
    <w:rsid w:val="3B0C4680"/>
    <w:rsid w:val="3B27770B"/>
    <w:rsid w:val="3B497682"/>
    <w:rsid w:val="3B7A783B"/>
    <w:rsid w:val="3B87471E"/>
    <w:rsid w:val="3BC97965"/>
    <w:rsid w:val="3C031B48"/>
    <w:rsid w:val="3CB46D7D"/>
    <w:rsid w:val="3CC11EC2"/>
    <w:rsid w:val="3CCB40C7"/>
    <w:rsid w:val="3CCC3499"/>
    <w:rsid w:val="3CEF24AB"/>
    <w:rsid w:val="3D0A1093"/>
    <w:rsid w:val="3D475E43"/>
    <w:rsid w:val="3D5F13DF"/>
    <w:rsid w:val="3D8B21D4"/>
    <w:rsid w:val="3DB039E8"/>
    <w:rsid w:val="3DFC6C2D"/>
    <w:rsid w:val="3E1D3EFC"/>
    <w:rsid w:val="3E7058AE"/>
    <w:rsid w:val="3ED23E32"/>
    <w:rsid w:val="3FAC4683"/>
    <w:rsid w:val="3FC65075"/>
    <w:rsid w:val="3FD339BE"/>
    <w:rsid w:val="405F5252"/>
    <w:rsid w:val="41A61B5F"/>
    <w:rsid w:val="41E40104"/>
    <w:rsid w:val="41E73751"/>
    <w:rsid w:val="42097EFD"/>
    <w:rsid w:val="42134546"/>
    <w:rsid w:val="423050F8"/>
    <w:rsid w:val="42772D26"/>
    <w:rsid w:val="428F724E"/>
    <w:rsid w:val="42A45AE6"/>
    <w:rsid w:val="42DF3691"/>
    <w:rsid w:val="439671DC"/>
    <w:rsid w:val="448E6105"/>
    <w:rsid w:val="44EE3048"/>
    <w:rsid w:val="44F20D8A"/>
    <w:rsid w:val="459312F5"/>
    <w:rsid w:val="46F661E4"/>
    <w:rsid w:val="473C1CE4"/>
    <w:rsid w:val="4770243A"/>
    <w:rsid w:val="478F1FF1"/>
    <w:rsid w:val="484D0086"/>
    <w:rsid w:val="48627FD5"/>
    <w:rsid w:val="49706721"/>
    <w:rsid w:val="497E14F0"/>
    <w:rsid w:val="4A6E2C61"/>
    <w:rsid w:val="4AC217FA"/>
    <w:rsid w:val="4B973578"/>
    <w:rsid w:val="4BAF1783"/>
    <w:rsid w:val="4BFD41B8"/>
    <w:rsid w:val="4C1415E6"/>
    <w:rsid w:val="4C5877F4"/>
    <w:rsid w:val="4CE76790"/>
    <w:rsid w:val="4CF431C6"/>
    <w:rsid w:val="4D4B7289"/>
    <w:rsid w:val="4DBE5CAD"/>
    <w:rsid w:val="4DF23BA9"/>
    <w:rsid w:val="4ECF5C98"/>
    <w:rsid w:val="4EDF604B"/>
    <w:rsid w:val="4EEA0D24"/>
    <w:rsid w:val="4EFB6A8D"/>
    <w:rsid w:val="4F0E16C8"/>
    <w:rsid w:val="4F3552DF"/>
    <w:rsid w:val="4F7D42EC"/>
    <w:rsid w:val="4F8C5937"/>
    <w:rsid w:val="4F8E7901"/>
    <w:rsid w:val="50302767"/>
    <w:rsid w:val="50376CFC"/>
    <w:rsid w:val="504F0E3F"/>
    <w:rsid w:val="51694182"/>
    <w:rsid w:val="5221680B"/>
    <w:rsid w:val="5229218D"/>
    <w:rsid w:val="523F3135"/>
    <w:rsid w:val="524D13AE"/>
    <w:rsid w:val="52B551A5"/>
    <w:rsid w:val="531243A6"/>
    <w:rsid w:val="533F163E"/>
    <w:rsid w:val="534053B7"/>
    <w:rsid w:val="534D459C"/>
    <w:rsid w:val="53693104"/>
    <w:rsid w:val="53A62432"/>
    <w:rsid w:val="53BB67EB"/>
    <w:rsid w:val="5403433C"/>
    <w:rsid w:val="54722583"/>
    <w:rsid w:val="54B93F6F"/>
    <w:rsid w:val="55D10548"/>
    <w:rsid w:val="56F73FDE"/>
    <w:rsid w:val="570566FB"/>
    <w:rsid w:val="577949F3"/>
    <w:rsid w:val="584E5E80"/>
    <w:rsid w:val="58852E3A"/>
    <w:rsid w:val="5895585D"/>
    <w:rsid w:val="58CD3249"/>
    <w:rsid w:val="593908DE"/>
    <w:rsid w:val="59605E6B"/>
    <w:rsid w:val="597B0EF6"/>
    <w:rsid w:val="59D93B31"/>
    <w:rsid w:val="5A9D6C4B"/>
    <w:rsid w:val="5BB30A3C"/>
    <w:rsid w:val="5BBC2B3B"/>
    <w:rsid w:val="5BE1321D"/>
    <w:rsid w:val="5C434930"/>
    <w:rsid w:val="5C901A04"/>
    <w:rsid w:val="5CB0535B"/>
    <w:rsid w:val="5D183F5E"/>
    <w:rsid w:val="5D3137A7"/>
    <w:rsid w:val="5D445AA3"/>
    <w:rsid w:val="5DB26EB1"/>
    <w:rsid w:val="5E4D0988"/>
    <w:rsid w:val="5E8425FB"/>
    <w:rsid w:val="5EF07C91"/>
    <w:rsid w:val="5EFF11DC"/>
    <w:rsid w:val="5FB36E1F"/>
    <w:rsid w:val="6031230F"/>
    <w:rsid w:val="60402552"/>
    <w:rsid w:val="607C4F94"/>
    <w:rsid w:val="60AF3195"/>
    <w:rsid w:val="60D43015"/>
    <w:rsid w:val="6129748A"/>
    <w:rsid w:val="614C4F26"/>
    <w:rsid w:val="61730705"/>
    <w:rsid w:val="61C84EF5"/>
    <w:rsid w:val="61DC62AA"/>
    <w:rsid w:val="629C5252"/>
    <w:rsid w:val="62AF7E63"/>
    <w:rsid w:val="6352606D"/>
    <w:rsid w:val="63B05C41"/>
    <w:rsid w:val="63B84AF5"/>
    <w:rsid w:val="63E36016"/>
    <w:rsid w:val="64047D3A"/>
    <w:rsid w:val="65241F21"/>
    <w:rsid w:val="65426D6C"/>
    <w:rsid w:val="65636931"/>
    <w:rsid w:val="656942F9"/>
    <w:rsid w:val="656B3896"/>
    <w:rsid w:val="656C3DE9"/>
    <w:rsid w:val="667E3DD4"/>
    <w:rsid w:val="66EC6F90"/>
    <w:rsid w:val="670D087B"/>
    <w:rsid w:val="670E2233"/>
    <w:rsid w:val="672506F4"/>
    <w:rsid w:val="67E26F62"/>
    <w:rsid w:val="67E27B7D"/>
    <w:rsid w:val="68951C23"/>
    <w:rsid w:val="68B83745"/>
    <w:rsid w:val="69132EFA"/>
    <w:rsid w:val="6965734D"/>
    <w:rsid w:val="696848C8"/>
    <w:rsid w:val="698060B5"/>
    <w:rsid w:val="69935DE8"/>
    <w:rsid w:val="69981651"/>
    <w:rsid w:val="69B35D3E"/>
    <w:rsid w:val="6A107439"/>
    <w:rsid w:val="6AFD1CD1"/>
    <w:rsid w:val="6B0D5727"/>
    <w:rsid w:val="6B8579B3"/>
    <w:rsid w:val="6C4E5FF7"/>
    <w:rsid w:val="6C5A499B"/>
    <w:rsid w:val="6D147240"/>
    <w:rsid w:val="6D6C2BD8"/>
    <w:rsid w:val="6DC514AF"/>
    <w:rsid w:val="6DEA35C2"/>
    <w:rsid w:val="6E250FD9"/>
    <w:rsid w:val="6EB163DB"/>
    <w:rsid w:val="6EEF4650"/>
    <w:rsid w:val="6EF47329"/>
    <w:rsid w:val="6F1F1ECC"/>
    <w:rsid w:val="6F631DB9"/>
    <w:rsid w:val="6F79782E"/>
    <w:rsid w:val="6F906926"/>
    <w:rsid w:val="6F9B3EEB"/>
    <w:rsid w:val="6FB865A9"/>
    <w:rsid w:val="70497F39"/>
    <w:rsid w:val="70671D4A"/>
    <w:rsid w:val="70983990"/>
    <w:rsid w:val="70E92792"/>
    <w:rsid w:val="712832BA"/>
    <w:rsid w:val="71306613"/>
    <w:rsid w:val="713D4CFC"/>
    <w:rsid w:val="713E691F"/>
    <w:rsid w:val="715513A6"/>
    <w:rsid w:val="717029F7"/>
    <w:rsid w:val="71AA3CCF"/>
    <w:rsid w:val="71D7083C"/>
    <w:rsid w:val="71DC40C7"/>
    <w:rsid w:val="721B6FB3"/>
    <w:rsid w:val="7258372B"/>
    <w:rsid w:val="735C549D"/>
    <w:rsid w:val="738A025C"/>
    <w:rsid w:val="73A40BF2"/>
    <w:rsid w:val="74B256FB"/>
    <w:rsid w:val="74EC45FF"/>
    <w:rsid w:val="74F87447"/>
    <w:rsid w:val="751678CE"/>
    <w:rsid w:val="75705941"/>
    <w:rsid w:val="757460F9"/>
    <w:rsid w:val="758C3199"/>
    <w:rsid w:val="76157B85"/>
    <w:rsid w:val="763B583E"/>
    <w:rsid w:val="76724FD8"/>
    <w:rsid w:val="76AD7EE3"/>
    <w:rsid w:val="773F4EBA"/>
    <w:rsid w:val="778415BC"/>
    <w:rsid w:val="77C81353"/>
    <w:rsid w:val="77C90C27"/>
    <w:rsid w:val="77ED700C"/>
    <w:rsid w:val="788A2425"/>
    <w:rsid w:val="78D67AA0"/>
    <w:rsid w:val="78E86DDB"/>
    <w:rsid w:val="790C1713"/>
    <w:rsid w:val="796055BB"/>
    <w:rsid w:val="79D10B67"/>
    <w:rsid w:val="7A0F1CE7"/>
    <w:rsid w:val="7A0F4C23"/>
    <w:rsid w:val="7A1F5059"/>
    <w:rsid w:val="7B2E5971"/>
    <w:rsid w:val="7B845591"/>
    <w:rsid w:val="7BA479E1"/>
    <w:rsid w:val="7BF02C26"/>
    <w:rsid w:val="7C030BAC"/>
    <w:rsid w:val="7C3F39EE"/>
    <w:rsid w:val="7C7B4C99"/>
    <w:rsid w:val="7CF91FAF"/>
    <w:rsid w:val="7D2D3A06"/>
    <w:rsid w:val="7D7B2771"/>
    <w:rsid w:val="7D893333"/>
    <w:rsid w:val="7DB639FC"/>
    <w:rsid w:val="7E015106"/>
    <w:rsid w:val="7E0F08A1"/>
    <w:rsid w:val="7E3F3C38"/>
    <w:rsid w:val="7E576F8D"/>
    <w:rsid w:val="7E6B3B9A"/>
    <w:rsid w:val="7EBE700C"/>
    <w:rsid w:val="7EC16AFC"/>
    <w:rsid w:val="7F0D3AEF"/>
    <w:rsid w:val="7F7122D0"/>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200" w:firstLineChars="200"/>
    </w:pPr>
    <w:rPr>
      <w:rFonts w:ascii="宋体" w:hAnsi="宋体"/>
      <w:sz w:val="28"/>
    </w:rPr>
  </w:style>
  <w:style w:type="paragraph" w:styleId="4">
    <w:name w:val="Body Text"/>
    <w:basedOn w:val="1"/>
    <w:autoRedefine/>
    <w:qFormat/>
    <w:uiPriority w:val="0"/>
    <w:pPr>
      <w:jc w:val="center"/>
    </w:pPr>
    <w:rPr>
      <w:rFonts w:eastAsia="华文中宋"/>
      <w:b/>
      <w:bCs/>
      <w:sz w:val="44"/>
    </w:rPr>
  </w:style>
  <w:style w:type="paragraph" w:styleId="5">
    <w:name w:val="Body Text Indent"/>
    <w:basedOn w:val="1"/>
    <w:autoRedefine/>
    <w:qFormat/>
    <w:uiPriority w:val="0"/>
    <w:pPr>
      <w:autoSpaceDE w:val="0"/>
      <w:autoSpaceDN w:val="0"/>
      <w:adjustRightInd w:val="0"/>
      <w:spacing w:line="440" w:lineRule="exact"/>
      <w:ind w:right="-21" w:firstLine="56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5"/>
    <w:autoRedefine/>
    <w:qFormat/>
    <w:uiPriority w:val="99"/>
    <w:pPr>
      <w:keepNext w:val="0"/>
      <w:keepLines w:val="0"/>
      <w:widowControl w:val="0"/>
      <w:suppressLineNumbers w:val="0"/>
      <w:autoSpaceDE w:val="0"/>
      <w:autoSpaceDN w:val="0"/>
      <w:adjustRightInd w:val="0"/>
      <w:spacing w:before="0" w:beforeAutospacing="0" w:after="0" w:afterAutospacing="0" w:line="440" w:lineRule="exact"/>
      <w:ind w:left="0" w:right="-21" w:firstLine="420" w:firstLineChars="200"/>
      <w:jc w:val="both"/>
    </w:pPr>
    <w:rPr>
      <w:rFonts w:hint="default" w:ascii="Calibri" w:hAnsi="Calibri" w:eastAsia="宋体" w:cs="Times New Roman"/>
      <w:kern w:val="2"/>
      <w:sz w:val="21"/>
      <w:szCs w:val="24"/>
      <w:lang w:val="en-US" w:eastAsia="zh-CN"/>
    </w:rPr>
  </w:style>
  <w:style w:type="character" w:styleId="12">
    <w:name w:val="page number"/>
    <w:basedOn w:val="11"/>
    <w:autoRedefine/>
    <w:qFormat/>
    <w:uiPriority w:val="99"/>
  </w:style>
  <w:style w:type="character" w:customStyle="1" w:styleId="13">
    <w:name w:val="font71"/>
    <w:basedOn w:val="11"/>
    <w:autoRedefine/>
    <w:qFormat/>
    <w:uiPriority w:val="0"/>
    <w:rPr>
      <w:rFonts w:hint="eastAsia" w:ascii="仿宋_GB2312" w:eastAsia="仿宋_GB2312" w:cs="仿宋_GB2312"/>
      <w:color w:val="000000"/>
      <w:sz w:val="24"/>
      <w:szCs w:val="24"/>
      <w:u w:val="none"/>
    </w:rPr>
  </w:style>
  <w:style w:type="character" w:customStyle="1" w:styleId="14">
    <w:name w:val="font101"/>
    <w:basedOn w:val="11"/>
    <w:autoRedefine/>
    <w:qFormat/>
    <w:uiPriority w:val="0"/>
    <w:rPr>
      <w:rFonts w:ascii="仿宋_GB2312" w:eastAsia="仿宋_GB2312" w:cs="仿宋_GB2312"/>
      <w:b/>
      <w:bCs/>
      <w:color w:val="000000"/>
      <w:sz w:val="40"/>
      <w:szCs w:val="40"/>
      <w:u w:val="none"/>
    </w:rPr>
  </w:style>
  <w:style w:type="character" w:customStyle="1" w:styleId="15">
    <w:name w:val="font111"/>
    <w:basedOn w:val="11"/>
    <w:autoRedefine/>
    <w:qFormat/>
    <w:uiPriority w:val="0"/>
    <w:rPr>
      <w:rFonts w:hint="eastAsia" w:ascii="仿宋_GB2312" w:eastAsia="仿宋_GB2312" w:cs="仿宋_GB2312"/>
      <w:color w:val="000000"/>
      <w:sz w:val="28"/>
      <w:szCs w:val="28"/>
      <w:u w:val="none"/>
    </w:rPr>
  </w:style>
  <w:style w:type="character" w:customStyle="1" w:styleId="16">
    <w:name w:val="font81"/>
    <w:basedOn w:val="11"/>
    <w:autoRedefine/>
    <w:qFormat/>
    <w:uiPriority w:val="0"/>
    <w:rPr>
      <w:rFonts w:hint="default" w:ascii="Times New Roman" w:hAnsi="Times New Roman" w:cs="Times New Roman"/>
      <w:color w:val="000000"/>
      <w:sz w:val="28"/>
      <w:szCs w:val="28"/>
      <w:u w:val="none"/>
    </w:rPr>
  </w:style>
  <w:style w:type="character" w:customStyle="1" w:styleId="17">
    <w:name w:val="font191"/>
    <w:basedOn w:val="11"/>
    <w:autoRedefine/>
    <w:qFormat/>
    <w:uiPriority w:val="0"/>
    <w:rPr>
      <w:rFonts w:hint="default" w:ascii="Times New Roman" w:hAnsi="Times New Roman" w:cs="Times New Roman"/>
      <w:b/>
      <w:bCs/>
      <w:color w:val="000000"/>
      <w:sz w:val="28"/>
      <w:szCs w:val="28"/>
      <w:u w:val="none"/>
    </w:rPr>
  </w:style>
  <w:style w:type="character" w:customStyle="1" w:styleId="18">
    <w:name w:val="font11"/>
    <w:basedOn w:val="11"/>
    <w:autoRedefine/>
    <w:qFormat/>
    <w:uiPriority w:val="0"/>
    <w:rPr>
      <w:rFonts w:hint="eastAsia" w:ascii="仿宋_GB2312" w:eastAsia="仿宋_GB2312" w:cs="仿宋_GB2312"/>
      <w:b/>
      <w:bCs/>
      <w:color w:val="000000"/>
      <w:sz w:val="28"/>
      <w:szCs w:val="28"/>
      <w:u w:val="none"/>
    </w:rPr>
  </w:style>
  <w:style w:type="character" w:customStyle="1" w:styleId="19">
    <w:name w:val="font31"/>
    <w:basedOn w:val="11"/>
    <w:autoRedefine/>
    <w:qFormat/>
    <w:uiPriority w:val="0"/>
    <w:rPr>
      <w:rFonts w:hint="eastAsia" w:ascii="宋体" w:hAnsi="宋体" w:eastAsia="宋体" w:cs="宋体"/>
      <w:color w:val="000000"/>
      <w:sz w:val="22"/>
      <w:szCs w:val="22"/>
      <w:u w:val="none"/>
    </w:rPr>
  </w:style>
  <w:style w:type="character" w:customStyle="1" w:styleId="20">
    <w:name w:val="font21"/>
    <w:basedOn w:val="11"/>
    <w:autoRedefine/>
    <w:qFormat/>
    <w:uiPriority w:val="0"/>
    <w:rPr>
      <w:rFonts w:hint="default" w:ascii="Times New Roman" w:hAnsi="Times New Roman" w:cs="Times New Roman"/>
      <w:color w:val="000000"/>
      <w:sz w:val="36"/>
      <w:szCs w:val="36"/>
      <w:u w:val="none"/>
    </w:rPr>
  </w:style>
  <w:style w:type="character" w:customStyle="1" w:styleId="21">
    <w:name w:val="font41"/>
    <w:basedOn w:val="11"/>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6</Pages>
  <Words>1976</Words>
  <Characters>2197</Characters>
  <Lines>0</Lines>
  <Paragraphs>0</Paragraphs>
  <TotalTime>1</TotalTime>
  <ScaleCrop>false</ScaleCrop>
  <LinksUpToDate>false</LinksUpToDate>
  <CharactersWithSpaces>2305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2024-09-06T13:08:00Z</dcterms:created>
  <dc:creator>DELL</dc:creator>
  <cp:lastModifiedBy>璃茉</cp:lastModifiedBy>
  <cp:lastPrinted>2025-06-25T01:56:00Z</cp:lastPrinted>
  <dcterms:modified xsi:type="dcterms:W3CDTF">2025-07-21T04:28:28Z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74EF750C79CC458C8490EB886CD2B88E_12</vt:lpwstr>
  </property>
  <property fmtid="{D5CDD505-2E9C-101B-9397-08002B2CF9AE}" pid="4" name="KSOTemplateDocerSaveRecord">
    <vt:lpwstr>eyJoZGlkIjoiMDBiZTFjYTQ5ZDI4NzE1ZWNiMzQ2NTMzY2U1ODkxZWUiLCJ1c2VySWQiOiIyMDUxMDk5ODcifQ==</vt:lpwstr>
  </property>
</Properties>
</file>