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bookmarkStart w:id="0" w:name="_GoBack"/>
      <w:bookmarkEnd w:id="0"/>
      <w:r>
        <w:rPr>
          <w:rFonts w:hint="eastAsia" w:ascii="华文中宋" w:hAnsi="华文中宋" w:eastAsia="华文中宋" w:cs="黑体"/>
          <w:b/>
          <w:sz w:val="44"/>
          <w:szCs w:val="44"/>
        </w:rPr>
        <w:t>安全生产行政执法文书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60288;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执法</w:t>
      </w:r>
      <w:r>
        <w:rPr>
          <w:rFonts w:hint="eastAsia" w:ascii="仿宋_GB2312" w:hAnsi="仿宋" w:eastAsia="仿宋_GB2312" w:cs="Calibri"/>
          <w:sz w:val="24"/>
          <w:szCs w:val="24"/>
          <w:lang w:val="en-US" w:eastAsia="zh-CN"/>
        </w:rPr>
        <w:t>-4</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被处罚人：</w:t>
      </w:r>
      <w:r>
        <w:rPr>
          <w:rFonts w:hint="eastAsia" w:ascii="仿宋_GB2312" w:hAnsi="仿宋" w:eastAsia="仿宋_GB2312" w:cs="仿宋"/>
          <w:sz w:val="24"/>
          <w:szCs w:val="24"/>
          <w:u w:val="single"/>
          <w:lang w:val="en-US" w:eastAsia="zh-CN"/>
        </w:rPr>
        <w:t>高**</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山东省——————————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联系电话：</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lang w:val="en-US" w:eastAsia="zh-CN"/>
        </w:rPr>
        <w:t xml:space="preserve">   /        </w:t>
      </w: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none"/>
          <w:lang w:val="en-US" w:eastAsia="zh-CN"/>
        </w:rPr>
        <w:t xml:space="preserve">  </w:t>
      </w:r>
      <w:r>
        <w:rPr>
          <w:rFonts w:hint="eastAsia" w:ascii="仿宋_GB2312" w:hAnsi="仿宋" w:eastAsia="仿宋_GB2312" w:cs="Calibri"/>
          <w:sz w:val="24"/>
          <w:szCs w:val="24"/>
        </w:rPr>
        <w:t>邮政编码：</w:t>
      </w:r>
      <w:r>
        <w:rPr>
          <w:rFonts w:hint="eastAsia" w:ascii="仿宋_GB2312" w:hAnsi="仿宋" w:eastAsia="仿宋_GB2312" w:cs="宋体"/>
          <w:color w:val="121212"/>
          <w:kern w:val="0"/>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仿宋"/>
          <w:sz w:val="24"/>
          <w:szCs w:val="24"/>
          <w:u w:val="single"/>
          <w:lang w:val="en-US" w:eastAsia="zh-CN"/>
        </w:rPr>
        <w:t xml:space="preserve">      /                            </w:t>
      </w:r>
    </w:p>
    <w:p>
      <w:pPr>
        <w:pStyle w:val="17"/>
        <w:keepNext w:val="0"/>
        <w:keepLines w:val="0"/>
        <w:pageBreakBefore w:val="0"/>
        <w:widowControl/>
        <w:numPr>
          <w:ilvl w:val="0"/>
          <w:numId w:val="0"/>
        </w:numPr>
        <w:kinsoku/>
        <w:wordWrap/>
        <w:overflowPunct/>
        <w:topLinePunct w:val="0"/>
        <w:autoSpaceDE/>
        <w:autoSpaceDN/>
        <w:bidi w:val="0"/>
        <w:adjustRightInd/>
        <w:snapToGrid/>
        <w:spacing w:after="0" w:line="460" w:lineRule="exact"/>
        <w:ind w:right="0" w:rightChars="0" w:firstLine="482" w:firstLineChars="200"/>
        <w:textAlignment w:val="auto"/>
        <w:rPr>
          <w:rFonts w:hint="eastAsia" w:ascii="仿宋_GB2312" w:hAnsi="仿宋" w:eastAsia="仿宋_GB2312" w:cs="仿宋"/>
          <w:b w:val="0"/>
          <w:bCs w:val="0"/>
          <w:color w:val="auto"/>
          <w:kern w:val="2"/>
          <w:sz w:val="24"/>
          <w:szCs w:val="24"/>
          <w:u w:val="single"/>
          <w:lang w:val="en-US" w:eastAsia="zh-CN" w:bidi="ar-SA"/>
        </w:rPr>
      </w:pPr>
      <w:r>
        <w:rPr>
          <w:rFonts w:hint="eastAsia" w:ascii="仿宋_GB2312" w:hAnsi="仿宋" w:eastAsia="仿宋_GB2312" w:cs="Calibri"/>
          <w:b/>
          <w:bCs/>
          <w:sz w:val="24"/>
          <w:szCs w:val="24"/>
        </w:rPr>
        <w:t>违法事实及证据</w:t>
      </w:r>
      <w:r>
        <w:rPr>
          <w:rFonts w:hint="eastAsia" w:ascii="仿宋_GB2312" w:hAnsi="仿宋" w:eastAsia="仿宋_GB2312" w:cs="Calibri"/>
          <w:sz w:val="24"/>
          <w:szCs w:val="24"/>
        </w:rPr>
        <w:t>：</w:t>
      </w:r>
      <w:r>
        <w:rPr>
          <w:rFonts w:hint="eastAsia" w:ascii="仿宋_GB2312" w:hAnsi="仿宋" w:cs="仿宋"/>
          <w:b w:val="0"/>
          <w:bCs w:val="0"/>
          <w:color w:val="auto"/>
          <w:kern w:val="2"/>
          <w:sz w:val="24"/>
          <w:szCs w:val="24"/>
          <w:u w:val="single"/>
          <w:lang w:val="en-US" w:eastAsia="zh-CN" w:bidi="ar-SA"/>
        </w:rPr>
        <w:t>高**</w:t>
      </w:r>
      <w:r>
        <w:rPr>
          <w:rFonts w:hint="eastAsia" w:ascii="仿宋_GB2312" w:hAnsi="仿宋" w:eastAsia="仿宋_GB2312" w:cs="仿宋"/>
          <w:b w:val="0"/>
          <w:bCs w:val="0"/>
          <w:color w:val="auto"/>
          <w:kern w:val="2"/>
          <w:sz w:val="24"/>
          <w:szCs w:val="24"/>
          <w:u w:val="single"/>
          <w:lang w:val="en-US" w:eastAsia="zh-CN" w:bidi="ar-SA"/>
        </w:rPr>
        <w:t>储存危险化学品的场所不属于储存危险化学品的专用仓库、专用场地或者专用储存室，不具备相应安全条件，未按规定取得储存危险化学品相关许可资质，存在非法储存危险化学品的违法行为。</w:t>
      </w:r>
      <w:r>
        <w:rPr>
          <w:rFonts w:hint="eastAsia" w:ascii="仿宋_GB2312" w:hAnsi="仿宋" w:eastAsia="仿宋_GB2312" w:cs="仿宋"/>
          <w:b/>
          <w:bCs/>
          <w:sz w:val="24"/>
          <w:szCs w:val="24"/>
          <w:u w:val="single"/>
          <w:lang w:val="en-US" w:eastAsia="zh-CN"/>
        </w:rPr>
        <w:t>主要证据如下：</w:t>
      </w:r>
      <w:r>
        <w:rPr>
          <w:rFonts w:hint="eastAsia" w:ascii="仿宋_GB2312" w:hAnsi="仿宋" w:eastAsia="仿宋_GB2312" w:cs="仿宋"/>
          <w:b w:val="0"/>
          <w:bCs w:val="0"/>
          <w:color w:val="auto"/>
          <w:kern w:val="2"/>
          <w:sz w:val="24"/>
          <w:szCs w:val="24"/>
          <w:u w:val="single"/>
          <w:lang w:val="en-US" w:eastAsia="zh-CN" w:bidi="ar-SA"/>
        </w:rPr>
        <w:t>证据一：抽样取证凭证、鉴定委托书、检验报告，证明</w:t>
      </w:r>
      <w:r>
        <w:rPr>
          <w:rFonts w:hint="eastAsia" w:ascii="仿宋_GB2312" w:hAnsi="仿宋" w:cs="仿宋"/>
          <w:b w:val="0"/>
          <w:bCs w:val="0"/>
          <w:color w:val="auto"/>
          <w:kern w:val="2"/>
          <w:sz w:val="24"/>
          <w:szCs w:val="24"/>
          <w:u w:val="single"/>
          <w:lang w:val="en-US" w:eastAsia="zh-CN" w:bidi="ar-SA"/>
        </w:rPr>
        <w:t>高**</w:t>
      </w:r>
      <w:r>
        <w:rPr>
          <w:rFonts w:hint="eastAsia" w:ascii="仿宋_GB2312" w:hAnsi="仿宋" w:eastAsia="仿宋_GB2312" w:cs="仿宋"/>
          <w:b w:val="0"/>
          <w:bCs w:val="0"/>
          <w:color w:val="auto"/>
          <w:kern w:val="2"/>
          <w:sz w:val="24"/>
          <w:szCs w:val="24"/>
          <w:u w:val="single"/>
          <w:lang w:val="en-US" w:eastAsia="zh-CN" w:bidi="ar-SA"/>
        </w:rPr>
        <w:t>在安宁市草铺街道办事处安宁</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物流有限公司储存的物质为危险化学品（柴油）；证据二：王</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、梁</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w:t>
      </w:r>
      <w:r>
        <w:rPr>
          <w:rFonts w:hint="eastAsia" w:ascii="仿宋_GB2312" w:hAnsi="仿宋" w:cs="仿宋"/>
          <w:b w:val="0"/>
          <w:bCs w:val="0"/>
          <w:color w:val="auto"/>
          <w:kern w:val="2"/>
          <w:sz w:val="24"/>
          <w:szCs w:val="24"/>
          <w:u w:val="single"/>
          <w:lang w:val="en-US" w:eastAsia="zh-CN" w:bidi="ar-SA"/>
        </w:rPr>
        <w:t>高**</w:t>
      </w:r>
      <w:r>
        <w:rPr>
          <w:rFonts w:hint="eastAsia" w:ascii="仿宋_GB2312" w:hAnsi="仿宋" w:eastAsia="仿宋_GB2312" w:cs="仿宋"/>
          <w:b w:val="0"/>
          <w:bCs w:val="0"/>
          <w:color w:val="auto"/>
          <w:kern w:val="2"/>
          <w:sz w:val="24"/>
          <w:szCs w:val="24"/>
          <w:u w:val="single"/>
          <w:lang w:val="en-US" w:eastAsia="zh-CN" w:bidi="ar-SA"/>
        </w:rPr>
        <w:t>、唐</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调查</w:t>
      </w:r>
      <w:r>
        <w:rPr>
          <w:rFonts w:hint="eastAsia" w:ascii="仿宋_GB2312" w:hAnsi="仿宋" w:cs="仿宋"/>
          <w:b w:val="0"/>
          <w:bCs w:val="0"/>
          <w:color w:val="auto"/>
          <w:kern w:val="2"/>
          <w:sz w:val="24"/>
          <w:szCs w:val="24"/>
          <w:u w:val="single"/>
          <w:lang w:val="en-US" w:eastAsia="zh-CN" w:bidi="ar-SA"/>
        </w:rPr>
        <w:t>询</w:t>
      </w:r>
      <w:r>
        <w:rPr>
          <w:rFonts w:hint="eastAsia" w:ascii="仿宋_GB2312" w:hAnsi="仿宋" w:eastAsia="仿宋_GB2312" w:cs="仿宋"/>
          <w:b w:val="0"/>
          <w:bCs w:val="0"/>
          <w:color w:val="auto"/>
          <w:kern w:val="2"/>
          <w:sz w:val="24"/>
          <w:szCs w:val="24"/>
          <w:u w:val="single"/>
          <w:lang w:val="en-US" w:eastAsia="zh-CN" w:bidi="ar-SA"/>
        </w:rPr>
        <w:t>问笔录，证明在安宁</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物流有限公司非法储存的危险化学品（柴油）用于</w:t>
      </w:r>
      <w:r>
        <w:rPr>
          <w:rFonts w:hint="eastAsia" w:ascii="仿宋_GB2312" w:hAnsi="仿宋" w:cs="仿宋"/>
          <w:b w:val="0"/>
          <w:bCs w:val="0"/>
          <w:color w:val="auto"/>
          <w:kern w:val="2"/>
          <w:sz w:val="24"/>
          <w:szCs w:val="24"/>
          <w:u w:val="single"/>
          <w:lang w:val="en-US" w:eastAsia="zh-CN" w:bidi="ar-SA"/>
        </w:rPr>
        <w:t>高**</w:t>
      </w:r>
      <w:r>
        <w:rPr>
          <w:rFonts w:hint="eastAsia" w:ascii="仿宋_GB2312" w:hAnsi="仿宋" w:eastAsia="仿宋_GB2312" w:cs="仿宋"/>
          <w:b w:val="0"/>
          <w:bCs w:val="0"/>
          <w:color w:val="auto"/>
          <w:kern w:val="2"/>
          <w:sz w:val="24"/>
          <w:szCs w:val="24"/>
          <w:u w:val="single"/>
          <w:lang w:val="en-US" w:eastAsia="zh-CN" w:bidi="ar-SA"/>
        </w:rPr>
        <w:t>雇佣的蔬菜运输车辆补油；证据三：勘验笔录、现场违法照片，证明租赁的草铺街道办事处安宁</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物流有限公司不属于危险化学品专用仓库（场地），现场未设置安全警示标志、无防火、灭火、防爆、防静电等安全设施，不符合危险化学品储存安全条件。</w:t>
      </w:r>
    </w:p>
    <w:p>
      <w:pPr>
        <w:keepNext w:val="0"/>
        <w:keepLines w:val="0"/>
        <w:pageBreakBefore w:val="0"/>
        <w:widowControl w:val="0"/>
        <w:tabs>
          <w:tab w:val="left" w:pos="2265"/>
        </w:tabs>
        <w:kinsoku/>
        <w:wordWrap/>
        <w:overflowPunct/>
        <w:topLinePunct w:val="0"/>
        <w:autoSpaceDE/>
        <w:autoSpaceDN/>
        <w:bidi w:val="0"/>
        <w:adjustRightInd/>
        <w:snapToGrid/>
        <w:spacing w:line="46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b w:val="0"/>
          <w:bCs w:val="0"/>
          <w:color w:val="auto"/>
          <w:kern w:val="2"/>
          <w:sz w:val="24"/>
          <w:szCs w:val="24"/>
          <w:u w:val="single"/>
          <w:lang w:val="en-US" w:eastAsia="zh-CN" w:bidi="ar-SA"/>
        </w:rPr>
        <w:t>《危险化学品安全管理条例》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危险化学品的储存方式、方法以及储存数量应当符合国家标准或者国家有关规定。”</w:t>
      </w:r>
      <w:r>
        <w:rPr>
          <w:rFonts w:hint="eastAsia" w:ascii="仿宋_GB2312" w:hAnsi="仿宋_GB2312" w:eastAsia="仿宋_GB2312" w:cs="仿宋_GB2312"/>
          <w:bCs/>
          <w:sz w:val="24"/>
          <w:szCs w:val="24"/>
          <w:u w:val="none"/>
          <w:lang w:val="en-US" w:eastAsia="zh-CN"/>
        </w:rPr>
        <w:t>的</w:t>
      </w:r>
      <w:r>
        <w:rPr>
          <w:rFonts w:hint="eastAsia" w:ascii="仿宋_GB2312" w:hAnsi="仿宋_GB2312" w:eastAsia="仿宋_GB2312" w:cs="仿宋_GB2312"/>
          <w:bCs/>
          <w:sz w:val="24"/>
          <w:szCs w:val="24"/>
          <w:lang w:val="en-US" w:eastAsia="zh-CN"/>
        </w:rPr>
        <w:t>规定。</w:t>
      </w:r>
      <w:r>
        <w:rPr>
          <w:rFonts w:hint="eastAsia" w:ascii="仿宋_GB2312" w:hAnsi="仿宋_GB2312" w:eastAsia="仿宋_GB2312" w:cs="仿宋_GB2312"/>
          <w:bCs/>
          <w:sz w:val="24"/>
          <w:szCs w:val="24"/>
          <w:u w:val="none"/>
          <w:lang w:val="en-US" w:eastAsia="zh-CN"/>
        </w:rPr>
        <w:t>依据</w:t>
      </w:r>
      <w:r>
        <w:rPr>
          <w:rFonts w:hint="eastAsia" w:ascii="仿宋_GB2312" w:hAnsi="仿宋" w:eastAsia="仿宋_GB2312" w:cs="仿宋"/>
          <w:b w:val="0"/>
          <w:bCs w:val="0"/>
          <w:color w:val="auto"/>
          <w:kern w:val="2"/>
          <w:sz w:val="24"/>
          <w:szCs w:val="24"/>
          <w:u w:val="single"/>
          <w:lang w:val="en-US" w:eastAsia="zh-CN" w:bidi="ar-SA"/>
        </w:rPr>
        <w:t>《危险化学品安全管理条例》第八十条第一款第四项：“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中华人民共和国行政处罚法》第三十三条第一款：“违法行为轻微并及时改正,没有造成危害后果的,不予行政处罚。初次违法且危害后果轻微并及时改正的, 可以不予行政处罚”、《应急管理行政处罚裁量权基准》第一部分 适用说明 第八条第一款第（三）项：“当事人有下列情形之一的，不予行政处罚：（三）违法行为轻微并及时改正，没有造成危害后果的；”、第八条第二款“初次违法且危害后果轻微并及时改正的，可以不予行政处罚。《基准》明确了《应急管理轻微违法行为可以不予行政处罚事项清单（试行）》，各地可结合实际依法研究制定本地区轻微违法行为依法不予（可以不予）行政处罚事项清单。清单中未列明的违法行为，符合《中华人民共和国行政处罚法》等法律法规规定的不予行政处罚、可以不予行政处罚条件的，依法作出不予行政处罚决定。依法不予行政处罚的，应急管理部门应当通过批评教育、约谈警示、指导服务、普法宣传等措施，教育、督促生产经营单位及其相关人员依法依规开展生产经营活动。”的相关规定，鉴于高**在停车场场地现场储存危险化学品数量较少，危害后果轻微，且属于首次违法行为，同时经教育后能够认识到错误，配合消除事故隐患的情形</w:t>
      </w:r>
      <w:r>
        <w:rPr>
          <w:rFonts w:hint="eastAsia" w:ascii="仿宋_GB2312" w:hAnsi="仿宋" w:eastAsia="仿宋_GB2312" w:cs="Calibri"/>
          <w:sz w:val="24"/>
          <w:szCs w:val="24"/>
        </w:rPr>
        <w:t>，决定</w:t>
      </w:r>
      <w:r>
        <w:rPr>
          <w:rFonts w:hint="eastAsia" w:ascii="仿宋_GB2312" w:hAnsi="仿宋" w:eastAsia="仿宋_GB2312" w:cs="Calibri"/>
          <w:sz w:val="24"/>
          <w:szCs w:val="24"/>
          <w:lang w:eastAsia="zh-CN"/>
        </w:rPr>
        <w:t>给予</w:t>
      </w:r>
      <w:r>
        <w:rPr>
          <w:rFonts w:hint="eastAsia" w:ascii="仿宋_GB2312" w:hAnsi="仿宋" w:eastAsia="仿宋_GB2312" w:cs="仿宋"/>
          <w:b w:val="0"/>
          <w:bCs w:val="0"/>
          <w:color w:val="auto"/>
          <w:kern w:val="2"/>
          <w:sz w:val="24"/>
          <w:szCs w:val="24"/>
          <w:u w:val="single"/>
          <w:lang w:val="en-US" w:eastAsia="zh-CN" w:bidi="ar-SA"/>
        </w:rPr>
        <w:t>高**不予行政处罚，并进行约谈警示。</w:t>
      </w:r>
      <w:r>
        <w:rPr>
          <w:rFonts w:hint="eastAsia" w:ascii="仿宋_GB2312" w:hAnsi="仿宋" w:eastAsia="仿宋_GB2312" w:cs="Calibri"/>
          <w:sz w:val="24"/>
          <w:szCs w:val="24"/>
        </w:rPr>
        <w:t xml:space="preserve"> </w:t>
      </w:r>
    </w:p>
    <w:p>
      <w:pPr>
        <w:keepNext w:val="0"/>
        <w:keepLines w:val="0"/>
        <w:pageBreakBefore w:val="0"/>
        <w:widowControl w:val="0"/>
        <w:tabs>
          <w:tab w:val="left" w:pos="2265"/>
        </w:tabs>
        <w:kinsoku/>
        <w:wordWrap/>
        <w:overflowPunct/>
        <w:topLinePunct w:val="0"/>
        <w:autoSpaceDE/>
        <w:autoSpaceDN/>
        <w:bidi w:val="0"/>
        <w:adjustRightInd/>
        <w:snapToGrid/>
        <w:spacing w:line="460" w:lineRule="exact"/>
        <w:ind w:firstLine="480" w:firstLineChars="200"/>
        <w:textAlignment w:val="auto"/>
        <w:rPr>
          <w:rFonts w:hint="eastAsia" w:ascii="仿宋_GB2312" w:hAnsi="仿宋" w:eastAsia="仿宋_GB2312" w:cs="Calibri"/>
          <w:sz w:val="24"/>
          <w:szCs w:val="24"/>
          <w:highlight w:val="none"/>
        </w:rPr>
      </w:pPr>
      <w:r>
        <w:rPr>
          <w:rFonts w:hint="eastAsia" w:ascii="仿宋_GB2312" w:hAnsi="仿宋" w:eastAsia="仿宋_GB2312" w:cs="Calibri"/>
          <w:sz w:val="24"/>
          <w:szCs w:val="24"/>
          <w:highlight w:val="none"/>
        </w:rPr>
        <w:t>如果你不服本决定，可以依法在60日内向</w:t>
      </w:r>
      <w:r>
        <w:rPr>
          <w:rFonts w:hint="eastAsia" w:ascii="仿宋_GB2312" w:hAnsi="仿宋" w:eastAsia="仿宋_GB2312" w:cs="Calibri"/>
          <w:color w:val="000000"/>
          <w:sz w:val="24"/>
          <w:szCs w:val="24"/>
          <w:highlight w:val="none"/>
        </w:rPr>
        <w:t xml:space="preserve"> </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sz w:val="24"/>
          <w:szCs w:val="24"/>
          <w:highlight w:val="none"/>
          <w:u w:val="single"/>
          <w:lang w:eastAsia="zh-CN"/>
        </w:rPr>
        <w:t>安宁市</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color w:val="000000"/>
          <w:sz w:val="24"/>
          <w:szCs w:val="24"/>
          <w:highlight w:val="none"/>
        </w:rPr>
        <w:t xml:space="preserve"> 人民政府</w:t>
      </w:r>
      <w:r>
        <w:rPr>
          <w:rFonts w:hint="eastAsia" w:ascii="仿宋_GB2312" w:hAnsi="仿宋" w:eastAsia="仿宋_GB2312" w:cs="Calibri"/>
          <w:sz w:val="24"/>
          <w:szCs w:val="24"/>
          <w:highlight w:val="none"/>
        </w:rPr>
        <w:t>申请行政复议，或者</w:t>
      </w:r>
      <w:r>
        <w:rPr>
          <w:rFonts w:hint="eastAsia" w:ascii="仿宋_GB2312" w:hAnsi="仿宋" w:eastAsia="仿宋_GB2312" w:cs="Calibri"/>
          <w:color w:val="000000"/>
          <w:sz w:val="24"/>
          <w:szCs w:val="24"/>
          <w:highlight w:val="none"/>
        </w:rPr>
        <w:t>在6个月内依法向</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sz w:val="24"/>
          <w:szCs w:val="24"/>
          <w:highlight w:val="none"/>
          <w:u w:val="single"/>
          <w:lang w:eastAsia="zh-CN"/>
        </w:rPr>
        <w:t>昆明铁路运输</w:t>
      </w:r>
      <w:r>
        <w:rPr>
          <w:rFonts w:hint="eastAsia" w:ascii="仿宋_GB2312" w:hAnsi="仿宋" w:eastAsia="仿宋_GB2312" w:cs="Calibri"/>
          <w:sz w:val="24"/>
          <w:szCs w:val="24"/>
          <w:highlight w:val="none"/>
          <w:u w:val="single"/>
        </w:rPr>
        <w:t xml:space="preserve"> </w:t>
      </w:r>
      <w:r>
        <w:rPr>
          <w:rFonts w:hint="eastAsia" w:ascii="仿宋_GB2312" w:hAnsi="仿宋" w:eastAsia="仿宋_GB2312" w:cs="Calibri"/>
          <w:sz w:val="24"/>
          <w:szCs w:val="24"/>
          <w:highlight w:val="none"/>
        </w:rPr>
        <w:t>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tabs>
          <w:tab w:val="left" w:pos="2265"/>
        </w:tabs>
        <w:kinsoku/>
        <w:wordWrap/>
        <w:overflowPunct/>
        <w:topLinePunct w:val="0"/>
        <w:autoSpaceDE/>
        <w:autoSpaceDN/>
        <w:bidi w:val="0"/>
        <w:adjustRightInd/>
        <w:snapToGrid/>
        <w:spacing w:line="460" w:lineRule="exact"/>
        <w:ind w:firstLine="480" w:firstLineChars="200"/>
        <w:textAlignment w:val="auto"/>
        <w:rPr>
          <w:rFonts w:hint="eastAsia" w:ascii="仿宋_GB2312" w:hAnsi="仿宋" w:eastAsia="仿宋_GB2312" w:cs="Calibri"/>
          <w:sz w:val="24"/>
          <w:szCs w:val="24"/>
        </w:rPr>
      </w:pPr>
    </w:p>
    <w:p>
      <w:pPr>
        <w:pStyle w:val="2"/>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pStyle w:val="2"/>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pStyle w:val="2"/>
        <w:rPr>
          <w:rFonts w:hint="eastAsia" w:ascii="仿宋_GB2312" w:hAnsi="仿宋" w:eastAsia="仿宋_GB2312" w:cs="Calibri"/>
          <w:sz w:val="24"/>
          <w:szCs w:val="24"/>
        </w:rPr>
      </w:pPr>
    </w:p>
    <w:p>
      <w:pPr>
        <w:pStyle w:val="2"/>
        <w:ind w:left="0" w:leftChars="0" w:firstLine="0" w:firstLineChars="0"/>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5520" w:firstLineChars="23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 w:eastAsia="仿宋_GB2312" w:cs="Calibri"/>
          <w:color w:val="auto"/>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8</w:t>
      </w:r>
      <w:r>
        <w:rPr>
          <w:rFonts w:hint="eastAsia" w:ascii="仿宋_GB2312" w:hAnsi="仿宋" w:eastAsia="仿宋_GB2312" w:cs="Calibri"/>
          <w:color w:val="auto"/>
          <w:sz w:val="24"/>
          <w:szCs w:val="24"/>
        </w:rPr>
        <w:t>月</w:t>
      </w:r>
      <w:r>
        <w:rPr>
          <w:rFonts w:hint="eastAsia" w:ascii="仿宋_GB2312" w:hAnsi="仿宋" w:eastAsia="仿宋_GB2312" w:cs="Calibri"/>
          <w:color w:val="auto"/>
          <w:sz w:val="24"/>
          <w:szCs w:val="24"/>
          <w:lang w:val="en-US" w:eastAsia="zh-CN"/>
        </w:rPr>
        <w:t>16</w:t>
      </w:r>
      <w:r>
        <w:rPr>
          <w:rFonts w:hint="eastAsia" w:ascii="仿宋_GB2312" w:hAnsi="仿宋" w:eastAsia="仿宋_GB2312" w:cs="Calibri"/>
          <w:color w:val="auto"/>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1312;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footerReference r:id="rId3" w:type="default"/>
      <w:pgSz w:w="11906" w:h="16838"/>
      <w:pgMar w:top="1922" w:right="1588" w:bottom="113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DNhNzI2M2UzNTJjYzZmYTViMmJhYmVlNWFjNTcifQ=="/>
  </w:docVars>
  <w:rsids>
    <w:rsidRoot w:val="00721F54"/>
    <w:rsid w:val="00323941"/>
    <w:rsid w:val="00721F54"/>
    <w:rsid w:val="008B5B7D"/>
    <w:rsid w:val="00A95CC8"/>
    <w:rsid w:val="01A2517A"/>
    <w:rsid w:val="069353E3"/>
    <w:rsid w:val="06E635A4"/>
    <w:rsid w:val="0B2844FC"/>
    <w:rsid w:val="0CA05EB7"/>
    <w:rsid w:val="0DB950F8"/>
    <w:rsid w:val="0E9110E1"/>
    <w:rsid w:val="0FBC2C18"/>
    <w:rsid w:val="10AF0AFC"/>
    <w:rsid w:val="124D2729"/>
    <w:rsid w:val="16AD3796"/>
    <w:rsid w:val="16F057DF"/>
    <w:rsid w:val="181E3044"/>
    <w:rsid w:val="1AE62470"/>
    <w:rsid w:val="1BCB52E7"/>
    <w:rsid w:val="1CD671F4"/>
    <w:rsid w:val="1F2117CA"/>
    <w:rsid w:val="206F4A96"/>
    <w:rsid w:val="20E11B2A"/>
    <w:rsid w:val="22853819"/>
    <w:rsid w:val="23427672"/>
    <w:rsid w:val="27AC5CEC"/>
    <w:rsid w:val="2BFD2298"/>
    <w:rsid w:val="2FF5E41C"/>
    <w:rsid w:val="2FFB6986"/>
    <w:rsid w:val="306F38C2"/>
    <w:rsid w:val="30791007"/>
    <w:rsid w:val="30CF6D59"/>
    <w:rsid w:val="33F20F2A"/>
    <w:rsid w:val="33FE3E49"/>
    <w:rsid w:val="361330F5"/>
    <w:rsid w:val="38F03FA3"/>
    <w:rsid w:val="3C694B17"/>
    <w:rsid w:val="3E684CCF"/>
    <w:rsid w:val="3FBB1411"/>
    <w:rsid w:val="3FFFEF80"/>
    <w:rsid w:val="417B3AF1"/>
    <w:rsid w:val="42857D1F"/>
    <w:rsid w:val="430E2742"/>
    <w:rsid w:val="45F40446"/>
    <w:rsid w:val="47C21209"/>
    <w:rsid w:val="4D4D1254"/>
    <w:rsid w:val="4D743966"/>
    <w:rsid w:val="4FBE01E7"/>
    <w:rsid w:val="51A0023B"/>
    <w:rsid w:val="51F66855"/>
    <w:rsid w:val="52D14331"/>
    <w:rsid w:val="552E40C0"/>
    <w:rsid w:val="55342CF9"/>
    <w:rsid w:val="5804000B"/>
    <w:rsid w:val="582C77D6"/>
    <w:rsid w:val="58FF69C3"/>
    <w:rsid w:val="5952350C"/>
    <w:rsid w:val="5A794B44"/>
    <w:rsid w:val="5A937B8D"/>
    <w:rsid w:val="5C022666"/>
    <w:rsid w:val="5C1C3B59"/>
    <w:rsid w:val="5D8B722E"/>
    <w:rsid w:val="5DFB71EC"/>
    <w:rsid w:val="5E9242BA"/>
    <w:rsid w:val="60D5364F"/>
    <w:rsid w:val="66CE1005"/>
    <w:rsid w:val="67513149"/>
    <w:rsid w:val="6776265C"/>
    <w:rsid w:val="68CF086E"/>
    <w:rsid w:val="68CF4966"/>
    <w:rsid w:val="6CB81676"/>
    <w:rsid w:val="6CBC6267"/>
    <w:rsid w:val="6F7E2E81"/>
    <w:rsid w:val="77176AA7"/>
    <w:rsid w:val="7A4B1DC7"/>
    <w:rsid w:val="7A4F68BC"/>
    <w:rsid w:val="7A6425E0"/>
    <w:rsid w:val="7D256C03"/>
    <w:rsid w:val="7DFF3641"/>
    <w:rsid w:val="7E1361CA"/>
    <w:rsid w:val="7EF650DA"/>
    <w:rsid w:val="7FF9DC32"/>
    <w:rsid w:val="E5EEE680"/>
    <w:rsid w:val="EFFAC683"/>
    <w:rsid w:val="F72E4CC3"/>
    <w:rsid w:val="FDEF4CAB"/>
    <w:rsid w:val="FDF5890D"/>
    <w:rsid w:val="FE711EEC"/>
    <w:rsid w:val="FF76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555555"/>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18">
    <w:name w:val="页眉 字符"/>
    <w:basedOn w:val="8"/>
    <w:link w:val="5"/>
    <w:qFormat/>
    <w:uiPriority w:val="0"/>
    <w:rPr>
      <w:rFonts w:ascii="Calibri" w:hAnsi="Calibri"/>
      <w:kern w:val="2"/>
      <w:sz w:val="18"/>
      <w:szCs w:val="18"/>
    </w:rPr>
  </w:style>
  <w:style w:type="character" w:customStyle="1" w:styleId="19">
    <w:name w:val="页脚 字符"/>
    <w:basedOn w:val="8"/>
    <w:link w:val="4"/>
    <w:qFormat/>
    <w:uiPriority w:val="0"/>
    <w:rPr>
      <w:rFonts w:ascii="Calibri" w:hAnsi="Calibri"/>
      <w:kern w:val="2"/>
      <w:sz w:val="18"/>
      <w:szCs w:val="18"/>
    </w:r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1034</Characters>
  <Lines>8</Lines>
  <Paragraphs>2</Paragraphs>
  <TotalTime>33</TotalTime>
  <ScaleCrop>false</ScaleCrop>
  <LinksUpToDate>false</LinksUpToDate>
  <CharactersWithSpaces>1213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cuiji</dc:creator>
  <cp:lastModifiedBy>kylin</cp:lastModifiedBy>
  <cp:lastPrinted>2022-01-03T01:18:00Z</cp:lastPrinted>
  <dcterms:modified xsi:type="dcterms:W3CDTF">2025-09-02T14:15:14Z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6B66E295B6E6C96E728BB668811993E5</vt:lpwstr>
  </property>
</Properties>
</file>