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60288;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执法</w:t>
      </w:r>
      <w:r>
        <w:rPr>
          <w:rFonts w:hint="eastAsia" w:ascii="仿宋_GB2312" w:hAnsi="仿宋" w:eastAsia="仿宋_GB2312" w:cs="Calibri"/>
          <w:sz w:val="24"/>
          <w:szCs w:val="24"/>
          <w:lang w:val="en-US" w:eastAsia="zh-CN"/>
        </w:rPr>
        <w:t>-5</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被处罚人：</w:t>
      </w:r>
      <w:r>
        <w:rPr>
          <w:rFonts w:hint="eastAsia" w:ascii="仿宋_GB2312" w:hAnsi="仿宋" w:eastAsia="仿宋_GB2312" w:cs="仿宋"/>
          <w:sz w:val="24"/>
          <w:szCs w:val="24"/>
          <w:u w:val="single"/>
          <w:lang w:val="en-US" w:eastAsia="zh-CN"/>
        </w:rPr>
        <w:t>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山东省——————————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联系电话：</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lang w:val="en-US" w:eastAsia="zh-CN"/>
        </w:rPr>
        <w:t xml:space="preserve">      /    </w:t>
      </w: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none"/>
          <w:lang w:val="en-US" w:eastAsia="zh-CN"/>
        </w:rPr>
        <w:t xml:space="preserve">  </w:t>
      </w:r>
      <w:r>
        <w:rPr>
          <w:rFonts w:hint="eastAsia" w:ascii="仿宋_GB2312" w:hAnsi="仿宋" w:eastAsia="仿宋_GB2312" w:cs="Calibri"/>
          <w:sz w:val="24"/>
          <w:szCs w:val="24"/>
        </w:rPr>
        <w:t>邮政编码：</w:t>
      </w:r>
      <w:r>
        <w:rPr>
          <w:rFonts w:hint="eastAsia" w:ascii="仿宋_GB2312" w:hAnsi="仿宋" w:eastAsia="仿宋_GB2312" w:cs="宋体"/>
          <w:color w:val="121212"/>
          <w:kern w:val="0"/>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仿宋"/>
          <w:sz w:val="24"/>
          <w:szCs w:val="24"/>
          <w:u w:val="single"/>
          <w:lang w:val="en-US" w:eastAsia="zh-CN"/>
        </w:rPr>
        <w:t xml:space="preserve">      /                           </w:t>
      </w:r>
    </w:p>
    <w:p>
      <w:pPr>
        <w:pStyle w:val="17"/>
        <w:keepNext w:val="0"/>
        <w:keepLines w:val="0"/>
        <w:pageBreakBefore w:val="0"/>
        <w:widowControl/>
        <w:numPr>
          <w:ilvl w:val="0"/>
          <w:numId w:val="0"/>
        </w:numPr>
        <w:kinsoku/>
        <w:wordWrap/>
        <w:overflowPunct/>
        <w:topLinePunct w:val="0"/>
        <w:autoSpaceDE/>
        <w:autoSpaceDN/>
        <w:bidi w:val="0"/>
        <w:adjustRightInd/>
        <w:snapToGrid/>
        <w:spacing w:after="0" w:line="460" w:lineRule="exact"/>
        <w:ind w:right="0" w:rightChars="0" w:firstLine="482" w:firstLineChars="200"/>
        <w:textAlignment w:val="auto"/>
        <w:rPr>
          <w:rFonts w:hint="eastAsia" w:ascii="仿宋_GB2312" w:hAnsi="仿宋" w:eastAsia="仿宋_GB2312" w:cs="仿宋"/>
          <w:b w:val="0"/>
          <w:bCs w:val="0"/>
          <w:color w:val="auto"/>
          <w:kern w:val="2"/>
          <w:sz w:val="24"/>
          <w:szCs w:val="24"/>
          <w:u w:val="single"/>
          <w:lang w:val="en-US" w:eastAsia="zh-CN" w:bidi="ar-SA"/>
        </w:rPr>
      </w:pPr>
      <w:r>
        <w:rPr>
          <w:rFonts w:hint="eastAsia" w:ascii="仿宋_GB2312" w:hAnsi="仿宋" w:eastAsia="仿宋_GB2312" w:cs="Calibri"/>
          <w:b/>
          <w:bCs/>
          <w:sz w:val="24"/>
          <w:szCs w:val="24"/>
        </w:rPr>
        <w:t>违法事实及证据</w:t>
      </w:r>
      <w:r>
        <w:rPr>
          <w:rFonts w:hint="eastAsia" w:ascii="仿宋_GB2312" w:hAnsi="仿宋" w:eastAsia="仿宋_GB2312" w:cs="Calibri"/>
          <w:sz w:val="24"/>
          <w:szCs w:val="24"/>
        </w:rPr>
        <w:t>：</w:t>
      </w:r>
      <w:r>
        <w:rPr>
          <w:rFonts w:hint="eastAsia" w:ascii="仿宋_GB2312" w:hAnsi="仿宋" w:cs="仿宋"/>
          <w:b w:val="0"/>
          <w:bCs w:val="0"/>
          <w:color w:val="auto"/>
          <w:kern w:val="2"/>
          <w:sz w:val="24"/>
          <w:szCs w:val="24"/>
          <w:u w:val="single"/>
          <w:lang w:val="en-US" w:eastAsia="zh-CN" w:bidi="ar-SA"/>
        </w:rPr>
        <w:t>梁**</w:t>
      </w:r>
      <w:r>
        <w:rPr>
          <w:rFonts w:hint="eastAsia" w:ascii="仿宋_GB2312" w:hAnsi="仿宋" w:eastAsia="仿宋_GB2312" w:cs="仿宋"/>
          <w:b w:val="0"/>
          <w:bCs w:val="0"/>
          <w:color w:val="auto"/>
          <w:kern w:val="2"/>
          <w:sz w:val="24"/>
          <w:szCs w:val="24"/>
          <w:u w:val="single"/>
          <w:lang w:val="en-US" w:eastAsia="zh-CN" w:bidi="ar-SA"/>
        </w:rPr>
        <w:t>储存危险化学品的场所不属于储存危险化学品的专用仓库、专用场地或者专用储存室，不具备相应安全条件，未按规定取得储存危险化学品相关许可资质，存在非法储存危险化学品的违法行为。</w:t>
      </w:r>
      <w:r>
        <w:rPr>
          <w:rFonts w:hint="eastAsia" w:ascii="仿宋_GB2312" w:hAnsi="仿宋" w:eastAsia="仿宋_GB2312" w:cs="仿宋"/>
          <w:b/>
          <w:bCs/>
          <w:sz w:val="24"/>
          <w:szCs w:val="24"/>
          <w:u w:val="single"/>
          <w:lang w:val="en-US" w:eastAsia="zh-CN"/>
        </w:rPr>
        <w:t>主要证据如下：</w:t>
      </w:r>
      <w:r>
        <w:rPr>
          <w:rFonts w:hint="eastAsia" w:ascii="仿宋_GB2312" w:hAnsi="仿宋" w:eastAsia="仿宋_GB2312" w:cs="仿宋"/>
          <w:b w:val="0"/>
          <w:bCs w:val="0"/>
          <w:color w:val="auto"/>
          <w:kern w:val="2"/>
          <w:sz w:val="24"/>
          <w:szCs w:val="24"/>
          <w:u w:val="single"/>
          <w:lang w:val="en-US" w:eastAsia="zh-CN" w:bidi="ar-SA"/>
        </w:rPr>
        <w:t>证据一：抽样取证凭证、鉴定委托书、检验报告，证明</w:t>
      </w:r>
      <w:r>
        <w:rPr>
          <w:rFonts w:hint="eastAsia" w:ascii="仿宋_GB2312" w:hAnsi="仿宋" w:cs="仿宋"/>
          <w:b w:val="0"/>
          <w:bCs w:val="0"/>
          <w:color w:val="auto"/>
          <w:kern w:val="2"/>
          <w:sz w:val="24"/>
          <w:szCs w:val="24"/>
          <w:u w:val="single"/>
          <w:lang w:val="en-US" w:eastAsia="zh-CN" w:bidi="ar-SA"/>
        </w:rPr>
        <w:t>梁**</w:t>
      </w:r>
      <w:r>
        <w:rPr>
          <w:rFonts w:hint="eastAsia" w:ascii="仿宋_GB2312" w:hAnsi="仿宋" w:eastAsia="仿宋_GB2312" w:cs="仿宋"/>
          <w:b w:val="0"/>
          <w:bCs w:val="0"/>
          <w:color w:val="auto"/>
          <w:kern w:val="2"/>
          <w:sz w:val="24"/>
          <w:szCs w:val="24"/>
          <w:u w:val="single"/>
          <w:lang w:val="en-US" w:eastAsia="zh-CN" w:bidi="ar-SA"/>
        </w:rPr>
        <w:t>在安宁市草铺街道办事处</w:t>
      </w:r>
      <w:r>
        <w:rPr>
          <w:rFonts w:hint="eastAsia" w:ascii="仿宋_GB2312" w:hAnsi="仿宋" w:cs="仿宋"/>
          <w:b w:val="0"/>
          <w:bCs w:val="0"/>
          <w:color w:val="auto"/>
          <w:kern w:val="2"/>
          <w:sz w:val="24"/>
          <w:szCs w:val="24"/>
          <w:u w:val="single"/>
          <w:lang w:val="en-US" w:eastAsia="zh-CN" w:bidi="ar-SA"/>
        </w:rPr>
        <w:t>安宁*物流有限公司</w:t>
      </w:r>
      <w:r>
        <w:rPr>
          <w:rFonts w:hint="eastAsia" w:ascii="仿宋_GB2312" w:hAnsi="仿宋" w:eastAsia="仿宋_GB2312" w:cs="仿宋"/>
          <w:b w:val="0"/>
          <w:bCs w:val="0"/>
          <w:color w:val="auto"/>
          <w:kern w:val="2"/>
          <w:sz w:val="24"/>
          <w:szCs w:val="24"/>
          <w:u w:val="single"/>
          <w:lang w:val="en-US" w:eastAsia="zh-CN" w:bidi="ar-SA"/>
        </w:rPr>
        <w:t>储存的物质为危险化学品（柴油）；证据二：王</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w:t>
      </w:r>
      <w:r>
        <w:rPr>
          <w:rFonts w:hint="eastAsia" w:ascii="仿宋_GB2312" w:hAnsi="仿宋" w:cs="仿宋"/>
          <w:b w:val="0"/>
          <w:bCs w:val="0"/>
          <w:color w:val="auto"/>
          <w:kern w:val="2"/>
          <w:sz w:val="24"/>
          <w:szCs w:val="24"/>
          <w:u w:val="single"/>
          <w:lang w:val="en-US" w:eastAsia="zh-CN" w:bidi="ar-SA"/>
        </w:rPr>
        <w:t>梁**</w:t>
      </w:r>
      <w:r>
        <w:rPr>
          <w:rFonts w:hint="eastAsia" w:ascii="仿宋_GB2312" w:hAnsi="仿宋" w:eastAsia="仿宋_GB2312" w:cs="仿宋"/>
          <w:b w:val="0"/>
          <w:bCs w:val="0"/>
          <w:color w:val="auto"/>
          <w:kern w:val="2"/>
          <w:sz w:val="24"/>
          <w:szCs w:val="24"/>
          <w:u w:val="single"/>
          <w:lang w:val="en-US" w:eastAsia="zh-CN" w:bidi="ar-SA"/>
        </w:rPr>
        <w:t>、高</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、唐</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调查</w:t>
      </w:r>
      <w:r>
        <w:rPr>
          <w:rFonts w:hint="eastAsia" w:ascii="仿宋_GB2312" w:hAnsi="仿宋" w:cs="仿宋"/>
          <w:b w:val="0"/>
          <w:bCs w:val="0"/>
          <w:color w:val="auto"/>
          <w:kern w:val="2"/>
          <w:sz w:val="24"/>
          <w:szCs w:val="24"/>
          <w:u w:val="single"/>
          <w:lang w:val="en-US" w:eastAsia="zh-CN" w:bidi="ar-SA"/>
        </w:rPr>
        <w:t>询</w:t>
      </w:r>
      <w:r>
        <w:rPr>
          <w:rFonts w:hint="eastAsia" w:ascii="仿宋_GB2312" w:hAnsi="仿宋" w:eastAsia="仿宋_GB2312" w:cs="仿宋"/>
          <w:b w:val="0"/>
          <w:bCs w:val="0"/>
          <w:color w:val="auto"/>
          <w:kern w:val="2"/>
          <w:sz w:val="24"/>
          <w:szCs w:val="24"/>
          <w:u w:val="single"/>
          <w:lang w:val="en-US" w:eastAsia="zh-CN" w:bidi="ar-SA"/>
        </w:rPr>
        <w:t>问笔录，证明</w:t>
      </w:r>
      <w:r>
        <w:rPr>
          <w:rFonts w:hint="eastAsia" w:ascii="仿宋_GB2312" w:hAnsi="仿宋" w:cs="仿宋"/>
          <w:b w:val="0"/>
          <w:bCs w:val="0"/>
          <w:color w:val="auto"/>
          <w:kern w:val="2"/>
          <w:sz w:val="24"/>
          <w:szCs w:val="24"/>
          <w:u w:val="single"/>
          <w:lang w:val="en-US" w:eastAsia="zh-CN" w:bidi="ar-SA"/>
        </w:rPr>
        <w:t>梁**</w:t>
      </w:r>
      <w:r>
        <w:rPr>
          <w:rFonts w:hint="eastAsia" w:ascii="仿宋_GB2312" w:hAnsi="仿宋" w:eastAsia="仿宋_GB2312" w:cs="仿宋"/>
          <w:b w:val="0"/>
          <w:bCs w:val="0"/>
          <w:color w:val="auto"/>
          <w:kern w:val="2"/>
          <w:sz w:val="24"/>
          <w:szCs w:val="24"/>
          <w:u w:val="single"/>
          <w:lang w:val="en-US" w:eastAsia="zh-CN" w:bidi="ar-SA"/>
        </w:rPr>
        <w:t>向</w:t>
      </w:r>
      <w:r>
        <w:rPr>
          <w:rFonts w:hint="eastAsia" w:ascii="仿宋_GB2312" w:hAnsi="仿宋" w:cs="仿宋"/>
          <w:b w:val="0"/>
          <w:bCs w:val="0"/>
          <w:color w:val="auto"/>
          <w:kern w:val="2"/>
          <w:sz w:val="24"/>
          <w:szCs w:val="24"/>
          <w:u w:val="single"/>
          <w:lang w:val="en-US" w:eastAsia="zh-CN" w:bidi="ar-SA"/>
        </w:rPr>
        <w:t>安宁*物流有限公司</w:t>
      </w:r>
      <w:r>
        <w:rPr>
          <w:rFonts w:hint="eastAsia" w:ascii="仿宋_GB2312" w:hAnsi="仿宋" w:eastAsia="仿宋_GB2312" w:cs="仿宋"/>
          <w:b w:val="0"/>
          <w:bCs w:val="0"/>
          <w:color w:val="auto"/>
          <w:kern w:val="2"/>
          <w:sz w:val="24"/>
          <w:szCs w:val="24"/>
          <w:u w:val="single"/>
          <w:lang w:val="en-US" w:eastAsia="zh-CN" w:bidi="ar-SA"/>
        </w:rPr>
        <w:t>口头约定租赁车位，并在场地上非法储存危险化学品（柴油）；证据三：勘验笔录、现场违法照片，证明</w:t>
      </w:r>
      <w:r>
        <w:rPr>
          <w:rFonts w:hint="eastAsia" w:ascii="仿宋_GB2312" w:hAnsi="仿宋" w:cs="仿宋"/>
          <w:b w:val="0"/>
          <w:bCs w:val="0"/>
          <w:color w:val="auto"/>
          <w:kern w:val="2"/>
          <w:sz w:val="24"/>
          <w:szCs w:val="24"/>
          <w:u w:val="single"/>
          <w:lang w:val="en-US" w:eastAsia="zh-CN" w:bidi="ar-SA"/>
        </w:rPr>
        <w:t>梁**</w:t>
      </w:r>
      <w:r>
        <w:rPr>
          <w:rFonts w:hint="eastAsia" w:ascii="仿宋_GB2312" w:hAnsi="仿宋" w:eastAsia="仿宋_GB2312" w:cs="仿宋"/>
          <w:b w:val="0"/>
          <w:bCs w:val="0"/>
          <w:color w:val="auto"/>
          <w:kern w:val="2"/>
          <w:sz w:val="24"/>
          <w:szCs w:val="24"/>
          <w:u w:val="single"/>
          <w:lang w:val="en-US" w:eastAsia="zh-CN" w:bidi="ar-SA"/>
        </w:rPr>
        <w:t>租赁的草铺街道办事处昆畹西路</w:t>
      </w:r>
      <w:r>
        <w:rPr>
          <w:rFonts w:hint="eastAsia" w:ascii="仿宋_GB2312" w:hAnsi="仿宋" w:cs="仿宋"/>
          <w:b w:val="0"/>
          <w:bCs w:val="0"/>
          <w:color w:val="auto"/>
          <w:kern w:val="2"/>
          <w:sz w:val="24"/>
          <w:szCs w:val="24"/>
          <w:u w:val="single"/>
          <w:lang w:val="en-US" w:eastAsia="zh-CN" w:bidi="ar-SA"/>
        </w:rPr>
        <w:t>安宁*物流有限公司</w:t>
      </w:r>
      <w:r>
        <w:rPr>
          <w:rFonts w:hint="eastAsia" w:ascii="仿宋_GB2312" w:hAnsi="仿宋" w:eastAsia="仿宋_GB2312" w:cs="仿宋"/>
          <w:b w:val="0"/>
          <w:bCs w:val="0"/>
          <w:color w:val="auto"/>
          <w:kern w:val="2"/>
          <w:sz w:val="24"/>
          <w:szCs w:val="24"/>
          <w:u w:val="single"/>
          <w:lang w:val="en-US" w:eastAsia="zh-CN" w:bidi="ar-SA"/>
        </w:rPr>
        <w:t>不属于危险化学品专用仓库（场地），现场未设置安全警示标志、无防火、灭火、防爆、防静电等安全设施，不符合危险化学品储存安全条件。</w:t>
      </w:r>
      <w:r>
        <w:rPr>
          <w:rFonts w:hint="eastAsia" w:ascii="仿宋_GB2312" w:hAnsi="仿宋" w:cs="仿宋"/>
          <w:b w:val="0"/>
          <w:bCs w:val="0"/>
          <w:color w:val="auto"/>
          <w:kern w:val="2"/>
          <w:sz w:val="24"/>
          <w:szCs w:val="24"/>
          <w:u w:val="none"/>
          <w:lang w:val="en-US" w:eastAsia="zh-CN" w:bidi="ar-SA"/>
        </w:rPr>
        <w:t xml:space="preserve">             </w:t>
      </w:r>
      <w:bookmarkStart w:id="0" w:name="_GoBack"/>
      <w:bookmarkEnd w:id="0"/>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b w:val="0"/>
          <w:bCs w:val="0"/>
          <w:color w:val="auto"/>
          <w:kern w:val="2"/>
          <w:sz w:val="24"/>
          <w:szCs w:val="24"/>
          <w:u w:val="single"/>
          <w:lang w:val="en-US" w:eastAsia="zh-CN" w:bidi="ar-SA"/>
        </w:rPr>
        <w:t>《危险化学品安全管理条例》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危险化学品的储存方式、方法以及储存数量应当符合国家标准或者国家有关规定。”</w:t>
      </w:r>
      <w:r>
        <w:rPr>
          <w:rFonts w:hint="eastAsia" w:ascii="仿宋_GB2312" w:hAnsi="仿宋_GB2312" w:eastAsia="仿宋_GB2312" w:cs="仿宋_GB2312"/>
          <w:bCs/>
          <w:sz w:val="24"/>
          <w:szCs w:val="24"/>
          <w:u w:val="none"/>
          <w:lang w:val="en-US" w:eastAsia="zh-CN"/>
        </w:rPr>
        <w:t>的</w:t>
      </w:r>
      <w:r>
        <w:rPr>
          <w:rFonts w:hint="eastAsia" w:ascii="仿宋_GB2312" w:hAnsi="仿宋_GB2312" w:eastAsia="仿宋_GB2312" w:cs="仿宋_GB2312"/>
          <w:bCs/>
          <w:sz w:val="24"/>
          <w:szCs w:val="24"/>
          <w:lang w:val="en-US" w:eastAsia="zh-CN"/>
        </w:rPr>
        <w:t>规定。</w:t>
      </w:r>
      <w:r>
        <w:rPr>
          <w:rFonts w:hint="eastAsia" w:ascii="仿宋_GB2312" w:hAnsi="仿宋_GB2312" w:eastAsia="仿宋_GB2312" w:cs="仿宋_GB2312"/>
          <w:bCs/>
          <w:sz w:val="24"/>
          <w:szCs w:val="24"/>
          <w:u w:val="none"/>
          <w:lang w:val="en-US" w:eastAsia="zh-CN"/>
        </w:rPr>
        <w:t>依据</w:t>
      </w:r>
      <w:r>
        <w:rPr>
          <w:rFonts w:hint="eastAsia" w:ascii="仿宋_GB2312" w:hAnsi="仿宋" w:eastAsia="仿宋_GB2312" w:cs="仿宋"/>
          <w:b w:val="0"/>
          <w:bCs w:val="0"/>
          <w:color w:val="auto"/>
          <w:kern w:val="2"/>
          <w:sz w:val="24"/>
          <w:szCs w:val="24"/>
          <w:u w:val="single"/>
          <w:lang w:val="en-US" w:eastAsia="zh-CN" w:bidi="ar-SA"/>
        </w:rPr>
        <w:t>《危险化学品安全管理条例》第八十条第一款第四项：“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中华人民共和国行政处罚法》第三十三条第一款：“违法行为轻微并及时改正,没有造成危害后果的,不予行政处罚。初次违法且危害后果轻微并及时改正的, 可以不予行政处罚”、《应急管理行政处罚裁量权基准》第一部分适用说明第八条第一款第（三）项：“当事人有下列情形之一的，不予行政处罚：（三）违法行为轻微并及时改正，没有造成危害后果的；”、第八条第二款：“初次违法且危害后果轻微并及时改正的，可以不予行政处罚。初次违法且危害后果轻微并及时改正的，可以不予行政处罚。《基准》明确了《应急管理轻微违法行为可以不予行政处罚事项清单（试行）》，各地可结合实际依法研究制定本地区轻微违法行为依法不予（可以不予）行政处罚事项清单。清单中未列明的违法行为，符合《中华人民共和国行政处罚法》等法律法规规定的不予行政处罚、可以不予行政处罚条件的，依法作出不予行政处罚决定。依法不予行政处罚的，应急管理部门应当通过批评教育、约谈警示、指导服务、普法宣传等措施，教育、督促生产经营单位及其相关人员依法依规开展生产经营活动。”的相关规定，鉴于梁**在停车场场地现场储存危险化学品数量较少，危害后果轻微，且属于首次违法行为，同时经教育后能够认识到错误，配合消除事故隐患的情形</w:t>
      </w:r>
      <w:r>
        <w:rPr>
          <w:rFonts w:hint="eastAsia" w:ascii="仿宋_GB2312" w:hAnsi="仿宋" w:eastAsia="仿宋_GB2312" w:cs="Calibri"/>
          <w:sz w:val="24"/>
          <w:szCs w:val="24"/>
        </w:rPr>
        <w:t>，决定</w:t>
      </w:r>
      <w:r>
        <w:rPr>
          <w:rFonts w:hint="eastAsia" w:ascii="仿宋_GB2312" w:hAnsi="仿宋" w:eastAsia="仿宋_GB2312" w:cs="Calibri"/>
          <w:sz w:val="24"/>
          <w:szCs w:val="24"/>
          <w:lang w:eastAsia="zh-CN"/>
        </w:rPr>
        <w:t>给予</w:t>
      </w:r>
      <w:r>
        <w:rPr>
          <w:rFonts w:hint="eastAsia" w:ascii="仿宋_GB2312" w:hAnsi="仿宋" w:eastAsia="仿宋_GB2312" w:cs="仿宋"/>
          <w:b w:val="0"/>
          <w:bCs w:val="0"/>
          <w:color w:val="auto"/>
          <w:kern w:val="2"/>
          <w:sz w:val="24"/>
          <w:szCs w:val="24"/>
          <w:u w:val="single"/>
          <w:lang w:val="en-US" w:eastAsia="zh-CN" w:bidi="ar-SA"/>
        </w:rPr>
        <w:t>梁**不予行政处罚，并进行约谈警示。</w:t>
      </w:r>
      <w:r>
        <w:rPr>
          <w:rFonts w:hint="eastAsia" w:ascii="仿宋_GB2312" w:hAnsi="仿宋" w:eastAsia="仿宋_GB2312" w:cs="Calibri"/>
          <w:sz w:val="24"/>
          <w:szCs w:val="24"/>
        </w:rPr>
        <w:t xml:space="preserve">  </w:t>
      </w:r>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 w:eastAsia="仿宋_GB2312" w:cs="Calibri"/>
          <w:sz w:val="24"/>
          <w:szCs w:val="24"/>
          <w:highlight w:val="none"/>
        </w:rPr>
      </w:pPr>
      <w:r>
        <w:rPr>
          <w:rFonts w:hint="eastAsia" w:ascii="仿宋_GB2312" w:hAnsi="仿宋" w:eastAsia="仿宋_GB2312" w:cs="Calibri"/>
          <w:sz w:val="24"/>
          <w:szCs w:val="24"/>
          <w:highlight w:val="none"/>
        </w:rPr>
        <w:t>如果你不服本决定，可以依法在60日内向</w:t>
      </w:r>
      <w:r>
        <w:rPr>
          <w:rFonts w:hint="eastAsia" w:ascii="仿宋_GB2312" w:hAnsi="仿宋" w:eastAsia="仿宋_GB2312" w:cs="Calibri"/>
          <w:color w:val="000000"/>
          <w:sz w:val="24"/>
          <w:szCs w:val="24"/>
          <w:highlight w:val="none"/>
        </w:rPr>
        <w:t xml:space="preserve"> </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sz w:val="24"/>
          <w:szCs w:val="24"/>
          <w:highlight w:val="none"/>
          <w:u w:val="single"/>
          <w:lang w:eastAsia="zh-CN"/>
        </w:rPr>
        <w:t>安宁市</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color w:val="000000"/>
          <w:sz w:val="24"/>
          <w:szCs w:val="24"/>
          <w:highlight w:val="none"/>
        </w:rPr>
        <w:t xml:space="preserve"> 人民政府</w:t>
      </w:r>
      <w:r>
        <w:rPr>
          <w:rFonts w:hint="eastAsia" w:ascii="仿宋_GB2312" w:hAnsi="仿宋" w:eastAsia="仿宋_GB2312" w:cs="Calibri"/>
          <w:sz w:val="24"/>
          <w:szCs w:val="24"/>
          <w:highlight w:val="none"/>
        </w:rPr>
        <w:t>申请行政复议，或者</w:t>
      </w:r>
      <w:r>
        <w:rPr>
          <w:rFonts w:hint="eastAsia" w:ascii="仿宋_GB2312" w:hAnsi="仿宋" w:eastAsia="仿宋_GB2312" w:cs="Calibri"/>
          <w:color w:val="000000"/>
          <w:sz w:val="24"/>
          <w:szCs w:val="24"/>
          <w:highlight w:val="none"/>
        </w:rPr>
        <w:t>在6个月内依法向</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sz w:val="24"/>
          <w:szCs w:val="24"/>
          <w:highlight w:val="none"/>
          <w:u w:val="single"/>
          <w:lang w:eastAsia="zh-CN"/>
        </w:rPr>
        <w:t>昆明铁路运输</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sz w:val="24"/>
          <w:szCs w:val="24"/>
          <w:highlight w:val="none"/>
        </w:rPr>
        <w:t>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 w:eastAsia="仿宋_GB2312" w:cs="Calibri"/>
          <w:sz w:val="24"/>
          <w:szCs w:val="24"/>
        </w:rPr>
      </w:pP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5520" w:firstLineChars="23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 w:eastAsia="仿宋_GB2312" w:cs="Calibri"/>
          <w:color w:val="auto"/>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8</w:t>
      </w:r>
      <w:r>
        <w:rPr>
          <w:rFonts w:hint="eastAsia" w:ascii="仿宋_GB2312" w:hAnsi="仿宋" w:eastAsia="仿宋_GB2312" w:cs="Calibri"/>
          <w:color w:val="auto"/>
          <w:sz w:val="24"/>
          <w:szCs w:val="24"/>
        </w:rPr>
        <w:t>月</w:t>
      </w:r>
      <w:r>
        <w:rPr>
          <w:rFonts w:hint="eastAsia" w:ascii="仿宋_GB2312" w:hAnsi="仿宋" w:eastAsia="仿宋_GB2312" w:cs="Calibri"/>
          <w:color w:val="auto"/>
          <w:sz w:val="24"/>
          <w:szCs w:val="24"/>
          <w:lang w:val="en-US" w:eastAsia="zh-CN"/>
        </w:rPr>
        <w:t>16</w:t>
      </w:r>
      <w:r>
        <w:rPr>
          <w:rFonts w:hint="eastAsia" w:ascii="仿宋_GB2312" w:hAnsi="仿宋" w:eastAsia="仿宋_GB2312" w:cs="Calibri"/>
          <w:color w:val="auto"/>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1312;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footerReference r:id="rId3" w:type="default"/>
      <w:pgSz w:w="11906" w:h="16838"/>
      <w:pgMar w:top="1922" w:right="1588" w:bottom="113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DNhNzI2M2UzNTJjYzZmYTViMmJhYmVlNWFjNTcifQ=="/>
  </w:docVars>
  <w:rsids>
    <w:rsidRoot w:val="00721F54"/>
    <w:rsid w:val="00323941"/>
    <w:rsid w:val="00721F54"/>
    <w:rsid w:val="008B5B7D"/>
    <w:rsid w:val="00A95CC8"/>
    <w:rsid w:val="01A2517A"/>
    <w:rsid w:val="069353E3"/>
    <w:rsid w:val="06E635A4"/>
    <w:rsid w:val="0B2844FC"/>
    <w:rsid w:val="0CA05EB7"/>
    <w:rsid w:val="0DB950F8"/>
    <w:rsid w:val="0E9110E1"/>
    <w:rsid w:val="0FBC2C18"/>
    <w:rsid w:val="10AF0AFC"/>
    <w:rsid w:val="124D2729"/>
    <w:rsid w:val="16AD3796"/>
    <w:rsid w:val="16F057DF"/>
    <w:rsid w:val="181E3044"/>
    <w:rsid w:val="1AE62470"/>
    <w:rsid w:val="1BCB52E7"/>
    <w:rsid w:val="1CD671F4"/>
    <w:rsid w:val="1D8F056D"/>
    <w:rsid w:val="1F2117CA"/>
    <w:rsid w:val="206F4A96"/>
    <w:rsid w:val="20E11B2A"/>
    <w:rsid w:val="22853819"/>
    <w:rsid w:val="23427672"/>
    <w:rsid w:val="27AC5CEC"/>
    <w:rsid w:val="2BFD2298"/>
    <w:rsid w:val="306F38C2"/>
    <w:rsid w:val="30791007"/>
    <w:rsid w:val="30CF6D59"/>
    <w:rsid w:val="33F20F2A"/>
    <w:rsid w:val="33FE3E49"/>
    <w:rsid w:val="361330F5"/>
    <w:rsid w:val="38F03FA3"/>
    <w:rsid w:val="3C694B17"/>
    <w:rsid w:val="3E684CCF"/>
    <w:rsid w:val="3E7F23B7"/>
    <w:rsid w:val="3EFEBADA"/>
    <w:rsid w:val="417B3AF1"/>
    <w:rsid w:val="42857D1F"/>
    <w:rsid w:val="430E2742"/>
    <w:rsid w:val="45F40446"/>
    <w:rsid w:val="47C21209"/>
    <w:rsid w:val="47FD3DD7"/>
    <w:rsid w:val="4D4D1254"/>
    <w:rsid w:val="4D743966"/>
    <w:rsid w:val="4FBE01E7"/>
    <w:rsid w:val="51A0023B"/>
    <w:rsid w:val="51F66855"/>
    <w:rsid w:val="52D14331"/>
    <w:rsid w:val="552E40C0"/>
    <w:rsid w:val="55342CF9"/>
    <w:rsid w:val="5804000B"/>
    <w:rsid w:val="582C77D6"/>
    <w:rsid w:val="58FF69C3"/>
    <w:rsid w:val="5952350C"/>
    <w:rsid w:val="5A794B44"/>
    <w:rsid w:val="5A937B8D"/>
    <w:rsid w:val="5C022666"/>
    <w:rsid w:val="5C1C3B59"/>
    <w:rsid w:val="5D8B722E"/>
    <w:rsid w:val="5DFB71EC"/>
    <w:rsid w:val="5E9242BA"/>
    <w:rsid w:val="60D5364F"/>
    <w:rsid w:val="64DF9771"/>
    <w:rsid w:val="66CE1005"/>
    <w:rsid w:val="67513149"/>
    <w:rsid w:val="6776265C"/>
    <w:rsid w:val="68CF086E"/>
    <w:rsid w:val="68CF4966"/>
    <w:rsid w:val="6CB81676"/>
    <w:rsid w:val="6CBC6267"/>
    <w:rsid w:val="6FB111E8"/>
    <w:rsid w:val="73929832"/>
    <w:rsid w:val="77176AA7"/>
    <w:rsid w:val="7A4B1DC7"/>
    <w:rsid w:val="7A4F68BC"/>
    <w:rsid w:val="7A6425E0"/>
    <w:rsid w:val="7DFF3641"/>
    <w:rsid w:val="7E1361CA"/>
    <w:rsid w:val="7E79FECD"/>
    <w:rsid w:val="7EF650DA"/>
    <w:rsid w:val="97F50E59"/>
    <w:rsid w:val="BFB3457D"/>
    <w:rsid w:val="DEEE5A41"/>
    <w:rsid w:val="DF76FCD0"/>
    <w:rsid w:val="E37D3ED1"/>
    <w:rsid w:val="EEBEFDF7"/>
    <w:rsid w:val="F4F77173"/>
    <w:rsid w:val="F72E4CC3"/>
    <w:rsid w:val="FBBF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555555"/>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18">
    <w:name w:val="页眉 字符"/>
    <w:basedOn w:val="8"/>
    <w:link w:val="5"/>
    <w:qFormat/>
    <w:uiPriority w:val="0"/>
    <w:rPr>
      <w:rFonts w:ascii="Calibri" w:hAnsi="Calibri"/>
      <w:kern w:val="2"/>
      <w:sz w:val="18"/>
      <w:szCs w:val="18"/>
    </w:rPr>
  </w:style>
  <w:style w:type="character" w:customStyle="1" w:styleId="19">
    <w:name w:val="页脚 字符"/>
    <w:basedOn w:val="8"/>
    <w:link w:val="4"/>
    <w:qFormat/>
    <w:uiPriority w:val="0"/>
    <w:rPr>
      <w:rFonts w:ascii="Calibri" w:hAnsi="Calibri"/>
      <w:kern w:val="2"/>
      <w:sz w:val="18"/>
      <w:szCs w:val="18"/>
    </w:r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1034</Characters>
  <Lines>8</Lines>
  <Paragraphs>2</Paragraphs>
  <TotalTime>31</TotalTime>
  <ScaleCrop>false</ScaleCrop>
  <LinksUpToDate>false</LinksUpToDate>
  <CharactersWithSpaces>1213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cuiji</dc:creator>
  <cp:lastModifiedBy>ht706</cp:lastModifiedBy>
  <cp:lastPrinted>2022-01-04T01:18:00Z</cp:lastPrinted>
  <dcterms:modified xsi:type="dcterms:W3CDTF">2025-09-08T09:31:13Z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F9F56DB0D9D44E823A8BB6689F75AD00</vt:lpwstr>
  </property>
</Properties>
</file>