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bookmarkStart w:id="0" w:name="_GoBack"/>
      <w:bookmarkEnd w:id="0"/>
      <w:r>
        <w:rPr>
          <w:rFonts w:hint="eastAsia" w:ascii="华文中宋" w:hAnsi="华文中宋" w:eastAsia="华文中宋" w:cs="黑体"/>
          <w:b/>
          <w:sz w:val="44"/>
          <w:szCs w:val="44"/>
        </w:rPr>
        <w:t>安全生产行政执法文书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60288;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执法</w:t>
      </w:r>
      <w:r>
        <w:rPr>
          <w:rFonts w:hint="eastAsia" w:ascii="仿宋_GB2312" w:hAnsi="仿宋" w:eastAsia="仿宋_GB2312" w:cs="Calibri"/>
          <w:sz w:val="24"/>
          <w:szCs w:val="24"/>
          <w:lang w:val="en-US" w:eastAsia="zh-CN"/>
        </w:rPr>
        <w:t>-7</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被处罚人：</w:t>
      </w:r>
      <w:r>
        <w:rPr>
          <w:rFonts w:hint="eastAsia" w:ascii="仿宋_GB2312" w:hAnsi="仿宋" w:eastAsia="仿宋_GB2312" w:cs="仿宋"/>
          <w:sz w:val="24"/>
          <w:szCs w:val="24"/>
          <w:u w:val="single"/>
          <w:lang w:val="en-US" w:eastAsia="zh-CN"/>
        </w:rPr>
        <w:t>唐**</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云南省昭通市———————</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安宁</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lang w:eastAsia="zh-CN"/>
        </w:rPr>
        <w:t>物流有限公司</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eastAsia="zh-CN"/>
        </w:rPr>
        <w:t>总经理</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eastAsia="zh-CN"/>
        </w:rPr>
        <w:t>云南省昆明市安宁市——————————</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none"/>
          <w:lang w:val="en-US" w:eastAsia="zh-CN"/>
        </w:rPr>
        <w:t xml:space="preserve">  </w:t>
      </w:r>
      <w:r>
        <w:rPr>
          <w:rFonts w:hint="eastAsia" w:ascii="仿宋_GB2312" w:hAnsi="仿宋" w:eastAsia="仿宋_GB2312" w:cs="Calibri"/>
          <w:sz w:val="24"/>
          <w:szCs w:val="24"/>
        </w:rPr>
        <w:t>邮政编码：</w:t>
      </w:r>
      <w:r>
        <w:rPr>
          <w:rFonts w:hint="eastAsia" w:ascii="仿宋_GB2312" w:hAnsi="仿宋" w:eastAsia="仿宋_GB2312" w:cs="宋体"/>
          <w:color w:val="121212"/>
          <w:kern w:val="0"/>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仿宋"/>
          <w:sz w:val="24"/>
          <w:szCs w:val="24"/>
          <w:u w:val="single"/>
          <w:lang w:val="en-US" w:eastAsia="zh-CN"/>
        </w:rPr>
        <w:t xml:space="preserve">     /                             </w:t>
      </w:r>
    </w:p>
    <w:p>
      <w:pPr>
        <w:pStyle w:val="17"/>
        <w:keepNext w:val="0"/>
        <w:keepLines w:val="0"/>
        <w:pageBreakBefore w:val="0"/>
        <w:widowControl/>
        <w:numPr>
          <w:ilvl w:val="0"/>
          <w:numId w:val="0"/>
        </w:numPr>
        <w:kinsoku/>
        <w:wordWrap/>
        <w:overflowPunct/>
        <w:topLinePunct w:val="0"/>
        <w:autoSpaceDE/>
        <w:autoSpaceDN/>
        <w:bidi w:val="0"/>
        <w:adjustRightInd/>
        <w:snapToGrid/>
        <w:spacing w:after="0" w:line="460" w:lineRule="exact"/>
        <w:ind w:right="0" w:rightChars="0" w:firstLine="482" w:firstLineChars="200"/>
        <w:textAlignment w:val="auto"/>
        <w:rPr>
          <w:rFonts w:hint="eastAsia" w:ascii="仿宋_GB2312" w:hAnsi="仿宋" w:eastAsia="仿宋_GB2312" w:cs="仿宋"/>
          <w:b w:val="0"/>
          <w:bCs w:val="0"/>
          <w:color w:val="auto"/>
          <w:kern w:val="2"/>
          <w:sz w:val="24"/>
          <w:szCs w:val="24"/>
          <w:u w:val="single"/>
          <w:lang w:val="en-US" w:eastAsia="zh-CN" w:bidi="ar-SA"/>
        </w:rPr>
      </w:pPr>
      <w:r>
        <w:rPr>
          <w:rFonts w:hint="eastAsia" w:ascii="仿宋_GB2312" w:hAnsi="仿宋" w:eastAsia="仿宋_GB2312" w:cs="Calibri"/>
          <w:b/>
          <w:bCs/>
          <w:sz w:val="24"/>
          <w:szCs w:val="24"/>
        </w:rPr>
        <w:t>违法事实及证据</w:t>
      </w:r>
      <w:r>
        <w:rPr>
          <w:rFonts w:hint="eastAsia" w:ascii="仿宋_GB2312" w:hAnsi="仿宋" w:eastAsia="仿宋_GB2312" w:cs="Calibri"/>
          <w:sz w:val="24"/>
          <w:szCs w:val="24"/>
        </w:rPr>
        <w:t>：</w:t>
      </w:r>
      <w:r>
        <w:rPr>
          <w:rFonts w:hint="eastAsia" w:ascii="仿宋_GB2312" w:hAnsi="仿宋" w:cs="Calibri"/>
          <w:b w:val="0"/>
          <w:bCs/>
          <w:sz w:val="24"/>
          <w:szCs w:val="24"/>
          <w:u w:val="single"/>
          <w:lang w:eastAsia="zh-CN"/>
        </w:rPr>
        <w:t>唐**</w:t>
      </w:r>
      <w:r>
        <w:rPr>
          <w:rFonts w:hint="eastAsia" w:ascii="仿宋_GB2312" w:hAnsi="仿宋" w:cs="仿宋"/>
          <w:b w:val="0"/>
          <w:bCs w:val="0"/>
          <w:color w:val="auto"/>
          <w:kern w:val="2"/>
          <w:sz w:val="24"/>
          <w:szCs w:val="24"/>
          <w:u w:val="single"/>
          <w:lang w:val="en-US" w:eastAsia="zh-CN" w:bidi="ar-SA"/>
        </w:rPr>
        <w:t>作为安宁**物流有限公司安全生产第一责任人存在未督促公司对出租场地尽到安全生产工作统一协调、管理的职责，未定期进行安全检查，及时发现安全问题</w:t>
      </w:r>
      <w:r>
        <w:rPr>
          <w:rFonts w:hint="eastAsia" w:ascii="仿宋_GB2312" w:hAnsi="仿宋" w:eastAsia="仿宋_GB2312" w:cs="仿宋"/>
          <w:b w:val="0"/>
          <w:bCs w:val="0"/>
          <w:color w:val="auto"/>
          <w:kern w:val="2"/>
          <w:sz w:val="24"/>
          <w:szCs w:val="24"/>
          <w:u w:val="single"/>
          <w:lang w:val="en-US" w:eastAsia="zh-CN" w:bidi="ar-SA"/>
        </w:rPr>
        <w:t>的违法行为。</w:t>
      </w:r>
      <w:r>
        <w:rPr>
          <w:rFonts w:hint="eastAsia" w:ascii="仿宋_GB2312" w:hAnsi="仿宋" w:eastAsia="仿宋_GB2312" w:cs="仿宋"/>
          <w:b/>
          <w:bCs/>
          <w:sz w:val="24"/>
          <w:szCs w:val="24"/>
          <w:u w:val="single"/>
          <w:lang w:val="en-US" w:eastAsia="zh-CN"/>
        </w:rPr>
        <w:t>主要证据如下：</w:t>
      </w:r>
      <w:r>
        <w:rPr>
          <w:rFonts w:hint="eastAsia" w:ascii="仿宋_GB2312" w:hAnsi="仿宋" w:eastAsia="仿宋_GB2312" w:cs="仿宋"/>
          <w:b w:val="0"/>
          <w:bCs w:val="0"/>
          <w:color w:val="auto"/>
          <w:kern w:val="2"/>
          <w:sz w:val="24"/>
          <w:szCs w:val="24"/>
          <w:u w:val="single"/>
          <w:lang w:val="en-US" w:eastAsia="zh-CN" w:bidi="ar-SA"/>
        </w:rPr>
        <w:t>证据一：抽样取证凭证、鉴定委托书、检验报告，证明</w:t>
      </w:r>
      <w:r>
        <w:rPr>
          <w:rFonts w:hint="eastAsia" w:ascii="仿宋_GB2312" w:hAnsi="仿宋" w:cs="仿宋"/>
          <w:b w:val="0"/>
          <w:bCs w:val="0"/>
          <w:color w:val="auto"/>
          <w:kern w:val="2"/>
          <w:sz w:val="24"/>
          <w:szCs w:val="24"/>
          <w:u w:val="single"/>
          <w:lang w:val="en-US" w:eastAsia="zh-CN" w:bidi="ar-SA"/>
        </w:rPr>
        <w:t>高**</w:t>
      </w:r>
      <w:r>
        <w:rPr>
          <w:rFonts w:hint="eastAsia" w:ascii="仿宋_GB2312" w:hAnsi="仿宋" w:eastAsia="仿宋_GB2312" w:cs="仿宋"/>
          <w:b w:val="0"/>
          <w:bCs w:val="0"/>
          <w:color w:val="auto"/>
          <w:kern w:val="2"/>
          <w:sz w:val="24"/>
          <w:szCs w:val="24"/>
          <w:u w:val="single"/>
          <w:lang w:val="en-US" w:eastAsia="zh-CN" w:bidi="ar-SA"/>
        </w:rPr>
        <w:t>、</w:t>
      </w:r>
      <w:r>
        <w:rPr>
          <w:rFonts w:hint="eastAsia" w:ascii="仿宋_GB2312" w:hAnsi="仿宋" w:cs="仿宋"/>
          <w:b w:val="0"/>
          <w:bCs w:val="0"/>
          <w:color w:val="auto"/>
          <w:kern w:val="2"/>
          <w:sz w:val="24"/>
          <w:szCs w:val="24"/>
          <w:u w:val="single"/>
          <w:lang w:val="en-US" w:eastAsia="zh-CN" w:bidi="ar-SA"/>
        </w:rPr>
        <w:t>梁**</w:t>
      </w:r>
      <w:r>
        <w:rPr>
          <w:rFonts w:hint="eastAsia" w:ascii="仿宋_GB2312" w:hAnsi="仿宋" w:eastAsia="仿宋_GB2312" w:cs="仿宋"/>
          <w:b w:val="0"/>
          <w:bCs w:val="0"/>
          <w:color w:val="auto"/>
          <w:kern w:val="2"/>
          <w:sz w:val="24"/>
          <w:szCs w:val="24"/>
          <w:u w:val="single"/>
          <w:lang w:val="en-US" w:eastAsia="zh-CN" w:bidi="ar-SA"/>
        </w:rPr>
        <w:t>在向你公司承租的场地储存的物质为危险化学品（柴油）；证据二：</w:t>
      </w:r>
      <w:r>
        <w:rPr>
          <w:rFonts w:hint="eastAsia" w:ascii="仿宋_GB2312" w:hAnsi="仿宋" w:cs="仿宋"/>
          <w:b w:val="0"/>
          <w:bCs w:val="0"/>
          <w:color w:val="auto"/>
          <w:kern w:val="2"/>
          <w:sz w:val="24"/>
          <w:szCs w:val="24"/>
          <w:u w:val="single"/>
          <w:lang w:val="en-US" w:eastAsia="zh-CN" w:bidi="ar-SA"/>
        </w:rPr>
        <w:t>王**</w:t>
      </w:r>
      <w:r>
        <w:rPr>
          <w:rFonts w:hint="eastAsia" w:ascii="仿宋_GB2312" w:hAnsi="仿宋" w:eastAsia="仿宋_GB2312" w:cs="仿宋"/>
          <w:b w:val="0"/>
          <w:bCs w:val="0"/>
          <w:color w:val="auto"/>
          <w:kern w:val="2"/>
          <w:sz w:val="24"/>
          <w:szCs w:val="24"/>
          <w:u w:val="single"/>
          <w:lang w:val="en-US" w:eastAsia="zh-CN" w:bidi="ar-SA"/>
        </w:rPr>
        <w:t>、</w:t>
      </w:r>
      <w:r>
        <w:rPr>
          <w:rFonts w:hint="eastAsia" w:ascii="仿宋_GB2312" w:hAnsi="仿宋" w:cs="仿宋"/>
          <w:b w:val="0"/>
          <w:bCs w:val="0"/>
          <w:color w:val="auto"/>
          <w:kern w:val="2"/>
          <w:sz w:val="24"/>
          <w:szCs w:val="24"/>
          <w:u w:val="single"/>
          <w:lang w:val="en-US" w:eastAsia="zh-CN" w:bidi="ar-SA"/>
        </w:rPr>
        <w:t>梁**</w:t>
      </w:r>
      <w:r>
        <w:rPr>
          <w:rFonts w:hint="eastAsia" w:ascii="仿宋_GB2312" w:hAnsi="仿宋" w:eastAsia="仿宋_GB2312" w:cs="仿宋"/>
          <w:b w:val="0"/>
          <w:bCs w:val="0"/>
          <w:color w:val="auto"/>
          <w:kern w:val="2"/>
          <w:sz w:val="24"/>
          <w:szCs w:val="24"/>
          <w:u w:val="single"/>
          <w:lang w:val="en-US" w:eastAsia="zh-CN" w:bidi="ar-SA"/>
        </w:rPr>
        <w:t>、</w:t>
      </w:r>
      <w:r>
        <w:rPr>
          <w:rFonts w:hint="eastAsia" w:ascii="仿宋_GB2312" w:hAnsi="仿宋" w:cs="仿宋"/>
          <w:b w:val="0"/>
          <w:bCs w:val="0"/>
          <w:color w:val="auto"/>
          <w:kern w:val="2"/>
          <w:sz w:val="24"/>
          <w:szCs w:val="24"/>
          <w:u w:val="single"/>
          <w:lang w:val="en-US" w:eastAsia="zh-CN" w:bidi="ar-SA"/>
        </w:rPr>
        <w:t>高**</w:t>
      </w:r>
      <w:r>
        <w:rPr>
          <w:rFonts w:hint="eastAsia" w:ascii="仿宋_GB2312" w:hAnsi="仿宋" w:eastAsia="仿宋_GB2312" w:cs="仿宋"/>
          <w:b w:val="0"/>
          <w:bCs w:val="0"/>
          <w:color w:val="auto"/>
          <w:kern w:val="2"/>
          <w:sz w:val="24"/>
          <w:szCs w:val="24"/>
          <w:u w:val="single"/>
          <w:lang w:val="en-US" w:eastAsia="zh-CN" w:bidi="ar-SA"/>
        </w:rPr>
        <w:t>、</w:t>
      </w:r>
      <w:r>
        <w:rPr>
          <w:rFonts w:hint="eastAsia" w:ascii="仿宋_GB2312" w:hAnsi="仿宋" w:cs="仿宋"/>
          <w:b w:val="0"/>
          <w:bCs w:val="0"/>
          <w:color w:val="auto"/>
          <w:kern w:val="2"/>
          <w:sz w:val="24"/>
          <w:szCs w:val="24"/>
          <w:u w:val="single"/>
          <w:lang w:val="en-US" w:eastAsia="zh-CN" w:bidi="ar-SA"/>
        </w:rPr>
        <w:t>唐**</w:t>
      </w:r>
      <w:r>
        <w:rPr>
          <w:rFonts w:hint="eastAsia" w:ascii="仿宋_GB2312" w:hAnsi="仿宋" w:eastAsia="仿宋_GB2312" w:cs="仿宋"/>
          <w:b w:val="0"/>
          <w:bCs w:val="0"/>
          <w:color w:val="auto"/>
          <w:kern w:val="2"/>
          <w:sz w:val="24"/>
          <w:szCs w:val="24"/>
          <w:u w:val="single"/>
          <w:lang w:val="en-US" w:eastAsia="zh-CN" w:bidi="ar-SA"/>
        </w:rPr>
        <w:t>调查</w:t>
      </w:r>
      <w:r>
        <w:rPr>
          <w:rFonts w:hint="eastAsia" w:ascii="仿宋_GB2312" w:hAnsi="仿宋" w:cs="仿宋"/>
          <w:b w:val="0"/>
          <w:bCs w:val="0"/>
          <w:color w:val="auto"/>
          <w:kern w:val="2"/>
          <w:sz w:val="24"/>
          <w:szCs w:val="24"/>
          <w:u w:val="single"/>
          <w:lang w:val="en-US" w:eastAsia="zh-CN" w:bidi="ar-SA"/>
        </w:rPr>
        <w:t>询</w:t>
      </w:r>
      <w:r>
        <w:rPr>
          <w:rFonts w:hint="eastAsia" w:ascii="仿宋_GB2312" w:hAnsi="仿宋" w:eastAsia="仿宋_GB2312" w:cs="仿宋"/>
          <w:b w:val="0"/>
          <w:bCs w:val="0"/>
          <w:color w:val="auto"/>
          <w:kern w:val="2"/>
          <w:sz w:val="24"/>
          <w:szCs w:val="24"/>
          <w:u w:val="single"/>
          <w:lang w:val="en-US" w:eastAsia="zh-CN" w:bidi="ar-SA"/>
        </w:rPr>
        <w:t>问笔录，证明</w:t>
      </w:r>
      <w:r>
        <w:rPr>
          <w:rFonts w:hint="eastAsia" w:ascii="仿宋_GB2312" w:hAnsi="仿宋" w:cs="仿宋"/>
          <w:b w:val="0"/>
          <w:bCs w:val="0"/>
          <w:color w:val="auto"/>
          <w:kern w:val="2"/>
          <w:sz w:val="24"/>
          <w:szCs w:val="24"/>
          <w:u w:val="single"/>
          <w:lang w:val="en-US" w:eastAsia="zh-CN" w:bidi="ar-SA"/>
        </w:rPr>
        <w:t>梁**</w:t>
      </w:r>
      <w:r>
        <w:rPr>
          <w:rFonts w:hint="eastAsia" w:ascii="仿宋_GB2312" w:hAnsi="仿宋" w:eastAsia="仿宋_GB2312" w:cs="仿宋"/>
          <w:b w:val="0"/>
          <w:bCs w:val="0"/>
          <w:color w:val="auto"/>
          <w:kern w:val="2"/>
          <w:sz w:val="24"/>
          <w:szCs w:val="24"/>
          <w:u w:val="single"/>
          <w:lang w:val="en-US" w:eastAsia="zh-CN" w:bidi="ar-SA"/>
        </w:rPr>
        <w:t>向你公司口头约定租赁车位，并在场地上非法储存危险化学品（柴油）；证据三：勘验笔录、现场违法照片，证明你公司的</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大型停车场不属于危险化学品专用仓库（场地），现场未设置安全警示标志、无防火、灭火、防爆、防静电等安全设施，不符合危险化学品储存安全条件。</w:t>
      </w:r>
      <w:r>
        <w:rPr>
          <w:rFonts w:hint="eastAsia" w:ascii="仿宋_GB2312" w:hAnsi="仿宋" w:cs="仿宋"/>
          <w:b w:val="0"/>
          <w:bCs w:val="0"/>
          <w:color w:val="auto"/>
          <w:kern w:val="2"/>
          <w:sz w:val="24"/>
          <w:szCs w:val="24"/>
          <w:u w:val="none"/>
          <w:lang w:val="en-US" w:eastAsia="zh-CN" w:bidi="ar-SA"/>
        </w:rPr>
        <w:t xml:space="preserve">              </w:t>
      </w:r>
      <w:r>
        <w:rPr>
          <w:rFonts w:hint="eastAsia" w:ascii="仿宋_GB2312" w:hAnsi="仿宋" w:cs="仿宋"/>
          <w:b w:val="0"/>
          <w:bCs w:val="0"/>
          <w:color w:val="auto"/>
          <w:kern w:val="2"/>
          <w:sz w:val="24"/>
          <w:szCs w:val="24"/>
          <w:u w:val="single"/>
          <w:lang w:val="en-US" w:eastAsia="zh-CN" w:bidi="ar-SA"/>
        </w:rPr>
        <w:t xml:space="preserve"> </w:t>
      </w:r>
      <w:r>
        <w:rPr>
          <w:rFonts w:hint="eastAsia" w:ascii="仿宋_GB2312" w:hAnsi="仿宋" w:eastAsia="仿宋_GB2312" w:cs="仿宋"/>
          <w:b w:val="0"/>
          <w:bCs w:val="0"/>
          <w:color w:val="auto"/>
          <w:kern w:val="2"/>
          <w:sz w:val="24"/>
          <w:szCs w:val="24"/>
          <w:u w:val="single"/>
          <w:lang w:val="en-US" w:eastAsia="zh-CN" w:bidi="ar-SA"/>
        </w:rPr>
        <w:t xml:space="preserve"> </w:t>
      </w:r>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b w:val="0"/>
          <w:bCs w:val="0"/>
          <w:color w:val="auto"/>
          <w:kern w:val="2"/>
          <w:sz w:val="24"/>
          <w:szCs w:val="24"/>
          <w:u w:val="single"/>
          <w:lang w:val="en-US" w:eastAsia="zh-CN" w:bidi="ar-SA"/>
        </w:rPr>
        <w:t>《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rFonts w:hint="eastAsia" w:ascii="仿宋_GB2312" w:hAnsi="仿宋_GB2312" w:eastAsia="仿宋_GB2312" w:cs="仿宋_GB2312"/>
          <w:bCs/>
          <w:sz w:val="24"/>
          <w:szCs w:val="24"/>
          <w:u w:val="none"/>
          <w:lang w:val="en-US" w:eastAsia="zh-CN"/>
        </w:rPr>
        <w:t>的</w:t>
      </w:r>
      <w:r>
        <w:rPr>
          <w:rFonts w:hint="eastAsia" w:ascii="仿宋_GB2312" w:hAnsi="仿宋_GB2312" w:eastAsia="仿宋_GB2312" w:cs="仿宋_GB2312"/>
          <w:bCs/>
          <w:sz w:val="24"/>
          <w:szCs w:val="24"/>
          <w:lang w:val="en-US" w:eastAsia="zh-CN"/>
        </w:rPr>
        <w:t>规定。</w:t>
      </w:r>
      <w:r>
        <w:rPr>
          <w:rFonts w:hint="eastAsia" w:ascii="仿宋_GB2312" w:hAnsi="仿宋_GB2312" w:eastAsia="仿宋_GB2312" w:cs="仿宋_GB2312"/>
          <w:bCs/>
          <w:sz w:val="24"/>
          <w:szCs w:val="24"/>
          <w:u w:val="none"/>
          <w:lang w:val="en-US" w:eastAsia="zh-CN"/>
        </w:rPr>
        <w:t>依据</w:t>
      </w:r>
      <w:r>
        <w:rPr>
          <w:rFonts w:hint="eastAsia" w:ascii="仿宋_GB2312" w:hAnsi="仿宋" w:eastAsia="仿宋_GB2312" w:cs="仿宋"/>
          <w:b w:val="0"/>
          <w:bCs w:val="0"/>
          <w:color w:val="auto"/>
          <w:kern w:val="2"/>
          <w:sz w:val="24"/>
          <w:szCs w:val="24"/>
          <w:u w:val="single"/>
          <w:lang w:val="en-US" w:eastAsia="zh-CN" w:bidi="ar-SA"/>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中华人民共和国行政处罚法》第三十三条第一款：“违法行为轻微并及时改正,没有造成危害后果的,不予行政处罚。初次违法且危害后果轻微并及时改正的, 可以不予行政处罚”、《应急管理行政处罚裁量权基准》第一部分适用说明第八条第一款第（三）项：“当事人有下列情形之一的，不予行政处罚：（三）违法行为轻微并及时改正，没有造成危害后果的；”、第八条第二款：“初次违法且危害后果轻微并及时改正的，可以不予行政处罚。初次违法且危害后果轻微并及时改正的，可以不予行政处罚。《基准》明确了《应急管理轻微违法行为可以不予行政处罚事项清单（试行）》，各地可结合实际依法研究制定本地区轻微违法行为依法不予（可以不予）行政处罚事项清单。清单中未列明的违法行为，符合《中华人民共和国行政处罚法》等法律法规规定的不予行政处罚、可以不予行政处罚条件的，依法作出不予行政处罚决定。依法不予行政处罚的，应急管理部门应当通过批评教育、约谈警示、指导服务、普法宣传等措施，教育、督促生产经营单位及其相关人员依法依规开展生产经营活动。”的相关规定，鉴于唐**违法行为轻微，没有危害后果，同时经教育后能够认识到错误，配合消除事故隐患的情形</w:t>
      </w:r>
      <w:r>
        <w:rPr>
          <w:rFonts w:hint="eastAsia" w:ascii="仿宋_GB2312" w:hAnsi="仿宋" w:eastAsia="仿宋_GB2312" w:cs="Calibri"/>
          <w:sz w:val="24"/>
          <w:szCs w:val="24"/>
        </w:rPr>
        <w:t>，决定</w:t>
      </w:r>
      <w:r>
        <w:rPr>
          <w:rFonts w:hint="eastAsia" w:ascii="仿宋_GB2312" w:hAnsi="仿宋" w:eastAsia="仿宋_GB2312" w:cs="Calibri"/>
          <w:sz w:val="24"/>
          <w:szCs w:val="24"/>
          <w:lang w:eastAsia="zh-CN"/>
        </w:rPr>
        <w:t>给予</w:t>
      </w:r>
      <w:r>
        <w:rPr>
          <w:rFonts w:hint="eastAsia" w:ascii="仿宋_GB2312" w:hAnsi="仿宋" w:eastAsia="仿宋_GB2312" w:cs="仿宋"/>
          <w:b w:val="0"/>
          <w:bCs w:val="0"/>
          <w:color w:val="auto"/>
          <w:kern w:val="2"/>
          <w:sz w:val="24"/>
          <w:szCs w:val="24"/>
          <w:u w:val="single"/>
          <w:lang w:val="en-US" w:eastAsia="zh-CN" w:bidi="ar-SA"/>
        </w:rPr>
        <w:t>唐**不予行政处罚，并进行约谈警示。</w:t>
      </w:r>
      <w:r>
        <w:rPr>
          <w:rFonts w:hint="eastAsia" w:ascii="仿宋_GB2312" w:hAnsi="仿宋" w:eastAsia="仿宋_GB2312" w:cs="Calibri"/>
          <w:sz w:val="24"/>
          <w:szCs w:val="24"/>
        </w:rPr>
        <w:t xml:space="preserve">  </w:t>
      </w:r>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 w:eastAsia="仿宋_GB2312" w:cs="Calibri"/>
          <w:sz w:val="24"/>
          <w:szCs w:val="24"/>
          <w:highlight w:val="none"/>
        </w:rPr>
      </w:pPr>
      <w:r>
        <w:rPr>
          <w:rFonts w:hint="eastAsia" w:ascii="仿宋_GB2312" w:hAnsi="仿宋" w:eastAsia="仿宋_GB2312" w:cs="Calibri"/>
          <w:sz w:val="24"/>
          <w:szCs w:val="24"/>
          <w:highlight w:val="none"/>
        </w:rPr>
        <w:t>如果你不服本决定，可以依法在60日内向</w:t>
      </w:r>
      <w:r>
        <w:rPr>
          <w:rFonts w:hint="eastAsia" w:ascii="仿宋_GB2312" w:hAnsi="仿宋" w:eastAsia="仿宋_GB2312" w:cs="Calibri"/>
          <w:color w:val="000000"/>
          <w:sz w:val="24"/>
          <w:szCs w:val="24"/>
          <w:highlight w:val="none"/>
        </w:rPr>
        <w:t xml:space="preserve"> </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sz w:val="24"/>
          <w:szCs w:val="24"/>
          <w:highlight w:val="none"/>
          <w:u w:val="single"/>
          <w:lang w:eastAsia="zh-CN"/>
        </w:rPr>
        <w:t>安宁市</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color w:val="000000"/>
          <w:sz w:val="24"/>
          <w:szCs w:val="24"/>
          <w:highlight w:val="none"/>
        </w:rPr>
        <w:t xml:space="preserve"> 人民政府</w:t>
      </w:r>
      <w:r>
        <w:rPr>
          <w:rFonts w:hint="eastAsia" w:ascii="仿宋_GB2312" w:hAnsi="仿宋" w:eastAsia="仿宋_GB2312" w:cs="Calibri"/>
          <w:sz w:val="24"/>
          <w:szCs w:val="24"/>
          <w:highlight w:val="none"/>
        </w:rPr>
        <w:t>申请行政复议，或者</w:t>
      </w:r>
      <w:r>
        <w:rPr>
          <w:rFonts w:hint="eastAsia" w:ascii="仿宋_GB2312" w:hAnsi="仿宋" w:eastAsia="仿宋_GB2312" w:cs="Calibri"/>
          <w:color w:val="000000"/>
          <w:sz w:val="24"/>
          <w:szCs w:val="24"/>
          <w:highlight w:val="none"/>
        </w:rPr>
        <w:t>在6个月内依法向</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sz w:val="24"/>
          <w:szCs w:val="24"/>
          <w:highlight w:val="none"/>
          <w:u w:val="single"/>
          <w:lang w:eastAsia="zh-CN"/>
        </w:rPr>
        <w:t>昆明铁路运输</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sz w:val="24"/>
          <w:szCs w:val="24"/>
          <w:highlight w:val="none"/>
        </w:rPr>
        <w:t>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 w:eastAsia="仿宋_GB2312" w:cs="Calibri"/>
          <w:sz w:val="24"/>
          <w:szCs w:val="24"/>
        </w:rPr>
      </w:pP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rPr>
          <w:rFonts w:hint="eastAsia" w:ascii="仿宋_GB2312" w:hAnsi="仿宋" w:eastAsia="仿宋_GB2312" w:cs="Calibri"/>
          <w:sz w:val="24"/>
          <w:szCs w:val="24"/>
        </w:rPr>
      </w:pPr>
    </w:p>
    <w:p>
      <w:pPr>
        <w:rPr>
          <w:rFonts w:hint="eastAsia"/>
        </w:rPr>
      </w:pP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5520" w:firstLineChars="23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 w:eastAsia="仿宋_GB2312" w:cs="Calibri"/>
          <w:color w:val="auto"/>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8</w:t>
      </w:r>
      <w:r>
        <w:rPr>
          <w:rFonts w:hint="eastAsia" w:ascii="仿宋_GB2312" w:hAnsi="仿宋" w:eastAsia="仿宋_GB2312" w:cs="Calibri"/>
          <w:color w:val="auto"/>
          <w:sz w:val="24"/>
          <w:szCs w:val="24"/>
        </w:rPr>
        <w:t>月</w:t>
      </w:r>
      <w:r>
        <w:rPr>
          <w:rFonts w:hint="eastAsia" w:ascii="仿宋_GB2312" w:hAnsi="仿宋" w:eastAsia="仿宋_GB2312" w:cs="Calibri"/>
          <w:color w:val="auto"/>
          <w:sz w:val="24"/>
          <w:szCs w:val="24"/>
          <w:lang w:val="en-US" w:eastAsia="zh-CN"/>
        </w:rPr>
        <w:t>16</w:t>
      </w:r>
      <w:r>
        <w:rPr>
          <w:rFonts w:hint="eastAsia" w:ascii="仿宋_GB2312" w:hAnsi="仿宋" w:eastAsia="仿宋_GB2312" w:cs="Calibri"/>
          <w:color w:val="auto"/>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1312;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footerReference r:id="rId3" w:type="default"/>
      <w:pgSz w:w="11906" w:h="16838"/>
      <w:pgMar w:top="1922" w:right="1588" w:bottom="113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DNhNzI2M2UzNTJjYzZmYTViMmJhYmVlNWFjNTcifQ=="/>
  </w:docVars>
  <w:rsids>
    <w:rsidRoot w:val="00721F54"/>
    <w:rsid w:val="00323941"/>
    <w:rsid w:val="00721F54"/>
    <w:rsid w:val="008B5B7D"/>
    <w:rsid w:val="00A95CC8"/>
    <w:rsid w:val="01A2517A"/>
    <w:rsid w:val="069353E3"/>
    <w:rsid w:val="06E635A4"/>
    <w:rsid w:val="0B2844FC"/>
    <w:rsid w:val="0CA05EB7"/>
    <w:rsid w:val="0DB950F8"/>
    <w:rsid w:val="0E9110E1"/>
    <w:rsid w:val="0FBC2C18"/>
    <w:rsid w:val="10AF0AFC"/>
    <w:rsid w:val="124D2729"/>
    <w:rsid w:val="16AD3796"/>
    <w:rsid w:val="16F057DF"/>
    <w:rsid w:val="181E3044"/>
    <w:rsid w:val="1AE62470"/>
    <w:rsid w:val="1BCB52E7"/>
    <w:rsid w:val="1CD671F4"/>
    <w:rsid w:val="1F2117CA"/>
    <w:rsid w:val="206F4A96"/>
    <w:rsid w:val="20E11B2A"/>
    <w:rsid w:val="22853819"/>
    <w:rsid w:val="23427672"/>
    <w:rsid w:val="27AC5CEC"/>
    <w:rsid w:val="2BFD2298"/>
    <w:rsid w:val="306F38C2"/>
    <w:rsid w:val="30791007"/>
    <w:rsid w:val="30CF6D59"/>
    <w:rsid w:val="33F20F2A"/>
    <w:rsid w:val="33FE3E49"/>
    <w:rsid w:val="361330F5"/>
    <w:rsid w:val="38F03FA3"/>
    <w:rsid w:val="3C694B17"/>
    <w:rsid w:val="3E684CCF"/>
    <w:rsid w:val="3EAF0AB8"/>
    <w:rsid w:val="417B3AF1"/>
    <w:rsid w:val="42857D1F"/>
    <w:rsid w:val="430E2742"/>
    <w:rsid w:val="45F40446"/>
    <w:rsid w:val="47C21209"/>
    <w:rsid w:val="4D4D1254"/>
    <w:rsid w:val="4D743966"/>
    <w:rsid w:val="4FBE01E7"/>
    <w:rsid w:val="51A0023B"/>
    <w:rsid w:val="51F66855"/>
    <w:rsid w:val="52D14331"/>
    <w:rsid w:val="552E40C0"/>
    <w:rsid w:val="55342CF9"/>
    <w:rsid w:val="5804000B"/>
    <w:rsid w:val="582C77D6"/>
    <w:rsid w:val="58FF69C3"/>
    <w:rsid w:val="5952350C"/>
    <w:rsid w:val="5A794B44"/>
    <w:rsid w:val="5A937B8D"/>
    <w:rsid w:val="5C022666"/>
    <w:rsid w:val="5C1C3B59"/>
    <w:rsid w:val="5D8B722E"/>
    <w:rsid w:val="5DFB71EC"/>
    <w:rsid w:val="5E9242BA"/>
    <w:rsid w:val="60D5364F"/>
    <w:rsid w:val="66CE1005"/>
    <w:rsid w:val="67513149"/>
    <w:rsid w:val="6776265C"/>
    <w:rsid w:val="68CF086E"/>
    <w:rsid w:val="68CF4966"/>
    <w:rsid w:val="6CB81676"/>
    <w:rsid w:val="6CBC6267"/>
    <w:rsid w:val="73929832"/>
    <w:rsid w:val="767FDC6B"/>
    <w:rsid w:val="77176AA7"/>
    <w:rsid w:val="7A4B1DC7"/>
    <w:rsid w:val="7A4F68BC"/>
    <w:rsid w:val="7A6425E0"/>
    <w:rsid w:val="7DFF3641"/>
    <w:rsid w:val="7E1361CA"/>
    <w:rsid w:val="7EF650DA"/>
    <w:rsid w:val="7FF73531"/>
    <w:rsid w:val="7FFDCA88"/>
    <w:rsid w:val="97F50E59"/>
    <w:rsid w:val="9F1F105A"/>
    <w:rsid w:val="9FBDBE9D"/>
    <w:rsid w:val="AFDEC9E3"/>
    <w:rsid w:val="BFB3457D"/>
    <w:rsid w:val="EDFD1E45"/>
    <w:rsid w:val="EFEF89EE"/>
    <w:rsid w:val="F72E4CC3"/>
    <w:rsid w:val="FE7FB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555555"/>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18">
    <w:name w:val="页眉 字符"/>
    <w:basedOn w:val="8"/>
    <w:link w:val="5"/>
    <w:qFormat/>
    <w:uiPriority w:val="0"/>
    <w:rPr>
      <w:rFonts w:ascii="Calibri" w:hAnsi="Calibri"/>
      <w:kern w:val="2"/>
      <w:sz w:val="18"/>
      <w:szCs w:val="18"/>
    </w:rPr>
  </w:style>
  <w:style w:type="character" w:customStyle="1" w:styleId="19">
    <w:name w:val="页脚 字符"/>
    <w:basedOn w:val="8"/>
    <w:link w:val="4"/>
    <w:qFormat/>
    <w:uiPriority w:val="0"/>
    <w:rPr>
      <w:rFonts w:ascii="Calibri" w:hAnsi="Calibri"/>
      <w:kern w:val="2"/>
      <w:sz w:val="18"/>
      <w:szCs w:val="18"/>
    </w:r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1034</Characters>
  <Lines>8</Lines>
  <Paragraphs>2</Paragraphs>
  <TotalTime>40</TotalTime>
  <ScaleCrop>false</ScaleCrop>
  <LinksUpToDate>false</LinksUpToDate>
  <CharactersWithSpaces>1213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cuiji</dc:creator>
  <cp:lastModifiedBy>kylin</cp:lastModifiedBy>
  <cp:lastPrinted>2025-09-01T22:46:00Z</cp:lastPrinted>
  <dcterms:modified xsi:type="dcterms:W3CDTF">2025-09-02T14:14:31Z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DF86EF9044D5ECFB478BB6685A469E58</vt:lpwstr>
  </property>
</Properties>
</file>