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600" w:lineRule="exact"/>
        <w:jc w:val="center"/>
        <w:outlineLvl w:val="0"/>
        <w:rPr>
          <w:rFonts w:hint="eastAsia" w:ascii="方正小标宋简体" w:hAnsi="方正小标宋简体" w:eastAsia="方正小标宋简体" w:cs="方正小标宋简体"/>
          <w:b/>
          <w:bCs/>
          <w:sz w:val="44"/>
          <w:szCs w:val="44"/>
        </w:rPr>
      </w:pPr>
      <w:bookmarkStart w:id="0" w:name="_Toc530670652"/>
      <w:bookmarkStart w:id="1" w:name="_Toc530735955"/>
      <w:r>
        <w:rPr>
          <w:rFonts w:hint="eastAsia" w:ascii="方正小标宋简体" w:hAnsi="方正小标宋简体" w:eastAsia="方正小标宋简体" w:cs="方正小标宋简体"/>
          <w:b/>
          <w:bCs/>
          <w:sz w:val="44"/>
          <w:szCs w:val="44"/>
        </w:rPr>
        <w:t>《安宁市“十四五”新型城镇化发展规划》的编制说明</w:t>
      </w:r>
      <w:bookmarkEnd w:id="0"/>
      <w:bookmarkEnd w:id="1"/>
    </w:p>
    <w:p>
      <w:pPr>
        <w:spacing w:line="560" w:lineRule="exact"/>
        <w:ind w:firstLine="600" w:firstLineChars="200"/>
        <w:rPr>
          <w:rFonts w:ascii="仿宋_GB2312" w:eastAsia="仿宋_GB2312"/>
          <w:sz w:val="30"/>
          <w:szCs w:val="30"/>
        </w:rPr>
      </w:pPr>
    </w:p>
    <w:p>
      <w:pPr>
        <w:spacing w:line="600" w:lineRule="exact"/>
        <w:ind w:firstLine="640" w:firstLineChars="200"/>
        <w:outlineLvl w:val="1"/>
        <w:rPr>
          <w:rFonts w:hint="eastAsia" w:ascii="黑体" w:hAnsi="黑体" w:eastAsia="黑体" w:cs="黑体"/>
          <w:b w:val="0"/>
          <w:bCs/>
          <w:sz w:val="32"/>
          <w:szCs w:val="32"/>
        </w:rPr>
      </w:pPr>
      <w:bookmarkStart w:id="2" w:name="_Toc530670653"/>
      <w:bookmarkStart w:id="3" w:name="_Toc530735956"/>
      <w:r>
        <w:rPr>
          <w:rFonts w:hint="eastAsia" w:ascii="黑体" w:hAnsi="黑体" w:eastAsia="黑体" w:cs="黑体"/>
          <w:b w:val="0"/>
          <w:bCs/>
          <w:sz w:val="32"/>
          <w:szCs w:val="32"/>
        </w:rPr>
        <w:t>一、编制背景</w:t>
      </w:r>
      <w:bookmarkEnd w:id="2"/>
      <w:bookmarkEnd w:id="3"/>
    </w:p>
    <w:p>
      <w:pPr>
        <w:spacing w:line="560" w:lineRule="exact"/>
        <w:ind w:firstLine="600" w:firstLineChars="200"/>
        <w:rPr>
          <w:rFonts w:ascii="仿宋_GB2312" w:eastAsia="仿宋_GB2312"/>
          <w:sz w:val="30"/>
          <w:szCs w:val="30"/>
        </w:rPr>
      </w:pPr>
      <w:r>
        <w:rPr>
          <w:rFonts w:hint="eastAsia" w:ascii="仿宋_GB2312" w:eastAsia="仿宋_GB2312"/>
          <w:sz w:val="30"/>
          <w:szCs w:val="30"/>
        </w:rPr>
        <w:t>新型城镇化是全面现代化的必由之路，是最大的内需潜力所在，是经济发展的主要动力，是一项重要的民生工程，是统筹城乡一体化发展的重大发展战略。根据国家、云南省及昆明市关于新型城镇化发展的相关要求，开展《安宁市“十四五”新型城镇化发展规划》编制工作，积极探索安宁特色的新型城镇化道路，在优化市域城镇体系结构、有序推进农业转移人口市民化、强化城镇发展产业支撑、提高城镇建设发展水平、推进城镇特色化建设、推动城乡发展一体化、改革完善城镇化发展体制机制等方面做好统筹部署，将是安宁市“十四五”阶段重要而紧迫的战略任务。</w:t>
      </w:r>
    </w:p>
    <w:p>
      <w:pPr>
        <w:spacing w:line="600" w:lineRule="exact"/>
        <w:ind w:firstLine="640" w:firstLineChars="200"/>
        <w:outlineLvl w:val="1"/>
        <w:rPr>
          <w:rFonts w:hint="eastAsia" w:ascii="黑体" w:hAnsi="黑体" w:eastAsia="黑体" w:cs="黑体"/>
          <w:b w:val="0"/>
          <w:bCs/>
          <w:sz w:val="32"/>
          <w:szCs w:val="32"/>
        </w:rPr>
      </w:pPr>
      <w:r>
        <w:rPr>
          <w:rFonts w:hint="eastAsia" w:ascii="黑体" w:hAnsi="黑体" w:eastAsia="黑体" w:cs="黑体"/>
          <w:b w:val="0"/>
          <w:bCs/>
          <w:sz w:val="32"/>
          <w:szCs w:val="32"/>
        </w:rPr>
        <w:t>二、编制的法律依据及政策依据</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1、《中华人民共和国国民经济和社会发展第十四个五年规划和2035年远景目标纲要》</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2、《国家新型城镇化规划（2021—2035年）》；</w:t>
      </w:r>
    </w:p>
    <w:p>
      <w:pPr>
        <w:spacing w:line="560" w:lineRule="exact"/>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、《“十四五”新型城镇化实施方案》；</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4、《云南省国民经济和社会发展第十四个五年规划和二〇三五年远景目标纲要》</w:t>
      </w:r>
    </w:p>
    <w:p>
      <w:pPr>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5、《云南省新型城镇化规划(2021—2035年)(公开征求意见稿)》</w:t>
      </w:r>
    </w:p>
    <w:p>
      <w:pPr>
        <w:spacing w:line="560" w:lineRule="exact"/>
        <w:ind w:firstLine="600" w:firstLineChars="200"/>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、《云南省“十四五”推进新型城镇化发展研究》；</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7、《昆明市国民经济和社会发展第十四个五年规划和二〇三五年远景目标纲要》</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8、《昆明市“十四五”新型城镇化发展规划》；</w:t>
      </w:r>
    </w:p>
    <w:p>
      <w:pPr>
        <w:spacing w:line="560" w:lineRule="exact"/>
        <w:ind w:firstLine="600" w:firstLineChars="200"/>
        <w:rPr>
          <w:rFonts w:ascii="仿宋_GB2312" w:eastAsia="仿宋_GB2312"/>
          <w:sz w:val="30"/>
          <w:szCs w:val="30"/>
        </w:rPr>
      </w:pPr>
      <w:r>
        <w:rPr>
          <w:rFonts w:ascii="仿宋_GB2312" w:eastAsia="仿宋_GB2312"/>
          <w:sz w:val="30"/>
          <w:szCs w:val="30"/>
        </w:rPr>
        <w:t>9</w:t>
      </w:r>
      <w:r>
        <w:rPr>
          <w:rFonts w:hint="eastAsia" w:ascii="仿宋_GB2312" w:eastAsia="仿宋_GB2312"/>
          <w:sz w:val="30"/>
          <w:szCs w:val="30"/>
        </w:rPr>
        <w:t>、《安宁市国民经济和社会发展第十四个五年规划和二〇三五年远景目标纲要》；</w:t>
      </w:r>
    </w:p>
    <w:p>
      <w:pPr>
        <w:spacing w:line="560" w:lineRule="exact"/>
        <w:ind w:firstLine="600" w:firstLineChars="200"/>
        <w:rPr>
          <w:rFonts w:ascii="仿宋_GB2312" w:eastAsia="仿宋_GB2312"/>
          <w:sz w:val="30"/>
          <w:szCs w:val="30"/>
        </w:rPr>
      </w:pPr>
      <w:r>
        <w:rPr>
          <w:rFonts w:ascii="仿宋_GB2312" w:eastAsia="仿宋_GB2312"/>
          <w:sz w:val="30"/>
          <w:szCs w:val="30"/>
        </w:rPr>
        <w:t>10</w:t>
      </w:r>
      <w:r>
        <w:rPr>
          <w:rFonts w:hint="eastAsia" w:ascii="仿宋_GB2312" w:eastAsia="仿宋_GB2312"/>
          <w:sz w:val="30"/>
          <w:szCs w:val="30"/>
        </w:rPr>
        <w:t>、《安宁市国土空间总体规划（2020-2035年）》（阶段成果）；</w:t>
      </w:r>
    </w:p>
    <w:p>
      <w:pPr>
        <w:spacing w:line="560" w:lineRule="exact"/>
        <w:ind w:firstLine="600" w:firstLineChars="200"/>
        <w:rPr>
          <w:rFonts w:hint="eastAsia" w:ascii="仿宋_GB2312" w:eastAsia="仿宋_GB2312"/>
          <w:sz w:val="30"/>
          <w:szCs w:val="30"/>
        </w:rPr>
      </w:pPr>
      <w:r>
        <w:rPr>
          <w:rFonts w:ascii="仿宋_GB2312" w:eastAsia="仿宋_GB2312"/>
          <w:sz w:val="30"/>
          <w:szCs w:val="30"/>
        </w:rPr>
        <w:t>11</w:t>
      </w:r>
      <w:r>
        <w:rPr>
          <w:rFonts w:hint="eastAsia" w:ascii="仿宋_GB2312" w:eastAsia="仿宋_GB2312"/>
          <w:sz w:val="30"/>
          <w:szCs w:val="30"/>
        </w:rPr>
        <w:t>、其他法律法规、行业标准、相关规范、政策文件以及上位相关规划等。</w:t>
      </w:r>
    </w:p>
    <w:p>
      <w:pPr>
        <w:spacing w:line="600" w:lineRule="exact"/>
        <w:ind w:firstLine="640" w:firstLineChars="200"/>
        <w:outlineLvl w:val="1"/>
        <w:rPr>
          <w:rFonts w:hint="eastAsia" w:ascii="黑体" w:hAnsi="黑体" w:eastAsia="黑体" w:cs="黑体"/>
          <w:b w:val="0"/>
          <w:bCs/>
          <w:sz w:val="32"/>
          <w:szCs w:val="32"/>
        </w:rPr>
      </w:pPr>
      <w:bookmarkStart w:id="4" w:name="_Toc530735957"/>
      <w:bookmarkStart w:id="5" w:name="_Toc530670654"/>
      <w:r>
        <w:rPr>
          <w:rFonts w:hint="eastAsia" w:ascii="黑体" w:hAnsi="黑体" w:eastAsia="黑体" w:cs="黑体"/>
          <w:b w:val="0"/>
          <w:bCs/>
          <w:sz w:val="32"/>
          <w:szCs w:val="32"/>
        </w:rPr>
        <w:t>三、编制</w:t>
      </w:r>
      <w:bookmarkEnd w:id="4"/>
      <w:bookmarkEnd w:id="5"/>
      <w:r>
        <w:rPr>
          <w:rFonts w:hint="eastAsia" w:ascii="黑体" w:hAnsi="黑体" w:eastAsia="黑体" w:cs="黑体"/>
          <w:b w:val="0"/>
          <w:bCs/>
          <w:sz w:val="32"/>
          <w:szCs w:val="32"/>
        </w:rPr>
        <w:t>历程</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受安宁市发展和改革局委托，昆明市规划设计研究院有限公司负责《安宁市“十四五”新型城镇化发展规划》的编制工作。规划编制工作于2</w:t>
      </w:r>
      <w:r>
        <w:rPr>
          <w:rFonts w:ascii="仿宋_GB2312" w:eastAsia="仿宋_GB2312"/>
          <w:sz w:val="30"/>
          <w:szCs w:val="30"/>
        </w:rPr>
        <w:t>020</w:t>
      </w:r>
      <w:r>
        <w:rPr>
          <w:rFonts w:hint="eastAsia" w:ascii="仿宋_GB2312" w:eastAsia="仿宋_GB2312"/>
          <w:sz w:val="30"/>
          <w:szCs w:val="30"/>
        </w:rPr>
        <w:t>年</w:t>
      </w:r>
      <w:r>
        <w:rPr>
          <w:rFonts w:ascii="仿宋_GB2312" w:eastAsia="仿宋_GB2312"/>
          <w:sz w:val="30"/>
          <w:szCs w:val="30"/>
        </w:rPr>
        <w:t>3</w:t>
      </w:r>
      <w:r>
        <w:rPr>
          <w:rFonts w:hint="eastAsia" w:ascii="仿宋_GB2312" w:eastAsia="仿宋_GB2312"/>
          <w:sz w:val="30"/>
          <w:szCs w:val="30"/>
        </w:rPr>
        <w:t>月正式启动，项目组根据安宁市发展和改革局提供的相关基础资料开始规划文本编制工作，形成初步文本。2</w:t>
      </w:r>
      <w:r>
        <w:rPr>
          <w:rFonts w:ascii="仿宋_GB2312" w:eastAsia="仿宋_GB2312"/>
          <w:sz w:val="30"/>
          <w:szCs w:val="30"/>
        </w:rPr>
        <w:t>020</w:t>
      </w:r>
      <w:r>
        <w:rPr>
          <w:rFonts w:hint="eastAsia" w:ascii="仿宋_GB2312" w:eastAsia="仿宋_GB2312"/>
          <w:sz w:val="30"/>
          <w:szCs w:val="30"/>
        </w:rPr>
        <w:t>年</w:t>
      </w:r>
      <w:r>
        <w:rPr>
          <w:rFonts w:ascii="仿宋_GB2312" w:eastAsia="仿宋_GB2312"/>
          <w:sz w:val="30"/>
          <w:szCs w:val="30"/>
        </w:rPr>
        <w:t>4</w:t>
      </w:r>
      <w:r>
        <w:rPr>
          <w:rFonts w:hint="eastAsia" w:ascii="仿宋_GB2312" w:eastAsia="仿宋_GB2312"/>
          <w:sz w:val="30"/>
          <w:szCs w:val="30"/>
        </w:rPr>
        <w:t>月上旬项目组赴安宁市开展调研工作，对安宁市各街道及园区各部门、主要企业进行座谈、走访。调研结束后，项目组根据调研了解到的具体情况和资料，对文本进行修改完善，并于2</w:t>
      </w:r>
      <w:r>
        <w:rPr>
          <w:rFonts w:ascii="仿宋_GB2312" w:eastAsia="仿宋_GB2312"/>
          <w:sz w:val="30"/>
          <w:szCs w:val="30"/>
        </w:rPr>
        <w:t>020</w:t>
      </w:r>
      <w:r>
        <w:rPr>
          <w:rFonts w:hint="eastAsia" w:ascii="仿宋_GB2312" w:eastAsia="仿宋_GB2312"/>
          <w:sz w:val="30"/>
          <w:szCs w:val="30"/>
        </w:rPr>
        <w:t>年5月上旬正式提交《规划》初稿。初稿形成后，先后征求安宁市发改局、各街道及园区各部门、主要企业及相关行业专家意见，并对规划文本进行多次修改完善，先后形成征求意见稿、评审稿。其间，根据《云南省“十四五”推进新型城镇化发展研究》、《昆明市“十四五”新型城镇化发展规划》以及《安宁市国民经济和社会发展第十四个五年规划和二〇三五年远景目标纲要》的相关要求，对《规划》进行了相应的修改完善。2</w:t>
      </w:r>
      <w:r>
        <w:rPr>
          <w:rFonts w:ascii="仿宋_GB2312" w:eastAsia="仿宋_GB2312"/>
          <w:sz w:val="30"/>
          <w:szCs w:val="30"/>
        </w:rPr>
        <w:t>021</w:t>
      </w:r>
      <w:r>
        <w:rPr>
          <w:rFonts w:hint="eastAsia" w:ascii="仿宋_GB2312" w:eastAsia="仿宋_GB2312"/>
          <w:sz w:val="30"/>
          <w:szCs w:val="30"/>
        </w:rPr>
        <w:t>年</w:t>
      </w:r>
      <w:r>
        <w:rPr>
          <w:rFonts w:ascii="仿宋_GB2312" w:eastAsia="仿宋_GB2312"/>
          <w:sz w:val="30"/>
          <w:szCs w:val="30"/>
        </w:rPr>
        <w:t>11</w:t>
      </w:r>
      <w:r>
        <w:rPr>
          <w:rFonts w:hint="eastAsia" w:ascii="仿宋_GB2312" w:eastAsia="仿宋_GB2312"/>
          <w:sz w:val="30"/>
          <w:szCs w:val="30"/>
        </w:rPr>
        <w:t>月1</w:t>
      </w:r>
      <w:r>
        <w:rPr>
          <w:rFonts w:ascii="仿宋_GB2312" w:eastAsia="仿宋_GB2312"/>
          <w:sz w:val="30"/>
          <w:szCs w:val="30"/>
        </w:rPr>
        <w:t>1</w:t>
      </w:r>
      <w:r>
        <w:rPr>
          <w:rFonts w:hint="eastAsia" w:ascii="仿宋_GB2312" w:eastAsia="仿宋_GB2312"/>
          <w:sz w:val="30"/>
          <w:szCs w:val="30"/>
        </w:rPr>
        <w:t>日，《规划》通过专家评审。随后，项目组根据专家评审意见，对规划文本进行修改完善，并于2</w:t>
      </w:r>
      <w:r>
        <w:rPr>
          <w:rFonts w:ascii="仿宋_GB2312" w:eastAsia="仿宋_GB2312"/>
          <w:sz w:val="30"/>
          <w:szCs w:val="30"/>
        </w:rPr>
        <w:t>022</w:t>
      </w:r>
      <w:r>
        <w:rPr>
          <w:rFonts w:hint="eastAsia" w:ascii="仿宋_GB2312" w:eastAsia="仿宋_GB2312"/>
          <w:sz w:val="30"/>
          <w:szCs w:val="30"/>
        </w:rPr>
        <w:t>年</w:t>
      </w:r>
      <w:r>
        <w:rPr>
          <w:rFonts w:ascii="仿宋_GB2312" w:eastAsia="仿宋_GB2312"/>
          <w:sz w:val="30"/>
          <w:szCs w:val="30"/>
        </w:rPr>
        <w:t>2</w:t>
      </w:r>
      <w:r>
        <w:rPr>
          <w:rFonts w:hint="eastAsia" w:ascii="仿宋_GB2312" w:eastAsia="仿宋_GB2312"/>
          <w:sz w:val="30"/>
          <w:szCs w:val="30"/>
        </w:rPr>
        <w:t>月</w:t>
      </w:r>
      <w:r>
        <w:rPr>
          <w:rFonts w:ascii="仿宋_GB2312" w:eastAsia="仿宋_GB2312"/>
          <w:sz w:val="30"/>
          <w:szCs w:val="30"/>
        </w:rPr>
        <w:t>16</w:t>
      </w:r>
      <w:r>
        <w:rPr>
          <w:rFonts w:hint="eastAsia" w:ascii="仿宋_GB2312" w:eastAsia="仿宋_GB2312"/>
          <w:sz w:val="30"/>
          <w:szCs w:val="30"/>
        </w:rPr>
        <w:t>日提交《规划》终稿。</w:t>
      </w:r>
    </w:p>
    <w:p>
      <w:pPr>
        <w:spacing w:line="600" w:lineRule="exact"/>
        <w:ind w:firstLine="640" w:firstLineChars="200"/>
        <w:outlineLvl w:val="1"/>
        <w:rPr>
          <w:rFonts w:hint="eastAsia" w:ascii="黑体" w:hAnsi="黑体" w:eastAsia="黑体" w:cs="黑体"/>
          <w:b w:val="0"/>
          <w:bCs/>
          <w:sz w:val="32"/>
          <w:szCs w:val="32"/>
        </w:rPr>
      </w:pPr>
      <w:bookmarkStart w:id="6" w:name="_Toc530670655"/>
      <w:bookmarkStart w:id="7" w:name="_Toc530735958"/>
      <w:r>
        <w:rPr>
          <w:rFonts w:hint="eastAsia" w:ascii="黑体" w:hAnsi="黑体" w:eastAsia="黑体" w:cs="黑体"/>
          <w:b w:val="0"/>
          <w:bCs/>
          <w:sz w:val="32"/>
          <w:szCs w:val="32"/>
        </w:rPr>
        <w:t>四、《规划》的主要内容</w:t>
      </w:r>
      <w:bookmarkEnd w:id="6"/>
      <w:bookmarkEnd w:id="7"/>
    </w:p>
    <w:p>
      <w:pPr>
        <w:spacing w:line="560" w:lineRule="exact"/>
        <w:ind w:firstLine="600" w:firstLineChars="200"/>
        <w:rPr>
          <w:rFonts w:ascii="仿宋_GB2312" w:eastAsia="仿宋_GB2312"/>
          <w:sz w:val="30"/>
          <w:szCs w:val="30"/>
        </w:rPr>
      </w:pPr>
      <w:r>
        <w:rPr>
          <w:rFonts w:hint="eastAsia" w:ascii="仿宋_GB2312" w:eastAsia="仿宋_GB2312"/>
          <w:sz w:val="30"/>
          <w:szCs w:val="30"/>
        </w:rPr>
        <w:t>《安宁市“十四五”新型城镇化发展规划》共分为六个部分，即前言、发展基础、</w:t>
      </w:r>
      <w:r>
        <w:rPr>
          <w:rFonts w:ascii="仿宋_GB2312" w:eastAsia="仿宋_GB2312"/>
          <w:sz w:val="30"/>
          <w:szCs w:val="30"/>
        </w:rPr>
        <w:t>发展机遇与趋势</w:t>
      </w:r>
      <w:r>
        <w:rPr>
          <w:rFonts w:hint="eastAsia" w:ascii="仿宋_GB2312" w:eastAsia="仿宋_GB2312"/>
          <w:sz w:val="30"/>
          <w:szCs w:val="30"/>
        </w:rPr>
        <w:t>、</w:t>
      </w:r>
      <w:r>
        <w:rPr>
          <w:rFonts w:ascii="仿宋_GB2312" w:eastAsia="仿宋_GB2312"/>
          <w:sz w:val="30"/>
          <w:szCs w:val="30"/>
        </w:rPr>
        <w:t>指导思想、发展原则与目标</w:t>
      </w:r>
      <w:r>
        <w:rPr>
          <w:rFonts w:hint="eastAsia" w:ascii="仿宋_GB2312" w:eastAsia="仿宋_GB2312"/>
          <w:sz w:val="30"/>
          <w:szCs w:val="30"/>
        </w:rPr>
        <w:t>、</w:t>
      </w:r>
      <w:r>
        <w:rPr>
          <w:rFonts w:ascii="仿宋_GB2312" w:eastAsia="仿宋_GB2312"/>
          <w:sz w:val="30"/>
          <w:szCs w:val="30"/>
        </w:rPr>
        <w:t>主要任务</w:t>
      </w:r>
      <w:r>
        <w:rPr>
          <w:rFonts w:hint="eastAsia" w:ascii="仿宋_GB2312" w:eastAsia="仿宋_GB2312"/>
          <w:sz w:val="30"/>
          <w:szCs w:val="30"/>
        </w:rPr>
        <w:t>及</w:t>
      </w:r>
      <w:r>
        <w:rPr>
          <w:rFonts w:ascii="仿宋_GB2312" w:eastAsia="仿宋_GB2312"/>
          <w:sz w:val="30"/>
          <w:szCs w:val="30"/>
        </w:rPr>
        <w:t>政策保障</w:t>
      </w:r>
      <w:r>
        <w:rPr>
          <w:rFonts w:hint="eastAsia" w:ascii="仿宋_GB2312" w:eastAsia="仿宋_GB2312"/>
          <w:sz w:val="30"/>
          <w:szCs w:val="30"/>
        </w:rPr>
        <w:t>。</w:t>
      </w:r>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（一）前言。</w:t>
      </w:r>
      <w:r>
        <w:rPr>
          <w:rFonts w:hint="eastAsia" w:ascii="仿宋_GB2312" w:eastAsia="仿宋_GB2312"/>
          <w:sz w:val="30"/>
          <w:szCs w:val="30"/>
        </w:rPr>
        <w:t>主要说明规划编制的背景、重要意义等内容。</w:t>
      </w:r>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（二）发展基础。</w:t>
      </w:r>
      <w:r>
        <w:rPr>
          <w:rFonts w:hint="eastAsia" w:ascii="仿宋_GB2312" w:eastAsia="仿宋_GB2312"/>
          <w:sz w:val="30"/>
          <w:szCs w:val="30"/>
        </w:rPr>
        <w:t>对安宁市“十三五”时期</w:t>
      </w:r>
      <w:r>
        <w:rPr>
          <w:rFonts w:hint="eastAsia" w:ascii="仿宋_GB2312" w:eastAsia="仿宋_GB2312"/>
          <w:sz w:val="30"/>
          <w:szCs w:val="30"/>
          <w:lang w:eastAsia="zh-CN"/>
        </w:rPr>
        <w:t>新型城镇化建设</w:t>
      </w:r>
      <w:r>
        <w:rPr>
          <w:rFonts w:hint="eastAsia" w:ascii="仿宋_GB2312" w:eastAsia="仿宋_GB2312"/>
          <w:sz w:val="30"/>
          <w:szCs w:val="30"/>
        </w:rPr>
        <w:t>情况进行回顾，“十三五”时期安宁市城镇化进程不断加速、城镇集聚人口能力持续发力、产业发展支撑能力不断增强、城乡一体化发展速度稳步加快、城乡生态环境建设有效推进、城镇特色建设取得新进展，但也面临城镇化质量有待提升，工业化进程与新型城镇化不同步有待优化，公共服务设施短板有待提高，数字化建设与精细化管理水平有待提高，城镇风貌特色有待凸显等一系列问题与困难。</w:t>
      </w:r>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（三）发展机遇与趋势。</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1、“发展机遇”主要包括国家重大战略叠加与规划改革带来新机遇、云南“三个战略定位”和“三张牌”带来新机遇、滇中城市群一体化与昆明都市圈建设带来新机遇、昆安一体化为安宁协同发展带来新机遇四个方面的机遇。</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2、“发展趋势”主要包括高质量成为发展新要求、“新四化”同步实现、建成现代化经济体系成为发展新方向、科技创新成为发展新动力、人才引进成为发展新抓手、城乡融合成为发展新阶段、生态宜居成为发展新标准六个方面的趋势。</w:t>
      </w:r>
    </w:p>
    <w:p>
      <w:pPr>
        <w:spacing w:line="560" w:lineRule="exact"/>
        <w:ind w:firstLine="602" w:firstLineChars="200"/>
        <w:rPr>
          <w:rFonts w:ascii="仿宋_GB2312" w:eastAsia="仿宋_GB2312"/>
          <w:sz w:val="30"/>
          <w:szCs w:val="30"/>
        </w:rPr>
      </w:pPr>
      <w:r>
        <w:rPr>
          <w:rFonts w:hint="eastAsia" w:ascii="仿宋_GB2312" w:eastAsia="仿宋_GB2312"/>
          <w:b/>
          <w:sz w:val="30"/>
          <w:szCs w:val="30"/>
        </w:rPr>
        <w:t>（四）指导思想、发展原则与目标。</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1、“指导思想”主要是高举习近平新时代中国特色社会主义思想伟大旗帜、</w:t>
      </w:r>
      <w:r>
        <w:rPr>
          <w:rFonts w:hint="eastAsia" w:ascii="仿宋_GB2312" w:eastAsia="仿宋_GB2312"/>
          <w:sz w:val="30"/>
          <w:szCs w:val="30"/>
          <w:lang w:eastAsia="zh-CN"/>
        </w:rPr>
        <w:t>全面贯彻落实党的十九大和十九届历次全会精神</w:t>
      </w:r>
      <w:r>
        <w:rPr>
          <w:rFonts w:hint="eastAsia" w:ascii="仿宋_GB2312" w:eastAsia="仿宋_GB2312"/>
          <w:sz w:val="30"/>
          <w:szCs w:val="30"/>
        </w:rPr>
        <w:t>，按照云南省委十届八次全会和昆明市委十一届八次会议的安排部署，紧紧围绕经济社会高质量可持续发展，加快建设昆明区域性国际中心城市西线经济走廊、滇中最美绿城，争当中国西部县域高质量发展标兵建设进程，为在全省率先基本实现社会主义现代化奠定坚实基础。</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2、“发展原则”包括七个方面，即：</w:t>
      </w:r>
      <w:r>
        <w:rPr>
          <w:rFonts w:hint="eastAsia" w:ascii="Times New Roman" w:hAnsi="Times New Roman" w:eastAsia="仿宋_GB2312"/>
          <w:kern w:val="0"/>
          <w:sz w:val="32"/>
          <w:szCs w:val="32"/>
          <w:lang w:val="zh-CN"/>
        </w:rPr>
        <w:t>以人为本、公平共享；科技改革、创新发展；优化布局，集约高效；产城融合、互促共进；生态文明、绿色低碳；科学规划、有序推进；文化传承、彰显特色</w:t>
      </w:r>
      <w:r>
        <w:rPr>
          <w:rFonts w:hint="eastAsia" w:ascii="仿宋_GB2312" w:eastAsia="仿宋_GB2312"/>
          <w:sz w:val="30"/>
          <w:szCs w:val="30"/>
        </w:rPr>
        <w:t>。</w:t>
      </w:r>
    </w:p>
    <w:p>
      <w:pPr>
        <w:spacing w:line="560" w:lineRule="exact"/>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发展目标”提出“十四五”时期安宁市城镇化发展质量进一步提升，民生福祉进一步增进，打造形成城镇化质量更高效、城镇布局形态更优质、城乡产城融合更全面、城镇特色更突出、城镇文化更繁荣、城乡一体化更协调、体制机制更完善的新型城市先导区，实现“新型城市化先导区、昆明现代工业基地”的建设目标，成为区域性国际中心城市西线经济走廊、滇中最美绿城，争当中国西部县域高质量发展标兵。</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五）主要任务。一是以规划为抓手优化城镇布局形态。着力构筑极轴联动的城镇空间发展格局，科学统筹“三区三线”空间管控力度，引导城镇化空间发展秩序。二是以高质量发展为导向提升城镇化人口质量。重点完善农业转移人口市民化机制，健全农业转移人口基本公共服务保障体系，建构人口吸纳与人才引进体系。三是以产城融合为重点推动城镇化产业支撑。聚焦东西两端的产业体系创新发展，聚力于增强城镇产业承载能力，带动产镇产社多维融合。四是以新基建和新风貌为亮点打造新型城市先导区。重点推进5G基建、大数据、人工智能、工业互联网、轨道交通、新能源汽车充电桩等领域新型基础设施建设，全面推动安宁市智慧城市建设，全力推动综合交通网络建设；围绕生态绿色低碳发展理念及滇中最美绿城发展目标打造新型城市的新风貌。五是以农村新型社区为特色推动城乡一体化发展。通过建立健全城乡一体化发展新机制，在公共教育、医疗卫生、文化体育、就业保障和社会保障等</w:t>
      </w:r>
      <w:bookmarkStart w:id="8" w:name="_GoBack"/>
      <w:bookmarkEnd w:id="8"/>
      <w:r>
        <w:rPr>
          <w:rFonts w:hint="eastAsia" w:ascii="仿宋_GB2312" w:eastAsia="仿宋_GB2312"/>
          <w:sz w:val="30"/>
          <w:szCs w:val="30"/>
        </w:rPr>
        <w:t>领域有效提升城乡基本公共服务一体化水平；同时加大乡村治理力度，建设新型农村社区。六是以人口和土地为核心创新型城镇化体制机制。深化推进人口与土地管理制度改革，建立健全住房保障制度，优化强化生态环境保护制度。</w:t>
      </w:r>
    </w:p>
    <w:p>
      <w:pPr>
        <w:spacing w:line="560" w:lineRule="exact"/>
        <w:ind w:firstLine="602" w:firstLineChars="200"/>
        <w:rPr>
          <w:rFonts w:hint="eastAsia" w:ascii="仿宋_GB2312" w:eastAsia="仿宋_GB2312"/>
          <w:sz w:val="30"/>
          <w:szCs w:val="30"/>
        </w:rPr>
      </w:pPr>
      <w:r>
        <w:rPr>
          <w:rFonts w:hint="eastAsia" w:ascii="仿宋_GB2312" w:eastAsia="仿宋_GB2312"/>
          <w:b/>
          <w:sz w:val="30"/>
          <w:szCs w:val="30"/>
        </w:rPr>
        <w:t>（六）政策保障。</w:t>
      </w:r>
      <w:r>
        <w:rPr>
          <w:rFonts w:hint="eastAsia" w:ascii="仿宋_GB2312" w:eastAsia="仿宋_GB2312"/>
          <w:sz w:val="30"/>
          <w:szCs w:val="30"/>
        </w:rPr>
        <w:t>主要包括创新以人为核心的发展体制机制、强化组织领导与政策统筹、打破城乡思维与空间壁垒、突出城乡“一张图”管控模式、积极推进分级分类试点示范、建立项目落实与监测考评机制六个方面。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3982838"/>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hNDhhZGI3MzE0YzZlMDllZjFkYjMyOWZmMjM4ODAifQ=="/>
  </w:docVars>
  <w:rsids>
    <w:rsidRoot w:val="00FF1C79"/>
    <w:rsid w:val="00015A35"/>
    <w:rsid w:val="000217C1"/>
    <w:rsid w:val="00033548"/>
    <w:rsid w:val="00071E01"/>
    <w:rsid w:val="000735DF"/>
    <w:rsid w:val="000B35B9"/>
    <w:rsid w:val="00176C52"/>
    <w:rsid w:val="00193D96"/>
    <w:rsid w:val="001B1FD1"/>
    <w:rsid w:val="001F0420"/>
    <w:rsid w:val="001F4B93"/>
    <w:rsid w:val="001F7B55"/>
    <w:rsid w:val="002269A9"/>
    <w:rsid w:val="0025105A"/>
    <w:rsid w:val="00267200"/>
    <w:rsid w:val="0027399D"/>
    <w:rsid w:val="00280A1A"/>
    <w:rsid w:val="00280F56"/>
    <w:rsid w:val="00282DEA"/>
    <w:rsid w:val="00284F96"/>
    <w:rsid w:val="00286EDD"/>
    <w:rsid w:val="002914A3"/>
    <w:rsid w:val="002F75AF"/>
    <w:rsid w:val="0031731A"/>
    <w:rsid w:val="00332CE5"/>
    <w:rsid w:val="00375A10"/>
    <w:rsid w:val="00386FCF"/>
    <w:rsid w:val="0039420E"/>
    <w:rsid w:val="00394879"/>
    <w:rsid w:val="003D0045"/>
    <w:rsid w:val="003D05D8"/>
    <w:rsid w:val="00415789"/>
    <w:rsid w:val="00446404"/>
    <w:rsid w:val="0044668E"/>
    <w:rsid w:val="00464E1D"/>
    <w:rsid w:val="00467BD6"/>
    <w:rsid w:val="004B1019"/>
    <w:rsid w:val="00555CA5"/>
    <w:rsid w:val="00574B58"/>
    <w:rsid w:val="005A048D"/>
    <w:rsid w:val="006362D1"/>
    <w:rsid w:val="0065647A"/>
    <w:rsid w:val="00663C1D"/>
    <w:rsid w:val="00684850"/>
    <w:rsid w:val="006D2798"/>
    <w:rsid w:val="006E1857"/>
    <w:rsid w:val="006F3D2B"/>
    <w:rsid w:val="00744F77"/>
    <w:rsid w:val="00754D0D"/>
    <w:rsid w:val="00763EFC"/>
    <w:rsid w:val="00772AC8"/>
    <w:rsid w:val="00782DAF"/>
    <w:rsid w:val="00805412"/>
    <w:rsid w:val="00806C25"/>
    <w:rsid w:val="00815823"/>
    <w:rsid w:val="00821416"/>
    <w:rsid w:val="00840794"/>
    <w:rsid w:val="00843D06"/>
    <w:rsid w:val="00850611"/>
    <w:rsid w:val="00853031"/>
    <w:rsid w:val="00864589"/>
    <w:rsid w:val="00864C04"/>
    <w:rsid w:val="008818FA"/>
    <w:rsid w:val="00897EC6"/>
    <w:rsid w:val="008A3489"/>
    <w:rsid w:val="008C6829"/>
    <w:rsid w:val="00910E44"/>
    <w:rsid w:val="0092796F"/>
    <w:rsid w:val="009C45C2"/>
    <w:rsid w:val="009C5BC3"/>
    <w:rsid w:val="009D2423"/>
    <w:rsid w:val="009F74C0"/>
    <w:rsid w:val="00A264BB"/>
    <w:rsid w:val="00A32A02"/>
    <w:rsid w:val="00A44112"/>
    <w:rsid w:val="00A47E08"/>
    <w:rsid w:val="00A55C90"/>
    <w:rsid w:val="00A61CD2"/>
    <w:rsid w:val="00A63602"/>
    <w:rsid w:val="00A64355"/>
    <w:rsid w:val="00A72169"/>
    <w:rsid w:val="00A8561F"/>
    <w:rsid w:val="00AB3063"/>
    <w:rsid w:val="00AC1793"/>
    <w:rsid w:val="00B147A2"/>
    <w:rsid w:val="00B26F7F"/>
    <w:rsid w:val="00B277DF"/>
    <w:rsid w:val="00B31620"/>
    <w:rsid w:val="00B44AF1"/>
    <w:rsid w:val="00B57E0F"/>
    <w:rsid w:val="00B63267"/>
    <w:rsid w:val="00B65A58"/>
    <w:rsid w:val="00B9343E"/>
    <w:rsid w:val="00BB26E6"/>
    <w:rsid w:val="00BB6E71"/>
    <w:rsid w:val="00BC1893"/>
    <w:rsid w:val="00BD1370"/>
    <w:rsid w:val="00C15ACE"/>
    <w:rsid w:val="00C23425"/>
    <w:rsid w:val="00C67A06"/>
    <w:rsid w:val="00CD7E75"/>
    <w:rsid w:val="00CE0A19"/>
    <w:rsid w:val="00CE21CC"/>
    <w:rsid w:val="00CF545B"/>
    <w:rsid w:val="00D13FFD"/>
    <w:rsid w:val="00D752F3"/>
    <w:rsid w:val="00D76E36"/>
    <w:rsid w:val="00D8412C"/>
    <w:rsid w:val="00DC22F4"/>
    <w:rsid w:val="00DE0003"/>
    <w:rsid w:val="00DF5CC3"/>
    <w:rsid w:val="00E26944"/>
    <w:rsid w:val="00E40CD4"/>
    <w:rsid w:val="00E60773"/>
    <w:rsid w:val="00E91CAF"/>
    <w:rsid w:val="00E94222"/>
    <w:rsid w:val="00E96AF2"/>
    <w:rsid w:val="00EA116E"/>
    <w:rsid w:val="00EA5E0B"/>
    <w:rsid w:val="00EA64C2"/>
    <w:rsid w:val="00EE7A21"/>
    <w:rsid w:val="00F2579D"/>
    <w:rsid w:val="00F966FA"/>
    <w:rsid w:val="00FD503F"/>
    <w:rsid w:val="00FF1C79"/>
    <w:rsid w:val="00FF23AB"/>
    <w:rsid w:val="00FF36D9"/>
    <w:rsid w:val="1C494442"/>
    <w:rsid w:val="22480202"/>
    <w:rsid w:val="3A3928DA"/>
    <w:rsid w:val="54952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uiPriority w:val="99"/>
    <w:rPr>
      <w:rFonts w:ascii="Calibri" w:hAnsi="Calibri"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2652</Words>
  <Characters>2698</Characters>
  <Lines>19</Lines>
  <Paragraphs>5</Paragraphs>
  <TotalTime>4</TotalTime>
  <ScaleCrop>false</ScaleCrop>
  <LinksUpToDate>false</LinksUpToDate>
  <CharactersWithSpaces>2698</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2022-10-19T03:18:00Z</dcterms:created>
  <dc:creator>Administrator</dc:creator>
  <cp:lastModifiedBy>Administrator</cp:lastModifiedBy>
  <dcterms:modified xsi:type="dcterms:W3CDTF">2025-10-10T09:55:56Z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F799F38E744248ACA855C7CA9F7ECE35_12</vt:lpwstr>
  </property>
</Properties>
</file>