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-8</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仿宋"/>
          <w:sz w:val="24"/>
          <w:szCs w:val="24"/>
          <w:u w:val="single"/>
          <w:lang w:val="en-US"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联系电话：</w:t>
      </w:r>
      <w:r>
        <w:rPr>
          <w:rFonts w:hint="eastAsia" w:ascii="仿宋_GB2312" w:hAnsi="仿宋" w:eastAsia="仿宋_GB2312" w:cs="仿宋"/>
          <w:sz w:val="24"/>
          <w:szCs w:val="24"/>
          <w:u w:val="single"/>
          <w:lang w:val="en-US" w:eastAsia="zh-CN"/>
        </w:rPr>
        <w:t xml:space="preserve">         /      </w:t>
      </w: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宋体"/>
          <w:color w:val="121212"/>
          <w:kern w:val="0"/>
          <w:sz w:val="24"/>
          <w:szCs w:val="24"/>
          <w:u w:val="single"/>
          <w:lang w:val="en-US" w:eastAsia="zh-CN"/>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lang w:val="en-US" w:eastAsia="zh-CN"/>
        </w:rPr>
        <w:t xml:space="preserve">     安宁银吉经贸有限公司         </w:t>
      </w: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安宁市昆畹公路   </w:t>
      </w:r>
      <w:r>
        <w:rPr>
          <w:rFonts w:hint="eastAsia" w:ascii="仿宋_GB2312" w:hAnsi="仿宋" w:eastAsia="仿宋_GB2312" w:cs="仿宋"/>
          <w:sz w:val="24"/>
          <w:szCs w:val="24"/>
          <w:u w:val="non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杨</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pStyle w:val="17"/>
        <w:keepNext w:val="0"/>
        <w:keepLines w:val="0"/>
        <w:pageBreakBefore w:val="0"/>
        <w:widowControl/>
        <w:numPr>
          <w:ilvl w:val="0"/>
          <w:numId w:val="0"/>
        </w:numPr>
        <w:kinsoku/>
        <w:wordWrap/>
        <w:overflowPunct/>
        <w:topLinePunct w:val="0"/>
        <w:autoSpaceDE/>
        <w:autoSpaceDN/>
        <w:bidi w:val="0"/>
        <w:adjustRightInd/>
        <w:snapToGrid/>
        <w:spacing w:after="0" w:line="460" w:lineRule="exact"/>
        <w:ind w:right="0" w:rightChars="0" w:firstLine="482" w:firstLineChars="200"/>
        <w:textAlignment w:val="auto"/>
        <w:rPr>
          <w:rFonts w:hint="default"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Calibri"/>
          <w:b/>
          <w:bCs/>
          <w:sz w:val="24"/>
          <w:szCs w:val="24"/>
        </w:rPr>
        <w:t>违法事实及证据</w:t>
      </w:r>
      <w:r>
        <w:rPr>
          <w:rFonts w:hint="eastAsia" w:ascii="仿宋_GB2312" w:hAnsi="仿宋" w:eastAsia="仿宋_GB2312" w:cs="Calibri"/>
          <w:sz w:val="24"/>
          <w:szCs w:val="24"/>
        </w:rPr>
        <w:t>：</w:t>
      </w:r>
      <w:r>
        <w:rPr>
          <w:rFonts w:hint="eastAsia" w:ascii="仿宋_GB2312" w:hAnsi="仿宋" w:eastAsia="仿宋_GB2312" w:cs="Calibri"/>
          <w:b w:val="0"/>
          <w:bCs/>
          <w:sz w:val="24"/>
          <w:szCs w:val="24"/>
          <w:u w:val="single"/>
        </w:rPr>
        <w:t xml:space="preserve"> </w:t>
      </w:r>
      <w:r>
        <w:rPr>
          <w:rFonts w:hint="eastAsia" w:ascii="仿宋_GB2312" w:hAnsi="仿宋" w:cs="Calibri"/>
          <w:b w:val="0"/>
          <w:bCs/>
          <w:sz w:val="24"/>
          <w:szCs w:val="24"/>
          <w:u w:val="single"/>
          <w:lang w:eastAsia="zh-CN"/>
        </w:rPr>
        <w:t>安宁银吉经贸有限公司存在</w:t>
      </w:r>
      <w:r>
        <w:rPr>
          <w:rFonts w:hint="eastAsia" w:ascii="仿宋_GB2312" w:hAnsi="仿宋" w:cs="仿宋"/>
          <w:b w:val="0"/>
          <w:bCs w:val="0"/>
          <w:color w:val="auto"/>
          <w:kern w:val="2"/>
          <w:sz w:val="24"/>
          <w:szCs w:val="24"/>
          <w:u w:val="single"/>
          <w:lang w:val="en-US" w:eastAsia="zh-CN" w:bidi="ar-SA"/>
        </w:rPr>
        <w:t>8项安全生产违法行为和事故隐患，未及时发现并消除</w:t>
      </w:r>
      <w:r>
        <w:rPr>
          <w:rFonts w:hint="eastAsia" w:ascii="仿宋_GB2312" w:hAnsi="仿宋" w:eastAsia="仿宋_GB2312" w:cs="仿宋"/>
          <w:b w:val="0"/>
          <w:bCs w:val="0"/>
          <w:color w:val="auto"/>
          <w:kern w:val="2"/>
          <w:sz w:val="24"/>
          <w:szCs w:val="24"/>
          <w:u w:val="single"/>
          <w:lang w:val="en-US" w:eastAsia="zh-CN" w:bidi="ar-SA"/>
        </w:rPr>
        <w:t>的违法行为。</w:t>
      </w:r>
      <w:r>
        <w:rPr>
          <w:rFonts w:hint="eastAsia" w:ascii="仿宋_GB2312" w:hAnsi="仿宋" w:eastAsia="仿宋_GB2312" w:cs="仿宋"/>
          <w:b/>
          <w:bCs/>
          <w:sz w:val="24"/>
          <w:szCs w:val="24"/>
          <w:u w:val="single"/>
          <w:lang w:val="en-US" w:eastAsia="zh-CN"/>
        </w:rPr>
        <w:t>主要证据如下：</w:t>
      </w:r>
      <w:r>
        <w:rPr>
          <w:rFonts w:hint="eastAsia" w:ascii="仿宋_GB2312" w:hAnsi="仿宋" w:eastAsia="仿宋_GB2312" w:cs="仿宋"/>
          <w:b w:val="0"/>
          <w:bCs w:val="0"/>
          <w:color w:val="auto"/>
          <w:kern w:val="2"/>
          <w:sz w:val="24"/>
          <w:szCs w:val="24"/>
          <w:u w:val="single"/>
          <w:lang w:val="en-US" w:eastAsia="zh-CN" w:bidi="ar-SA"/>
        </w:rPr>
        <w:t xml:space="preserve"> 证据一：《现场检查记录》、《责令限期整改指令书》、《现场处理措施决定书》各1份，现场照片1份。证明：1.2025年8月27日，我局执法人员在安宁市县街街道办事处昆畹公路</w:t>
      </w:r>
      <w:bookmarkStart w:id="0" w:name="_GoBack"/>
      <w:r>
        <w:rPr>
          <w:rFonts w:hint="eastAsia" w:ascii="仿宋_GB2312" w:hAnsi="仿宋" w:eastAsia="仿宋_GB2312" w:cs="仿宋"/>
          <w:b w:val="0"/>
          <w:bCs w:val="0"/>
          <w:color w:val="auto"/>
          <w:kern w:val="2"/>
          <w:sz w:val="24"/>
          <w:szCs w:val="24"/>
          <w:u w:val="single"/>
          <w:lang w:val="en-US" w:eastAsia="zh-CN" w:bidi="ar-SA"/>
        </w:rPr>
        <w:t>37公里处</w:t>
      </w:r>
      <w:bookmarkEnd w:id="0"/>
      <w:r>
        <w:rPr>
          <w:rFonts w:hint="eastAsia" w:ascii="仿宋_GB2312" w:hAnsi="仿宋" w:eastAsia="仿宋_GB2312" w:cs="仿宋"/>
          <w:b w:val="0"/>
          <w:bCs w:val="0"/>
          <w:color w:val="auto"/>
          <w:kern w:val="2"/>
          <w:sz w:val="24"/>
          <w:szCs w:val="24"/>
          <w:u w:val="single"/>
          <w:lang w:val="en-US" w:eastAsia="zh-CN" w:bidi="ar-SA"/>
        </w:rPr>
        <w:t>安宁银吉经贸有限公司检查发现，该公司存在：（1）摇床传动电机转动部位、螺旋分级机电机及皮带转动部位、压滤后废泥运输皮带传动部位未设置防护罩；（2）现场多处配电箱门损坏，未关闭；（3）部分气瓶未设防倾倒措施；（4）特种作业人员未见特种作业证；（5）平板磁选机冲泥作业点两侧未设防护栏；（6）现场作业人员均未佩戴安全防护装备；（7）设备已拆除区域未设安全警示及拦挡设施；（8）废泥堆置区域局部边坡出现横向裂缝；共8项安全隐患。2. 2025年8月28日我局执法人员发现安宁银吉经贸有限公司存在洗选后废泥堆置区域西北角边坡发生垮塌，导致废泥外溢。证据二：王</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调查询问笔录。证明：1.王</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在银吉公司担任厂长，负责管理安全生产工作。2.对我局执法人员8月27日下达的《现场检查记录》、《责令限期整改指令书》予以认可；3.对我局执法人员8月27日发现的8项安全隐患均予以认可；4.确认在我局执法人员安全检查前未及时排查发现并采取措施消除上述隐患；5.确认银吉公司洗选后废泥堆置区域西北角边坡发生垮塌，导致废泥外溢的情况属实</w:t>
      </w:r>
      <w:r>
        <w:rPr>
          <w:rFonts w:hint="eastAsia" w:ascii="仿宋_GB2312" w:hAnsi="仿宋" w:cs="仿宋"/>
          <w:b w:val="0"/>
          <w:bCs w:val="0"/>
          <w:color w:val="auto"/>
          <w:kern w:val="2"/>
          <w:sz w:val="24"/>
          <w:szCs w:val="24"/>
          <w:u w:val="single"/>
          <w:lang w:val="en-US" w:eastAsia="zh-CN" w:bidi="ar-SA"/>
        </w:rPr>
        <w:t xml:space="preserve">。  </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仿宋"/>
          <w:b w:val="0"/>
          <w:bCs w:val="0"/>
          <w:color w:val="auto"/>
          <w:kern w:val="2"/>
          <w:sz w:val="24"/>
          <w:szCs w:val="24"/>
          <w:u w:val="single"/>
          <w:lang w:val="en-US" w:eastAsia="zh-CN" w:bidi="ar-SA"/>
        </w:rPr>
        <w:t>《中华人民共和国安全生产法》第四十一条第二款：“生产经营单位应当建立健全并落实生产安全事故隐患排查治理制度, 采取技术、管理措施,及时发现并消除事故隐患。事故隐患排查治理情况应当如实记录,并通过职工大会或者职工代表大会、信息公示栏等方式向从业人员通报。 其中,重大事故隐患排查治理情况应当及时向负有安全生产监督管理职责的部门和职工大会或者职工代表大会报告。”</w:t>
      </w:r>
      <w:r>
        <w:rPr>
          <w:rFonts w:hint="eastAsia" w:ascii="仿宋_GB2312" w:hAnsi="仿宋_GB2312" w:eastAsia="仿宋_GB2312" w:cs="仿宋_GB2312"/>
          <w:bCs/>
          <w:sz w:val="24"/>
          <w:szCs w:val="24"/>
          <w:u w:val="none"/>
          <w:lang w:val="en-US" w:eastAsia="zh-CN"/>
        </w:rPr>
        <w:t>的</w:t>
      </w:r>
      <w:r>
        <w:rPr>
          <w:rFonts w:hint="eastAsia" w:ascii="仿宋_GB2312" w:hAnsi="仿宋_GB2312" w:eastAsia="仿宋_GB2312" w:cs="仿宋_GB2312"/>
          <w:bCs/>
          <w:sz w:val="24"/>
          <w:szCs w:val="24"/>
          <w:lang w:val="en-US" w:eastAsia="zh-CN"/>
        </w:rPr>
        <w:t>规定。</w:t>
      </w:r>
      <w:r>
        <w:rPr>
          <w:rFonts w:hint="eastAsia" w:ascii="仿宋_GB2312" w:hAnsi="仿宋_GB2312" w:eastAsia="仿宋_GB2312" w:cs="仿宋_GB2312"/>
          <w:bCs/>
          <w:sz w:val="24"/>
          <w:szCs w:val="24"/>
          <w:u w:val="none"/>
          <w:lang w:val="en-US" w:eastAsia="zh-CN"/>
        </w:rPr>
        <w:t>依据</w:t>
      </w:r>
      <w:r>
        <w:rPr>
          <w:rFonts w:hint="eastAsia" w:ascii="仿宋_GB2312" w:hAnsi="仿宋" w:eastAsia="仿宋_GB2312" w:cs="仿宋"/>
          <w:b w:val="0"/>
          <w:bCs w:val="0"/>
          <w:color w:val="auto"/>
          <w:kern w:val="2"/>
          <w:sz w:val="24"/>
          <w:szCs w:val="24"/>
          <w:u w:val="single"/>
          <w:lang w:val="en-US" w:eastAsia="zh-CN" w:bidi="ar-SA"/>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的规定，根据《应急管理行政处罚裁量权基准》第一部分适用说明第六、七、八条的规定，不存在依法从轻、减轻、从重、不予行政处罚的情形，适用《应急管理行政处罚裁量权基准》第二部分裁量细则第46号C档：“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的裁量基准</w:t>
      </w:r>
      <w:r>
        <w:rPr>
          <w:rFonts w:hint="eastAsia" w:ascii="仿宋_GB2312" w:hAnsi="仿宋" w:eastAsia="仿宋_GB2312" w:cs="Calibri"/>
          <w:sz w:val="24"/>
          <w:szCs w:val="24"/>
        </w:rPr>
        <w:t>，决定</w:t>
      </w:r>
      <w:r>
        <w:rPr>
          <w:rFonts w:hint="eastAsia" w:ascii="仿宋_GB2312" w:hAnsi="仿宋" w:eastAsia="仿宋_GB2312" w:cs="Calibri"/>
          <w:sz w:val="24"/>
          <w:szCs w:val="24"/>
          <w:lang w:eastAsia="zh-CN"/>
        </w:rPr>
        <w:t>给予</w:t>
      </w:r>
      <w:r>
        <w:rPr>
          <w:rFonts w:hint="eastAsia" w:ascii="仿宋_GB2312" w:hAnsi="仿宋" w:eastAsia="仿宋_GB2312" w:cs="仿宋"/>
          <w:b w:val="0"/>
          <w:bCs w:val="0"/>
          <w:color w:val="auto"/>
          <w:kern w:val="2"/>
          <w:sz w:val="24"/>
          <w:szCs w:val="24"/>
          <w:u w:val="single"/>
          <w:lang w:val="en-US" w:eastAsia="zh-CN" w:bidi="ar-SA"/>
        </w:rPr>
        <w:t xml:space="preserve"> 安宁银吉经贸有限公司人民币45000元（大写：肆万伍仟元整）罚款的行政处罚。</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rPr>
        <w:t>如果你</w:t>
      </w:r>
      <w:r>
        <w:rPr>
          <w:rFonts w:hint="eastAsia" w:ascii="仿宋_GB2312" w:hAnsi="仿宋" w:eastAsia="仿宋_GB2312" w:cs="Calibri"/>
          <w:sz w:val="24"/>
          <w:szCs w:val="24"/>
          <w:highlight w:val="none"/>
          <w:lang w:eastAsia="zh-CN"/>
        </w:rPr>
        <w:t>单位</w:t>
      </w:r>
      <w:r>
        <w:rPr>
          <w:rFonts w:hint="eastAsia" w:ascii="仿宋_GB2312" w:hAnsi="仿宋" w:eastAsia="仿宋_GB2312" w:cs="Calibri"/>
          <w:sz w:val="24"/>
          <w:szCs w:val="24"/>
          <w:highlight w:val="none"/>
        </w:rPr>
        <w:t>不服本决定，可以依法在60日内向</w:t>
      </w:r>
      <w:r>
        <w:rPr>
          <w:rFonts w:hint="eastAsia" w:ascii="仿宋_GB2312" w:hAnsi="仿宋" w:eastAsia="仿宋_GB2312" w:cs="Calibri"/>
          <w:color w:val="000000"/>
          <w:sz w:val="24"/>
          <w:szCs w:val="24"/>
          <w:highlight w:val="none"/>
        </w:rPr>
        <w:t xml:space="preserve"> </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安宁市</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color w:val="000000"/>
          <w:sz w:val="24"/>
          <w:szCs w:val="24"/>
          <w:highlight w:val="none"/>
        </w:rPr>
        <w:t xml:space="preserve"> 人民政府</w:t>
      </w:r>
      <w:r>
        <w:rPr>
          <w:rFonts w:hint="eastAsia" w:ascii="仿宋_GB2312" w:hAnsi="仿宋" w:eastAsia="仿宋_GB2312" w:cs="Calibri"/>
          <w:sz w:val="24"/>
          <w:szCs w:val="24"/>
          <w:highlight w:val="none"/>
        </w:rPr>
        <w:t>申请行政复议，或者</w:t>
      </w:r>
      <w:r>
        <w:rPr>
          <w:rFonts w:hint="eastAsia" w:ascii="仿宋_GB2312" w:hAnsi="仿宋" w:eastAsia="仿宋_GB2312" w:cs="Calibri"/>
          <w:color w:val="000000"/>
          <w:sz w:val="24"/>
          <w:szCs w:val="24"/>
          <w:highlight w:val="none"/>
        </w:rPr>
        <w:t>在6个月内依法向</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昆明铁路运输</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rPr>
        <w:t>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rPr>
      </w:pPr>
    </w:p>
    <w:p>
      <w:pPr>
        <w:pStyle w:val="2"/>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Calibri"/>
          <w:color w:val="auto"/>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9</w:t>
      </w:r>
      <w:r>
        <w:rPr>
          <w:rFonts w:hint="eastAsia" w:ascii="仿宋_GB2312" w:hAnsi="仿宋" w:eastAsia="仿宋_GB2312" w:cs="Calibri"/>
          <w:color w:val="auto"/>
          <w:sz w:val="24"/>
          <w:szCs w:val="24"/>
        </w:rPr>
        <w:t>月</w:t>
      </w:r>
      <w:r>
        <w:rPr>
          <w:rFonts w:hint="eastAsia" w:ascii="仿宋_GB2312" w:hAnsi="仿宋" w:eastAsia="仿宋_GB2312" w:cs="Calibri"/>
          <w:color w:val="auto"/>
          <w:sz w:val="24"/>
          <w:szCs w:val="24"/>
          <w:lang w:val="en-US" w:eastAsia="zh-CN"/>
        </w:rPr>
        <w:t>26</w:t>
      </w:r>
      <w:r>
        <w:rPr>
          <w:rFonts w:hint="eastAsia" w:ascii="仿宋_GB2312" w:hAnsi="仿宋" w:eastAsia="仿宋_GB2312" w:cs="Calibri"/>
          <w:color w:val="auto"/>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footerReference r:id="rId3" w:type="default"/>
      <w:pgSz w:w="11906" w:h="16838"/>
      <w:pgMar w:top="1922" w:right="1588" w:bottom="113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DNhNzI2M2UzNTJjYzZmYTViMmJhYmVlNWFjNTcifQ=="/>
  </w:docVars>
  <w:rsids>
    <w:rsidRoot w:val="00721F54"/>
    <w:rsid w:val="00323941"/>
    <w:rsid w:val="00721F54"/>
    <w:rsid w:val="008B5B7D"/>
    <w:rsid w:val="00A95CC8"/>
    <w:rsid w:val="01A2517A"/>
    <w:rsid w:val="069353E3"/>
    <w:rsid w:val="06E635A4"/>
    <w:rsid w:val="0B2844FC"/>
    <w:rsid w:val="0CA05EB7"/>
    <w:rsid w:val="0DB950F8"/>
    <w:rsid w:val="0E9110E1"/>
    <w:rsid w:val="0FBC2C18"/>
    <w:rsid w:val="10AF0AFC"/>
    <w:rsid w:val="124D2729"/>
    <w:rsid w:val="16AD3796"/>
    <w:rsid w:val="16F057DF"/>
    <w:rsid w:val="181E3044"/>
    <w:rsid w:val="1AE62470"/>
    <w:rsid w:val="1BCB52E7"/>
    <w:rsid w:val="1CD671F4"/>
    <w:rsid w:val="1F2117CA"/>
    <w:rsid w:val="206F4A96"/>
    <w:rsid w:val="20E11B2A"/>
    <w:rsid w:val="22853819"/>
    <w:rsid w:val="23427672"/>
    <w:rsid w:val="27AC5CEC"/>
    <w:rsid w:val="2BFD2298"/>
    <w:rsid w:val="306F38C2"/>
    <w:rsid w:val="30791007"/>
    <w:rsid w:val="30CF6D59"/>
    <w:rsid w:val="33F20F2A"/>
    <w:rsid w:val="33FE3E49"/>
    <w:rsid w:val="361330F5"/>
    <w:rsid w:val="38F03FA3"/>
    <w:rsid w:val="3C694B17"/>
    <w:rsid w:val="3E684CCF"/>
    <w:rsid w:val="417B3AF1"/>
    <w:rsid w:val="42857D1F"/>
    <w:rsid w:val="430E2742"/>
    <w:rsid w:val="45F40446"/>
    <w:rsid w:val="47C21209"/>
    <w:rsid w:val="4D4D1254"/>
    <w:rsid w:val="4D743966"/>
    <w:rsid w:val="4FBE01E7"/>
    <w:rsid w:val="51A0023B"/>
    <w:rsid w:val="51F66855"/>
    <w:rsid w:val="52D14331"/>
    <w:rsid w:val="552E40C0"/>
    <w:rsid w:val="55342CF9"/>
    <w:rsid w:val="5804000B"/>
    <w:rsid w:val="582C77D6"/>
    <w:rsid w:val="58FF69C3"/>
    <w:rsid w:val="5952350C"/>
    <w:rsid w:val="5A794B44"/>
    <w:rsid w:val="5A937B8D"/>
    <w:rsid w:val="5C022666"/>
    <w:rsid w:val="5C1C3B59"/>
    <w:rsid w:val="5C67E89C"/>
    <w:rsid w:val="5D8B722E"/>
    <w:rsid w:val="5DFB71EC"/>
    <w:rsid w:val="5E9242BA"/>
    <w:rsid w:val="60D5364F"/>
    <w:rsid w:val="66BA9C19"/>
    <w:rsid w:val="66CE1005"/>
    <w:rsid w:val="67513149"/>
    <w:rsid w:val="6776265C"/>
    <w:rsid w:val="68CF086E"/>
    <w:rsid w:val="68CF4966"/>
    <w:rsid w:val="6CB81676"/>
    <w:rsid w:val="6CBC6267"/>
    <w:rsid w:val="6DFCFD26"/>
    <w:rsid w:val="6FFFA012"/>
    <w:rsid w:val="73DDB5C0"/>
    <w:rsid w:val="77176AA7"/>
    <w:rsid w:val="7A4B1DC7"/>
    <w:rsid w:val="7A4F68BC"/>
    <w:rsid w:val="7A6425E0"/>
    <w:rsid w:val="7B5ADC6C"/>
    <w:rsid w:val="7DFBAB84"/>
    <w:rsid w:val="7DFF3641"/>
    <w:rsid w:val="7E1361CA"/>
    <w:rsid w:val="7EBDD599"/>
    <w:rsid w:val="7EF650DA"/>
    <w:rsid w:val="7FEF42CD"/>
    <w:rsid w:val="AE3FA42E"/>
    <w:rsid w:val="AFFB13F5"/>
    <w:rsid w:val="D7DD0CEF"/>
    <w:rsid w:val="E0779636"/>
    <w:rsid w:val="EE7390D2"/>
    <w:rsid w:val="EFFFF0DA"/>
    <w:rsid w:val="F72E4CC3"/>
    <w:rsid w:val="F77F9918"/>
    <w:rsid w:val="FDF5890D"/>
    <w:rsid w:val="FFFFE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555555"/>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8">
    <w:name w:val="页眉 字符"/>
    <w:basedOn w:val="8"/>
    <w:link w:val="5"/>
    <w:qFormat/>
    <w:uiPriority w:val="0"/>
    <w:rPr>
      <w:rFonts w:ascii="Calibri" w:hAnsi="Calibri"/>
      <w:kern w:val="2"/>
      <w:sz w:val="18"/>
      <w:szCs w:val="18"/>
    </w:rPr>
  </w:style>
  <w:style w:type="character" w:customStyle="1" w:styleId="19">
    <w:name w:val="页脚 字符"/>
    <w:basedOn w:val="8"/>
    <w:link w:val="4"/>
    <w:qFormat/>
    <w:uiPriority w:val="0"/>
    <w:rPr>
      <w:rFonts w:ascii="Calibri" w:hAnsi="Calibri"/>
      <w:kern w:val="2"/>
      <w:sz w:val="18"/>
      <w:szCs w:val="18"/>
    </w:rPr>
  </w:style>
  <w:style w:type="character" w:customStyle="1" w:styleId="20">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1034</Characters>
  <Lines>8</Lines>
  <Paragraphs>2</Paragraphs>
  <TotalTime>2</TotalTime>
  <ScaleCrop>false</ScaleCrop>
  <LinksUpToDate>false</LinksUpToDate>
  <CharactersWithSpaces>1213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cuiji</dc:creator>
  <cp:lastModifiedBy>kylin</cp:lastModifiedBy>
  <cp:lastPrinted>2022-01-04T09:18:00Z</cp:lastPrinted>
  <dcterms:modified xsi:type="dcterms:W3CDTF">2025-10-11T09:38:30Z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3BCF052F5496E5ADCF409C68F3DCD1F6_43</vt:lpwstr>
  </property>
</Properties>
</file>