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60288;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cs="Calibri"/>
          <w:sz w:val="24"/>
          <w:szCs w:val="24"/>
        </w:rPr>
      </w:pP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安</w:t>
      </w:r>
      <w:r>
        <w:rPr>
          <w:rFonts w:hint="eastAsia" w:ascii="仿宋_GB2312" w:hAnsi="仿宋" w:eastAsia="仿宋_GB2312" w:cs="Calibri"/>
          <w:sz w:val="24"/>
          <w:szCs w:val="24"/>
        </w:rPr>
        <w:t>）应急罚〔</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执法</w:t>
      </w:r>
      <w:r>
        <w:rPr>
          <w:rFonts w:hint="eastAsia" w:ascii="仿宋_GB2312" w:hAnsi="仿宋" w:eastAsia="仿宋_GB2312" w:cs="Calibri"/>
          <w:sz w:val="24"/>
          <w:szCs w:val="24"/>
          <w:lang w:val="en-US" w:eastAsia="zh-CN"/>
        </w:rPr>
        <w:t>-11</w:t>
      </w:r>
      <w:r>
        <w:rPr>
          <w:rFonts w:hint="eastAsia" w:ascii="仿宋_GB2312" w:hAnsi="仿宋" w:eastAsia="仿宋_GB2312" w:cs="Calibri"/>
          <w:sz w:val="24"/>
          <w:szCs w:val="24"/>
        </w:rPr>
        <w:t>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被处罚人：</w:t>
      </w:r>
      <w:r>
        <w:rPr>
          <w:rFonts w:hint="eastAsia" w:ascii="仿宋_GB2312" w:hAnsi="仿宋" w:eastAsia="仿宋_GB2312" w:cs="仿宋"/>
          <w:sz w:val="24"/>
          <w:szCs w:val="24"/>
          <w:u w:val="single"/>
          <w:lang w:val="en-US" w:eastAsia="zh-CN"/>
        </w:rPr>
        <w:t>程**</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性别：</w:t>
      </w:r>
      <w:r>
        <w:rPr>
          <w:rFonts w:hint="eastAsia" w:ascii="仿宋_GB2312" w:hAnsi="仿宋" w:eastAsia="仿宋_GB2312" w:cs="Calibri"/>
          <w:sz w:val="24"/>
          <w:szCs w:val="24"/>
          <w:u w:val="single"/>
          <w:lang w:val="en-US" w:eastAsia="zh-CN"/>
        </w:rPr>
        <w:t xml:space="preserve">男 </w:t>
      </w:r>
      <w:r>
        <w:rPr>
          <w:rFonts w:hint="eastAsia" w:ascii="仿宋_GB2312" w:hAnsi="仿宋" w:eastAsia="仿宋_GB2312" w:cs="Calibri"/>
          <w:sz w:val="24"/>
          <w:szCs w:val="24"/>
        </w:rPr>
        <w:t>年龄：</w:t>
      </w:r>
      <w:r>
        <w:rPr>
          <w:rFonts w:hint="eastAsia" w:ascii="仿宋_GB2312" w:hAnsi="仿宋" w:eastAsia="仿宋_GB2312" w:cs="宋体"/>
          <w:color w:val="121212"/>
          <w:kern w:val="0"/>
          <w:sz w:val="24"/>
          <w:szCs w:val="24"/>
          <w:u w:val="single"/>
          <w:lang w:val="en-US" w:eastAsia="zh-CN"/>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身份证号：</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宋体"/>
          <w:color w:val="121212"/>
          <w:kern w:val="0"/>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家庭住址：</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宋体"/>
          <w:color w:val="121212"/>
          <w:kern w:val="0"/>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宋体"/>
          <w:color w:val="121212"/>
          <w:kern w:val="0"/>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联系电话：</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宋体"/>
          <w:color w:val="121212"/>
          <w:kern w:val="0"/>
          <w:sz w:val="24"/>
          <w:szCs w:val="24"/>
          <w:u w:val="single"/>
          <w:lang w:val="en-US" w:eastAsia="zh-CN"/>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Calibri"/>
          <w:sz w:val="24"/>
          <w:szCs w:val="24"/>
        </w:rPr>
        <w:t>所在单位：</w:t>
      </w:r>
      <w:r>
        <w:rPr>
          <w:rFonts w:hint="eastAsia" w:ascii="仿宋_GB2312" w:hAnsi="仿宋" w:eastAsia="仿宋_GB2312" w:cs="Calibri"/>
          <w:sz w:val="24"/>
          <w:szCs w:val="24"/>
          <w:u w:val="single"/>
          <w:lang w:val="en-US" w:eastAsia="zh-CN"/>
        </w:rPr>
        <w:t xml:space="preserve">  云南贵凯建设工程有限公司</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宋体"/>
          <w:color w:val="121212"/>
          <w:kern w:val="0"/>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单位地址：</w:t>
      </w:r>
      <w:r>
        <w:rPr>
          <w:rFonts w:hint="eastAsia" w:ascii="仿宋_GB2312" w:hAnsi="仿宋" w:eastAsia="仿宋_GB2312" w:cs="Calibri"/>
          <w:sz w:val="24"/>
          <w:szCs w:val="24"/>
          <w:u w:val="single"/>
          <w:lang w:eastAsia="zh-CN"/>
        </w:rPr>
        <w:t>云南省昆明市安宁市县街街道</w:t>
      </w:r>
      <w:bookmarkStart w:id="0" w:name="_GoBack"/>
      <w:bookmarkEnd w:id="0"/>
      <w:r>
        <w:rPr>
          <w:rFonts w:hint="eastAsia" w:ascii="仿宋_GB2312" w:hAnsi="仿宋" w:eastAsia="仿宋_GB2312" w:cs="宋体"/>
          <w:color w:val="121212"/>
          <w:kern w:val="0"/>
          <w:sz w:val="24"/>
          <w:szCs w:val="24"/>
          <w:u w:val="single"/>
          <w:lang w:val="en-US" w:eastAsia="zh-CN"/>
        </w:rPr>
        <w:t xml:space="preserve">                                   </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sz w:val="24"/>
          <w:szCs w:val="24"/>
          <w:u w:val="single"/>
          <w:lang w:val="en-US"/>
        </w:rPr>
      </w:pPr>
      <w:r>
        <w:rPr>
          <w:rFonts w:hint="eastAsia" w:ascii="仿宋_GB2312" w:hAnsi="仿宋" w:eastAsia="仿宋_GB2312" w:cs="Calibri"/>
          <w:sz w:val="24"/>
          <w:szCs w:val="24"/>
        </w:rPr>
        <w:t>被处罚单位：</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地址：</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none"/>
          <w:lang w:val="en-US" w:eastAsia="zh-CN"/>
        </w:rPr>
        <w:t xml:space="preserve">  </w:t>
      </w:r>
      <w:r>
        <w:rPr>
          <w:rFonts w:hint="eastAsia" w:ascii="仿宋_GB2312" w:hAnsi="仿宋" w:eastAsia="仿宋_GB2312" w:cs="Calibri"/>
          <w:sz w:val="24"/>
          <w:szCs w:val="24"/>
        </w:rPr>
        <w:t>邮政编码：</w:t>
      </w:r>
      <w:r>
        <w:rPr>
          <w:rFonts w:hint="eastAsia" w:ascii="仿宋_GB2312" w:hAnsi="仿宋" w:eastAsia="仿宋_GB2312" w:cs="宋体"/>
          <w:color w:val="121212"/>
          <w:kern w:val="0"/>
          <w:sz w:val="24"/>
          <w:szCs w:val="24"/>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sz w:val="24"/>
          <w:szCs w:val="24"/>
          <w:u w:val="single"/>
          <w:lang w:val="en-US"/>
        </w:rPr>
      </w:pPr>
      <w:r>
        <w:rPr>
          <w:rFonts w:hint="eastAsia" w:ascii="仿宋_GB2312" w:hAnsi="仿宋" w:eastAsia="仿宋_GB2312" w:cs="Calibri"/>
          <w:sz w:val="24"/>
          <w:szCs w:val="24"/>
        </w:rPr>
        <w:t>法定代表人（负责人）：</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联系电话：</w:t>
      </w:r>
      <w:r>
        <w:rPr>
          <w:rFonts w:hint="eastAsia" w:ascii="仿宋_GB2312" w:hAnsi="仿宋" w:eastAsia="仿宋_GB2312" w:cs="仿宋"/>
          <w:sz w:val="24"/>
          <w:szCs w:val="24"/>
          <w:u w:val="single"/>
          <w:lang w:val="en-US" w:eastAsia="zh-CN"/>
        </w:rPr>
        <w:t xml:space="preserve">     /                             </w:t>
      </w:r>
    </w:p>
    <w:p>
      <w:pPr>
        <w:pStyle w:val="17"/>
        <w:keepNext w:val="0"/>
        <w:keepLines w:val="0"/>
        <w:pageBreakBefore w:val="0"/>
        <w:widowControl/>
        <w:numPr>
          <w:ilvl w:val="0"/>
          <w:numId w:val="0"/>
        </w:numPr>
        <w:kinsoku/>
        <w:wordWrap/>
        <w:overflowPunct/>
        <w:topLinePunct w:val="0"/>
        <w:autoSpaceDE/>
        <w:autoSpaceDN/>
        <w:bidi w:val="0"/>
        <w:adjustRightInd/>
        <w:snapToGrid/>
        <w:spacing w:after="0" w:line="460" w:lineRule="exact"/>
        <w:ind w:right="0" w:rightChars="0" w:firstLine="482" w:firstLineChars="200"/>
        <w:textAlignment w:val="auto"/>
        <w:rPr>
          <w:rFonts w:hint="eastAsia" w:ascii="仿宋_GB2312" w:hAnsi="仿宋" w:eastAsia="仿宋_GB2312" w:cs="仿宋"/>
          <w:b w:val="0"/>
          <w:bCs w:val="0"/>
          <w:color w:val="auto"/>
          <w:kern w:val="2"/>
          <w:sz w:val="24"/>
          <w:szCs w:val="24"/>
          <w:u w:val="single"/>
          <w:lang w:val="en-US" w:eastAsia="zh-CN" w:bidi="ar-SA"/>
        </w:rPr>
      </w:pPr>
      <w:r>
        <w:rPr>
          <w:rFonts w:hint="eastAsia" w:ascii="仿宋_GB2312" w:hAnsi="仿宋" w:eastAsia="仿宋_GB2312" w:cs="Calibri"/>
          <w:b/>
          <w:bCs/>
          <w:sz w:val="24"/>
          <w:szCs w:val="24"/>
        </w:rPr>
        <w:t>违法事实及证据</w:t>
      </w:r>
      <w:r>
        <w:rPr>
          <w:rFonts w:hint="eastAsia" w:ascii="仿宋_GB2312" w:hAnsi="仿宋" w:eastAsia="仿宋_GB2312" w:cs="Calibri"/>
          <w:sz w:val="24"/>
          <w:szCs w:val="24"/>
        </w:rPr>
        <w:t>：</w:t>
      </w:r>
      <w:r>
        <w:rPr>
          <w:rFonts w:hint="eastAsia" w:ascii="仿宋_GB2312" w:hAnsi="仿宋" w:cs="Calibri"/>
          <w:b w:val="0"/>
          <w:bCs/>
          <w:sz w:val="24"/>
          <w:szCs w:val="24"/>
          <w:u w:val="single"/>
          <w:lang w:eastAsia="zh-CN"/>
        </w:rPr>
        <w:t>程**</w:t>
      </w:r>
      <w:r>
        <w:rPr>
          <w:rFonts w:hint="eastAsia" w:ascii="仿宋_GB2312" w:hAnsi="仿宋" w:cs="仿宋"/>
          <w:b w:val="0"/>
          <w:bCs w:val="0"/>
          <w:color w:val="auto"/>
          <w:kern w:val="2"/>
          <w:sz w:val="24"/>
          <w:szCs w:val="24"/>
          <w:u w:val="single"/>
          <w:lang w:val="en-US" w:eastAsia="zh-CN" w:bidi="ar-SA"/>
        </w:rPr>
        <w:t>作为云南贵凯建设工程有限公司安全生产第一责任人存在未督促公司对承租单位尽到安全生产工作统一协调、管理的职责的违法行为。</w:t>
      </w:r>
      <w:r>
        <w:rPr>
          <w:rFonts w:hint="eastAsia" w:ascii="仿宋_GB2312" w:hAnsi="仿宋" w:eastAsia="仿宋_GB2312" w:cs="仿宋"/>
          <w:b/>
          <w:bCs/>
          <w:sz w:val="24"/>
          <w:szCs w:val="24"/>
          <w:u w:val="single"/>
          <w:lang w:val="en-US" w:eastAsia="zh-CN"/>
        </w:rPr>
        <w:t>主要证据如下：</w:t>
      </w:r>
      <w:r>
        <w:rPr>
          <w:rFonts w:hint="eastAsia" w:ascii="仿宋_GB2312" w:hAnsi="仿宋" w:eastAsia="仿宋_GB2312" w:cs="仿宋"/>
          <w:b/>
          <w:bCs/>
          <w:color w:val="auto"/>
          <w:kern w:val="2"/>
          <w:sz w:val="24"/>
          <w:szCs w:val="24"/>
          <w:u w:val="single"/>
          <w:lang w:val="en-US" w:eastAsia="zh-CN" w:bidi="ar-SA"/>
        </w:rPr>
        <w:t>证据一：</w:t>
      </w:r>
      <w:r>
        <w:rPr>
          <w:rFonts w:hint="eastAsia" w:ascii="仿宋_GB2312" w:hAnsi="仿宋" w:eastAsia="仿宋_GB2312" w:cs="仿宋"/>
          <w:b w:val="0"/>
          <w:bCs w:val="0"/>
          <w:color w:val="auto"/>
          <w:kern w:val="2"/>
          <w:sz w:val="24"/>
          <w:szCs w:val="24"/>
          <w:u w:val="single"/>
          <w:lang w:val="en-US" w:eastAsia="zh-CN" w:bidi="ar-SA"/>
        </w:rPr>
        <w:t>《安宁县街云南峥鑫钢结构建设工程有限公司“6·8”一般物体打击事故调查报告》，证明案件来源的合法性以及执法主体适格；</w:t>
      </w:r>
      <w:r>
        <w:rPr>
          <w:rFonts w:hint="eastAsia" w:ascii="仿宋_GB2312" w:hAnsi="仿宋" w:eastAsia="仿宋_GB2312" w:cs="仿宋"/>
          <w:b/>
          <w:bCs/>
          <w:color w:val="auto"/>
          <w:kern w:val="2"/>
          <w:sz w:val="24"/>
          <w:szCs w:val="24"/>
          <w:u w:val="single"/>
          <w:lang w:val="en-US" w:eastAsia="zh-CN" w:bidi="ar-SA"/>
        </w:rPr>
        <w:t>证据二：</w:t>
      </w:r>
      <w:r>
        <w:rPr>
          <w:rFonts w:hint="eastAsia" w:ascii="仿宋_GB2312" w:hAnsi="仿宋" w:eastAsia="仿宋_GB2312" w:cs="仿宋"/>
          <w:b w:val="0"/>
          <w:bCs w:val="0"/>
          <w:color w:val="auto"/>
          <w:kern w:val="2"/>
          <w:sz w:val="24"/>
          <w:szCs w:val="24"/>
          <w:u w:val="single"/>
          <w:lang w:val="en-US" w:eastAsia="zh-CN" w:bidi="ar-SA"/>
        </w:rPr>
        <w:t>云南贵凯建设工程有限公司营业执照、云南峥鑫钢结构建设工程有限公司营业执照、《厂房租赁合同》《安全生产协议书》《安全技术交底内容记录表》，证明1.2025年2月20日云南贵凯建设工程有限公司与云南峥鑫钢结构建设工程有限公司签订了《厂房租赁合同》，约定云南贵凯建设工程有限公司将坐落于云南省县街安宁监狱第二生产区D-E跨（5#厂房，此前为云南贵凯建设工程有限公司的三分厂）钢结构厂房及配套的生产设备租赁给云南峥鑫钢结构建设工程有限公司使用，租期为3年，自2025年2月20日至2028年2月19日止。2.2025年2月20日云南贵凯建设工程有限公司和云南峥鑫钢结构建设工程有限公司签订了《安全生产协议书》，明确了云南贵凯建设工程有限公司对云南峥鑫钢结构建设工程有限公司的安全生产工作负有监督、指导、检查的责任，同时约定了双方各自的权利义务。3.云南贵凯建设工程有限公司在2025年2月20日向云南峥鑫钢结构建设工程有限公司就出租的场地及配套设备进行了安全技术交底。</w:t>
      </w:r>
      <w:r>
        <w:rPr>
          <w:rFonts w:hint="eastAsia" w:ascii="仿宋_GB2312" w:hAnsi="仿宋" w:eastAsia="仿宋_GB2312" w:cs="仿宋"/>
          <w:b/>
          <w:bCs/>
          <w:color w:val="auto"/>
          <w:kern w:val="2"/>
          <w:sz w:val="24"/>
          <w:szCs w:val="24"/>
          <w:u w:val="single"/>
          <w:lang w:val="en-US" w:eastAsia="zh-CN" w:bidi="ar-SA"/>
        </w:rPr>
        <w:t>证据三：</w:t>
      </w:r>
      <w:r>
        <w:rPr>
          <w:rFonts w:hint="eastAsia" w:ascii="仿宋_GB2312" w:hAnsi="仿宋" w:eastAsia="仿宋_GB2312" w:cs="仿宋"/>
          <w:b w:val="0"/>
          <w:bCs w:val="0"/>
          <w:color w:val="auto"/>
          <w:kern w:val="2"/>
          <w:sz w:val="24"/>
          <w:szCs w:val="24"/>
          <w:u w:val="single"/>
          <w:lang w:val="en-US" w:eastAsia="zh-CN" w:bidi="ar-SA"/>
        </w:rPr>
        <w:t>《股东工作分配决议》，证明：</w:t>
      </w:r>
      <w:r>
        <w:rPr>
          <w:rFonts w:hint="eastAsia" w:ascii="仿宋_GB2312" w:hAnsi="仿宋" w:cs="仿宋"/>
          <w:b w:val="0"/>
          <w:bCs w:val="0"/>
          <w:color w:val="auto"/>
          <w:kern w:val="2"/>
          <w:sz w:val="24"/>
          <w:szCs w:val="24"/>
          <w:u w:val="single"/>
          <w:lang w:val="en-US" w:eastAsia="zh-CN" w:bidi="ar-SA"/>
        </w:rPr>
        <w:t>程**</w:t>
      </w:r>
      <w:r>
        <w:rPr>
          <w:rFonts w:hint="eastAsia" w:ascii="仿宋_GB2312" w:hAnsi="仿宋" w:eastAsia="仿宋_GB2312" w:cs="仿宋"/>
          <w:b w:val="0"/>
          <w:bCs w:val="0"/>
          <w:color w:val="auto"/>
          <w:kern w:val="2"/>
          <w:sz w:val="24"/>
          <w:szCs w:val="24"/>
          <w:u w:val="single"/>
          <w:lang w:val="en-US" w:eastAsia="zh-CN" w:bidi="ar-SA"/>
        </w:rPr>
        <w:t>系云南贵凯建设工程有限公司的安全生产负责人、安全管理领导小组组长，全权负责厂区的生产管理及安全工作；</w:t>
      </w:r>
      <w:r>
        <w:rPr>
          <w:rFonts w:hint="eastAsia" w:ascii="仿宋_GB2312" w:hAnsi="仿宋" w:eastAsia="仿宋_GB2312" w:cs="仿宋"/>
          <w:b/>
          <w:bCs/>
          <w:color w:val="auto"/>
          <w:kern w:val="2"/>
          <w:sz w:val="24"/>
          <w:szCs w:val="24"/>
          <w:u w:val="single"/>
          <w:lang w:val="en-US" w:eastAsia="zh-CN" w:bidi="ar-SA"/>
        </w:rPr>
        <w:t>证据四：</w:t>
      </w:r>
      <w:r>
        <w:rPr>
          <w:rFonts w:hint="eastAsia" w:ascii="仿宋_GB2312" w:hAnsi="仿宋" w:cs="仿宋"/>
          <w:b w:val="0"/>
          <w:bCs w:val="0"/>
          <w:color w:val="auto"/>
          <w:kern w:val="2"/>
          <w:sz w:val="24"/>
          <w:szCs w:val="24"/>
          <w:u w:val="single"/>
          <w:lang w:val="en-US" w:eastAsia="zh-CN" w:bidi="ar-SA"/>
        </w:rPr>
        <w:t>程**</w:t>
      </w:r>
      <w:r>
        <w:rPr>
          <w:rFonts w:hint="eastAsia" w:ascii="仿宋_GB2312" w:hAnsi="仿宋" w:eastAsia="仿宋_GB2312" w:cs="仿宋"/>
          <w:b w:val="0"/>
          <w:bCs w:val="0"/>
          <w:color w:val="auto"/>
          <w:kern w:val="2"/>
          <w:sz w:val="24"/>
          <w:szCs w:val="24"/>
          <w:u w:val="single"/>
          <w:lang w:val="en-US" w:eastAsia="zh-CN" w:bidi="ar-SA"/>
        </w:rPr>
        <w:t>询问笔录1份、范</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询问笔录1份、李</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询问笔录1份、徐</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询问笔录1份、李</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询问笔录1份、张</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询问笔录1份、张</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询问笔录1份、徐</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询问笔录1份、高</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询问笔录1份、罚款通知单复印件2份、事故监控视频1段，证明：云南贵凯建设工程有限公司落实企业主体责任不到位。云南贵凯建设工程有限公司作为出租方，对承租方云南峥鑫钢结构建设工程有限公司的安全生产工作统一协调、管理不到位，安全检查流于形式，未能有效对承租方在安全生产工作中的吊装操作不规范等问题进行督促整改，未严格按照安全生产管理协议的约定履行安全生产主体责任。</w:t>
      </w:r>
      <w:r>
        <w:rPr>
          <w:rFonts w:hint="eastAsia" w:ascii="仿宋_GB2312" w:hAnsi="仿宋" w:cs="仿宋"/>
          <w:b w:val="0"/>
          <w:bCs w:val="0"/>
          <w:color w:val="auto"/>
          <w:kern w:val="2"/>
          <w:sz w:val="24"/>
          <w:szCs w:val="24"/>
          <w:u w:val="single"/>
          <w:lang w:val="en-US" w:eastAsia="zh-CN" w:bidi="ar-SA"/>
        </w:rPr>
        <w:t xml:space="preserve">                             </w:t>
      </w:r>
      <w:r>
        <w:rPr>
          <w:rFonts w:hint="eastAsia" w:ascii="仿宋_GB2312" w:hAnsi="仿宋" w:cs="仿宋"/>
          <w:b w:val="0"/>
          <w:bCs w:val="0"/>
          <w:color w:val="auto"/>
          <w:kern w:val="2"/>
          <w:sz w:val="24"/>
          <w:szCs w:val="24"/>
          <w:u w:val="none"/>
          <w:lang w:val="en-US" w:eastAsia="zh-CN" w:bidi="ar-SA"/>
        </w:rPr>
        <w:t xml:space="preserve">             </w:t>
      </w:r>
    </w:p>
    <w:p>
      <w:pPr>
        <w:keepNext w:val="0"/>
        <w:keepLines w:val="0"/>
        <w:pageBreakBefore w:val="0"/>
        <w:widowControl w:val="0"/>
        <w:tabs>
          <w:tab w:val="left" w:pos="2265"/>
        </w:tabs>
        <w:kinsoku/>
        <w:wordWrap/>
        <w:overflowPunct/>
        <w:topLinePunct w:val="0"/>
        <w:autoSpaceDE/>
        <w:autoSpaceDN/>
        <w:bidi w:val="0"/>
        <w:adjustRightInd/>
        <w:snapToGrid/>
        <w:spacing w:line="460" w:lineRule="exact"/>
        <w:ind w:firstLine="480" w:firstLineChars="2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以上事实违反了</w:t>
      </w:r>
      <w:r>
        <w:rPr>
          <w:rFonts w:hint="eastAsia" w:ascii="仿宋_GB2312" w:hAnsi="仿宋" w:eastAsia="仿宋_GB2312" w:cs="仿宋"/>
          <w:b w:val="0"/>
          <w:bCs w:val="0"/>
          <w:color w:val="auto"/>
          <w:kern w:val="2"/>
          <w:sz w:val="24"/>
          <w:szCs w:val="24"/>
          <w:u w:val="single"/>
          <w:lang w:val="en-US" w:eastAsia="zh-CN" w:bidi="ar-SA"/>
        </w:rPr>
        <w:t>《中华人民共和国安全生产法》第四十九条第二款</w:t>
      </w:r>
      <w:r>
        <w:rPr>
          <w:rFonts w:hint="eastAsia" w:ascii="仿宋_GB2312" w:hAnsi="仿宋_GB2312" w:eastAsia="仿宋_GB2312" w:cs="仿宋_GB2312"/>
          <w:bCs/>
          <w:sz w:val="24"/>
          <w:szCs w:val="24"/>
          <w:u w:val="none"/>
          <w:lang w:val="en-US" w:eastAsia="zh-CN"/>
        </w:rPr>
        <w:t>的</w:t>
      </w:r>
      <w:r>
        <w:rPr>
          <w:rFonts w:hint="eastAsia" w:ascii="仿宋_GB2312" w:hAnsi="仿宋_GB2312" w:eastAsia="仿宋_GB2312" w:cs="仿宋_GB2312"/>
          <w:bCs/>
          <w:sz w:val="24"/>
          <w:szCs w:val="24"/>
          <w:lang w:val="en-US" w:eastAsia="zh-CN"/>
        </w:rPr>
        <w:t>规定。</w:t>
      </w:r>
      <w:r>
        <w:rPr>
          <w:rFonts w:hint="eastAsia" w:ascii="仿宋_GB2312" w:hAnsi="仿宋_GB2312" w:eastAsia="仿宋_GB2312" w:cs="仿宋_GB2312"/>
          <w:bCs/>
          <w:sz w:val="24"/>
          <w:szCs w:val="24"/>
          <w:u w:val="none"/>
          <w:lang w:val="en-US" w:eastAsia="zh-CN"/>
        </w:rPr>
        <w:t>依据</w:t>
      </w:r>
      <w:r>
        <w:rPr>
          <w:rFonts w:hint="eastAsia" w:ascii="仿宋_GB2312" w:hAnsi="仿宋_GB2312" w:eastAsia="仿宋_GB2312" w:cs="仿宋_GB2312"/>
          <w:bCs/>
          <w:sz w:val="24"/>
          <w:szCs w:val="24"/>
          <w:u w:val="single"/>
          <w:lang w:val="en-US" w:eastAsia="zh-CN"/>
        </w:rPr>
        <w:t>《中华人民共和国安全生产法》第一百零三条第二款，根据《应急管理行政处罚裁量权基准》第一部分适用说明第六条、第七条、第八条的规定，不存在依法从轻、减轻、从重、不予行政处罚的情形，适用《应急管理行政处罚裁量权基准》第二部分 裁量细则 第58号B档</w:t>
      </w:r>
      <w:r>
        <w:rPr>
          <w:rFonts w:hint="eastAsia" w:ascii="仿宋_GB2312" w:hAnsi="仿宋_GB2312" w:eastAsia="仿宋_GB2312" w:cs="仿宋_GB2312"/>
          <w:bCs/>
          <w:sz w:val="24"/>
          <w:szCs w:val="24"/>
          <w:u w:val="none"/>
          <w:lang w:val="en-US" w:eastAsia="zh-CN"/>
        </w:rPr>
        <w:t xml:space="preserve"> 的规定</w:t>
      </w:r>
      <w:r>
        <w:rPr>
          <w:rFonts w:hint="eastAsia" w:ascii="仿宋_GB2312" w:hAnsi="仿宋" w:eastAsia="仿宋_GB2312" w:cs="Calibri"/>
          <w:sz w:val="24"/>
          <w:szCs w:val="24"/>
        </w:rPr>
        <w:t>，决定</w:t>
      </w:r>
      <w:r>
        <w:rPr>
          <w:rFonts w:hint="eastAsia" w:ascii="仿宋_GB2312" w:hAnsi="仿宋" w:eastAsia="仿宋_GB2312" w:cs="Calibri"/>
          <w:sz w:val="24"/>
          <w:szCs w:val="24"/>
          <w:lang w:eastAsia="zh-CN"/>
        </w:rPr>
        <w:t>给予</w:t>
      </w:r>
      <w:r>
        <w:rPr>
          <w:rFonts w:hint="eastAsia" w:ascii="仿宋_GB2312" w:hAnsi="仿宋" w:eastAsia="仿宋_GB2312" w:cs="仿宋"/>
          <w:b w:val="0"/>
          <w:bCs w:val="0"/>
          <w:color w:val="auto"/>
          <w:kern w:val="2"/>
          <w:sz w:val="24"/>
          <w:szCs w:val="24"/>
          <w:u w:val="single"/>
          <w:lang w:val="en-US" w:eastAsia="zh-CN" w:bidi="ar-SA"/>
        </w:rPr>
        <w:t>程**</w:t>
      </w:r>
      <w:r>
        <w:rPr>
          <w:rFonts w:hint="eastAsia" w:ascii="仿宋_GB2312" w:hAnsi="仿宋" w:eastAsia="仿宋_GB2312" w:cs="仿宋"/>
          <w:sz w:val="24"/>
          <w:szCs w:val="24"/>
          <w:u w:val="single"/>
          <w:lang w:eastAsia="zh-CN"/>
        </w:rPr>
        <w:t>人民币5000元（大写：伍仟元整）罚款</w:t>
      </w:r>
      <w:r>
        <w:rPr>
          <w:rFonts w:hint="eastAsia" w:ascii="仿宋_GB2312" w:hAnsi="仿宋" w:eastAsia="仿宋_GB2312" w:cs="仿宋"/>
          <w:sz w:val="24"/>
          <w:szCs w:val="24"/>
        </w:rPr>
        <w:t>的</w:t>
      </w:r>
      <w:r>
        <w:rPr>
          <w:rFonts w:hint="eastAsia" w:ascii="仿宋_GB2312" w:hAnsi="仿宋" w:eastAsia="仿宋_GB2312" w:cs="仿宋"/>
          <w:sz w:val="24"/>
          <w:szCs w:val="24"/>
          <w:lang w:eastAsia="zh-CN"/>
        </w:rPr>
        <w:t>行政处罚。</w:t>
      </w:r>
    </w:p>
    <w:p>
      <w:pPr>
        <w:keepNext w:val="0"/>
        <w:keepLines w:val="0"/>
        <w:pageBreakBefore w:val="0"/>
        <w:widowControl w:val="0"/>
        <w:tabs>
          <w:tab w:val="left" w:pos="2265"/>
        </w:tabs>
        <w:kinsoku/>
        <w:wordWrap/>
        <w:overflowPunct/>
        <w:topLinePunct w:val="0"/>
        <w:autoSpaceDE/>
        <w:autoSpaceDN/>
        <w:bidi w:val="0"/>
        <w:adjustRightInd/>
        <w:snapToGrid/>
        <w:spacing w:line="460" w:lineRule="exact"/>
        <w:ind w:firstLine="480" w:firstLineChars="200"/>
        <w:textAlignment w:val="auto"/>
        <w:rPr>
          <w:rFonts w:hint="eastAsia" w:ascii="仿宋_GB2312" w:hAnsi="仿宋" w:eastAsia="仿宋_GB2312" w:cs="Calibri"/>
          <w:sz w:val="24"/>
          <w:szCs w:val="24"/>
          <w:highlight w:val="none"/>
        </w:rPr>
      </w:pPr>
      <w:r>
        <w:rPr>
          <w:rFonts w:hint="eastAsia" w:ascii="仿宋_GB2312" w:hAnsi="仿宋" w:eastAsia="仿宋_GB2312" w:cs="Calibri"/>
          <w:sz w:val="24"/>
          <w:szCs w:val="24"/>
          <w:highlight w:val="none"/>
        </w:rPr>
        <w:t>如果你不服本决定，可以依法在60日内向</w:t>
      </w:r>
      <w:r>
        <w:rPr>
          <w:rFonts w:hint="eastAsia" w:ascii="仿宋_GB2312" w:hAnsi="仿宋" w:eastAsia="仿宋_GB2312" w:cs="Calibri"/>
          <w:color w:val="000000"/>
          <w:sz w:val="24"/>
          <w:szCs w:val="24"/>
          <w:highlight w:val="none"/>
        </w:rPr>
        <w:t xml:space="preserve"> </w:t>
      </w:r>
      <w:r>
        <w:rPr>
          <w:rFonts w:hint="eastAsia" w:ascii="仿宋_GB2312" w:hAnsi="仿宋" w:eastAsia="仿宋_GB2312" w:cs="Calibri"/>
          <w:sz w:val="24"/>
          <w:szCs w:val="24"/>
          <w:highlight w:val="none"/>
          <w:u w:val="single"/>
        </w:rPr>
        <w:t xml:space="preserve"> </w:t>
      </w:r>
      <w:r>
        <w:rPr>
          <w:rFonts w:hint="eastAsia" w:ascii="仿宋_GB2312" w:hAnsi="仿宋" w:eastAsia="仿宋_GB2312" w:cs="Calibri"/>
          <w:sz w:val="24"/>
          <w:szCs w:val="24"/>
          <w:highlight w:val="none"/>
          <w:u w:val="single"/>
          <w:lang w:eastAsia="zh-CN"/>
        </w:rPr>
        <w:t>安宁市</w:t>
      </w:r>
      <w:r>
        <w:rPr>
          <w:rFonts w:hint="eastAsia" w:ascii="仿宋_GB2312" w:hAnsi="仿宋" w:eastAsia="仿宋_GB2312" w:cs="Calibri"/>
          <w:sz w:val="24"/>
          <w:szCs w:val="24"/>
          <w:highlight w:val="none"/>
          <w:u w:val="single"/>
        </w:rPr>
        <w:t xml:space="preserve"> </w:t>
      </w:r>
      <w:r>
        <w:rPr>
          <w:rFonts w:hint="eastAsia" w:ascii="仿宋_GB2312" w:hAnsi="仿宋" w:eastAsia="仿宋_GB2312" w:cs="Calibri"/>
          <w:color w:val="000000"/>
          <w:sz w:val="24"/>
          <w:szCs w:val="24"/>
          <w:highlight w:val="none"/>
        </w:rPr>
        <w:t xml:space="preserve"> 人民政府</w:t>
      </w:r>
      <w:r>
        <w:rPr>
          <w:rFonts w:hint="eastAsia" w:ascii="仿宋_GB2312" w:hAnsi="仿宋" w:eastAsia="仿宋_GB2312" w:cs="Calibri"/>
          <w:sz w:val="24"/>
          <w:szCs w:val="24"/>
          <w:highlight w:val="none"/>
        </w:rPr>
        <w:t>申请行政复议，或者</w:t>
      </w:r>
      <w:r>
        <w:rPr>
          <w:rFonts w:hint="eastAsia" w:ascii="仿宋_GB2312" w:hAnsi="仿宋" w:eastAsia="仿宋_GB2312" w:cs="Calibri"/>
          <w:color w:val="000000"/>
          <w:sz w:val="24"/>
          <w:szCs w:val="24"/>
          <w:highlight w:val="none"/>
        </w:rPr>
        <w:t>在6个月内依法向</w:t>
      </w:r>
      <w:r>
        <w:rPr>
          <w:rFonts w:hint="eastAsia" w:ascii="仿宋_GB2312" w:hAnsi="仿宋" w:eastAsia="仿宋_GB2312" w:cs="Calibri"/>
          <w:sz w:val="24"/>
          <w:szCs w:val="24"/>
          <w:highlight w:val="none"/>
          <w:u w:val="single"/>
        </w:rPr>
        <w:t xml:space="preserve">  </w:t>
      </w:r>
      <w:r>
        <w:rPr>
          <w:rFonts w:hint="eastAsia" w:ascii="仿宋_GB2312" w:hAnsi="仿宋" w:eastAsia="仿宋_GB2312" w:cs="Calibri"/>
          <w:sz w:val="24"/>
          <w:szCs w:val="24"/>
          <w:highlight w:val="none"/>
          <w:u w:val="single"/>
          <w:lang w:eastAsia="zh-CN"/>
        </w:rPr>
        <w:t>昆明铁路运输</w:t>
      </w:r>
      <w:r>
        <w:rPr>
          <w:rFonts w:hint="eastAsia" w:ascii="仿宋_GB2312" w:hAnsi="仿宋" w:eastAsia="仿宋_GB2312" w:cs="Calibri"/>
          <w:sz w:val="24"/>
          <w:szCs w:val="24"/>
          <w:highlight w:val="none"/>
          <w:u w:val="single"/>
        </w:rPr>
        <w:t xml:space="preserve"> </w:t>
      </w:r>
      <w:r>
        <w:rPr>
          <w:rFonts w:hint="eastAsia" w:ascii="仿宋_GB2312" w:hAnsi="仿宋" w:eastAsia="仿宋_GB2312" w:cs="Calibri"/>
          <w:sz w:val="24"/>
          <w:szCs w:val="24"/>
          <w:highlight w:val="none"/>
        </w:rPr>
        <w:t>法院提起行政诉讼，但本决定不停止执行，法律另有规定的除外。逾期不申请行政复议、不提起行政诉讼又不履行的，本机关将依法申请人民法院强制执行或者依照有关规定强制执行。</w:t>
      </w:r>
    </w:p>
    <w:p>
      <w:pPr>
        <w:keepNext w:val="0"/>
        <w:keepLines w:val="0"/>
        <w:pageBreakBefore w:val="0"/>
        <w:widowControl w:val="0"/>
        <w:tabs>
          <w:tab w:val="left" w:pos="2265"/>
        </w:tabs>
        <w:kinsoku/>
        <w:wordWrap/>
        <w:overflowPunct/>
        <w:topLinePunct w:val="0"/>
        <w:autoSpaceDE/>
        <w:autoSpaceDN/>
        <w:bidi w:val="0"/>
        <w:adjustRightInd/>
        <w:snapToGrid/>
        <w:spacing w:line="460" w:lineRule="exact"/>
        <w:ind w:firstLine="480" w:firstLineChars="200"/>
        <w:textAlignment w:val="auto"/>
        <w:rPr>
          <w:rFonts w:hint="eastAsia" w:ascii="仿宋_GB2312" w:hAnsi="仿宋" w:eastAsia="仿宋_GB2312" w:cs="Calibri"/>
          <w:sz w:val="24"/>
          <w:szCs w:val="24"/>
        </w:rPr>
      </w:pPr>
    </w:p>
    <w:p>
      <w:pPr>
        <w:pStyle w:val="2"/>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2"/>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2"/>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2"/>
        <w:rPr>
          <w:rFonts w:hint="eastAsia" w:ascii="仿宋_GB2312" w:hAnsi="仿宋" w:eastAsia="仿宋_GB2312" w:cs="Calibri"/>
          <w:sz w:val="24"/>
          <w:szCs w:val="24"/>
        </w:rPr>
      </w:pPr>
    </w:p>
    <w:p>
      <w:pPr>
        <w:rPr>
          <w:rFonts w:hint="eastAsia"/>
        </w:rPr>
      </w:pPr>
    </w:p>
    <w:p>
      <w:pPr>
        <w:pStyle w:val="2"/>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2"/>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firstLine="5520" w:firstLineChars="2300"/>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eastAsia="zh-CN"/>
        </w:rPr>
        <w:t>安宁市</w:t>
      </w:r>
      <w:r>
        <w:rPr>
          <w:rFonts w:hint="eastAsia" w:ascii="仿宋_GB2312" w:hAnsi="仿宋" w:eastAsia="仿宋_GB2312" w:cs="Calibri"/>
          <w:sz w:val="24"/>
          <w:szCs w:val="24"/>
        </w:rPr>
        <w:t>应急管理</w:t>
      </w:r>
      <w:r>
        <w:rPr>
          <w:rFonts w:hint="eastAsia" w:ascii="仿宋_GB2312" w:hAnsi="仿宋" w:eastAsia="仿宋_GB2312" w:cs="Calibri"/>
          <w:sz w:val="24"/>
          <w:szCs w:val="24"/>
          <w:lang w:eastAsia="zh-CN"/>
        </w:rPr>
        <w:t>局</w:t>
      </w:r>
      <w:r>
        <w:rPr>
          <w:rFonts w:hint="eastAsia" w:ascii="仿宋_GB2312" w:hAnsi="仿宋" w:eastAsia="仿宋_GB2312" w:cs="Calibri"/>
          <w:sz w:val="24"/>
          <w:szCs w:val="24"/>
        </w:rPr>
        <w:t>（印章）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Calibri"/>
          <w:color w:val="auto"/>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11</w:t>
      </w:r>
      <w:r>
        <w:rPr>
          <w:rFonts w:hint="eastAsia" w:ascii="仿宋_GB2312" w:hAnsi="仿宋" w:eastAsia="仿宋_GB2312" w:cs="Calibri"/>
          <w:color w:val="auto"/>
          <w:sz w:val="24"/>
          <w:szCs w:val="24"/>
        </w:rPr>
        <w:t>月</w:t>
      </w:r>
      <w:r>
        <w:rPr>
          <w:rFonts w:hint="eastAsia" w:ascii="仿宋_GB2312" w:hAnsi="仿宋" w:eastAsia="仿宋_GB2312" w:cs="Calibri"/>
          <w:color w:val="auto"/>
          <w:sz w:val="24"/>
          <w:szCs w:val="24"/>
          <w:lang w:val="en-US" w:eastAsia="zh-CN"/>
        </w:rPr>
        <w:t>6</w:t>
      </w:r>
      <w:r>
        <w:rPr>
          <w:rFonts w:hint="eastAsia" w:ascii="仿宋_GB2312" w:hAnsi="仿宋" w:eastAsia="仿宋_GB2312" w:cs="Calibri"/>
          <w:color w:val="auto"/>
          <w:sz w:val="24"/>
          <w:szCs w:val="24"/>
        </w:rPr>
        <w:t>日</w:t>
      </w:r>
    </w:p>
    <w:p>
      <w:pPr>
        <w:spacing w:line="20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1312;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Aw5KN76wEAALYDAAAOAAAAAAAAAAEAIAAAADUBAABkcnMvZTJvRG9j&#10;LnhtbFBLBQYAAAAABgAGAFkBAACSBQAAAAA=&#10;">
                <v:fill on="f" focussize="0,0"/>
                <v:stroke weight="1.5pt" color="#000000" joinstyle="round"/>
                <v:imagedata o:title=""/>
                <o:lock v:ext="edit" aspectratio="f"/>
              </v:line>
            </w:pict>
          </mc:Fallback>
        </mc:AlternateContent>
      </w:r>
    </w:p>
    <w:p>
      <w:r>
        <w:rPr>
          <w:rFonts w:hint="eastAsia" w:ascii="仿宋_GB2312" w:hAnsi="仿宋" w:eastAsia="仿宋_GB2312" w:cs="Calibri"/>
          <w:sz w:val="24"/>
          <w:szCs w:val="24"/>
        </w:rPr>
        <w:t>本文书一式两份：一份由应急管理部门备案，一份交被处罚人（单位）。</w:t>
      </w:r>
    </w:p>
    <w:sectPr>
      <w:footerReference r:id="rId3" w:type="default"/>
      <w:pgSz w:w="11906" w:h="16838"/>
      <w:pgMar w:top="1922" w:right="1588" w:bottom="113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1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MDNhNzI2M2UzNTJjYzZmYTViMmJhYmVlNWFjNTcifQ=="/>
  </w:docVars>
  <w:rsids>
    <w:rsidRoot w:val="00721F54"/>
    <w:rsid w:val="00323941"/>
    <w:rsid w:val="00721F54"/>
    <w:rsid w:val="008B5B7D"/>
    <w:rsid w:val="00A95CC8"/>
    <w:rsid w:val="01A2517A"/>
    <w:rsid w:val="069353E3"/>
    <w:rsid w:val="06E635A4"/>
    <w:rsid w:val="0B2844FC"/>
    <w:rsid w:val="0CA05EB7"/>
    <w:rsid w:val="0DB950F8"/>
    <w:rsid w:val="0E9110E1"/>
    <w:rsid w:val="0FBC2C18"/>
    <w:rsid w:val="10AF0AFC"/>
    <w:rsid w:val="124D2729"/>
    <w:rsid w:val="16AD3796"/>
    <w:rsid w:val="16F057DF"/>
    <w:rsid w:val="181E3044"/>
    <w:rsid w:val="1AE62470"/>
    <w:rsid w:val="1BCB52E7"/>
    <w:rsid w:val="1CD671F4"/>
    <w:rsid w:val="1F2117CA"/>
    <w:rsid w:val="206F4A96"/>
    <w:rsid w:val="20E11B2A"/>
    <w:rsid w:val="22853819"/>
    <w:rsid w:val="23427672"/>
    <w:rsid w:val="27AC5CEC"/>
    <w:rsid w:val="2BFD2298"/>
    <w:rsid w:val="306F38C2"/>
    <w:rsid w:val="30791007"/>
    <w:rsid w:val="30CF6D59"/>
    <w:rsid w:val="33F20F2A"/>
    <w:rsid w:val="33FE3E49"/>
    <w:rsid w:val="361330F5"/>
    <w:rsid w:val="38F03FA3"/>
    <w:rsid w:val="3C694B17"/>
    <w:rsid w:val="3E684CCF"/>
    <w:rsid w:val="3EAF0AB8"/>
    <w:rsid w:val="417B3AF1"/>
    <w:rsid w:val="42857D1F"/>
    <w:rsid w:val="430135BA"/>
    <w:rsid w:val="430E2742"/>
    <w:rsid w:val="45F40446"/>
    <w:rsid w:val="47175EA7"/>
    <w:rsid w:val="47C21209"/>
    <w:rsid w:val="4D4D1254"/>
    <w:rsid w:val="4D743966"/>
    <w:rsid w:val="4FBE01E7"/>
    <w:rsid w:val="51A0023B"/>
    <w:rsid w:val="51F66855"/>
    <w:rsid w:val="52D14331"/>
    <w:rsid w:val="552E40C0"/>
    <w:rsid w:val="55342CF9"/>
    <w:rsid w:val="5804000B"/>
    <w:rsid w:val="582C77D6"/>
    <w:rsid w:val="58FF69C3"/>
    <w:rsid w:val="5952350C"/>
    <w:rsid w:val="5A794B44"/>
    <w:rsid w:val="5A937B8D"/>
    <w:rsid w:val="5C022666"/>
    <w:rsid w:val="5C1C3B59"/>
    <w:rsid w:val="5D8B722E"/>
    <w:rsid w:val="5DFB71EC"/>
    <w:rsid w:val="5E9242BA"/>
    <w:rsid w:val="60D5364F"/>
    <w:rsid w:val="66CE1005"/>
    <w:rsid w:val="67513149"/>
    <w:rsid w:val="6776265C"/>
    <w:rsid w:val="68CF086E"/>
    <w:rsid w:val="68CF4966"/>
    <w:rsid w:val="6CB81676"/>
    <w:rsid w:val="6CBC6267"/>
    <w:rsid w:val="73929832"/>
    <w:rsid w:val="77176AA7"/>
    <w:rsid w:val="7A4B1DC7"/>
    <w:rsid w:val="7A4F68BC"/>
    <w:rsid w:val="7A6425E0"/>
    <w:rsid w:val="7BFF2D5A"/>
    <w:rsid w:val="7DFF3641"/>
    <w:rsid w:val="7E1361CA"/>
    <w:rsid w:val="7EF650DA"/>
    <w:rsid w:val="7FF73531"/>
    <w:rsid w:val="7FFDCA88"/>
    <w:rsid w:val="97F50E59"/>
    <w:rsid w:val="9F1F105A"/>
    <w:rsid w:val="9FBDBE9D"/>
    <w:rsid w:val="BFB3457D"/>
    <w:rsid w:val="EDFD1E45"/>
    <w:rsid w:val="EFEF89EE"/>
    <w:rsid w:val="F4FF76D3"/>
    <w:rsid w:val="F72E4CC3"/>
    <w:rsid w:val="FE78DB96"/>
    <w:rsid w:val="FE7FB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20"/>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555555"/>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555555"/>
      <w:u w:val="none"/>
    </w:rPr>
  </w:style>
  <w:style w:type="character" w:styleId="15">
    <w:name w:val="HTML Code"/>
    <w:basedOn w:val="8"/>
    <w:qFormat/>
    <w:uiPriority w:val="0"/>
    <w:rPr>
      <w:rFonts w:ascii="Courier New" w:hAnsi="Courier New"/>
      <w:sz w:val="20"/>
    </w:rPr>
  </w:style>
  <w:style w:type="character" w:styleId="16">
    <w:name w:val="HTML Cite"/>
    <w:basedOn w:val="8"/>
    <w:qFormat/>
    <w:uiPriority w:val="0"/>
  </w:style>
  <w:style w:type="paragraph" w:customStyle="1" w:styleId="17">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character" w:customStyle="1" w:styleId="18">
    <w:name w:val="页眉 字符"/>
    <w:basedOn w:val="8"/>
    <w:link w:val="5"/>
    <w:qFormat/>
    <w:uiPriority w:val="0"/>
    <w:rPr>
      <w:rFonts w:ascii="Calibri" w:hAnsi="Calibri"/>
      <w:kern w:val="2"/>
      <w:sz w:val="18"/>
      <w:szCs w:val="18"/>
    </w:rPr>
  </w:style>
  <w:style w:type="character" w:customStyle="1" w:styleId="19">
    <w:name w:val="页脚 字符"/>
    <w:basedOn w:val="8"/>
    <w:link w:val="4"/>
    <w:qFormat/>
    <w:uiPriority w:val="0"/>
    <w:rPr>
      <w:rFonts w:ascii="Calibri" w:hAnsi="Calibri"/>
      <w:kern w:val="2"/>
      <w:sz w:val="18"/>
      <w:szCs w:val="18"/>
    </w:rPr>
  </w:style>
  <w:style w:type="character" w:customStyle="1" w:styleId="20">
    <w:name w:val="批注框文本 字符"/>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1425</Words>
  <Characters>1505</Characters>
  <Lines>8</Lines>
  <Paragraphs>2</Paragraphs>
  <TotalTime>2</TotalTime>
  <ScaleCrop>false</ScaleCrop>
  <LinksUpToDate>false</LinksUpToDate>
  <CharactersWithSpaces>1790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cuiji</dc:creator>
  <cp:lastModifiedBy>kylin</cp:lastModifiedBy>
  <cp:lastPrinted>2025-11-21T21:43:00Z</cp:lastPrinted>
  <dcterms:modified xsi:type="dcterms:W3CDTF">2025-11-24T13:49:10Z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466BBE9A23D64BC6BB5966200109126F_13</vt:lpwstr>
  </property>
  <property fmtid="{D5CDD505-2E9C-101B-9397-08002B2CF9AE}" pid="4" name="KSOTemplateDocerSaveRecord">
    <vt:lpwstr>eyJoZGlkIjoiZThlNmMyZDc0MDM4NzYxNzI5NjQ4NjhlNTgwZTU0MmYiLCJ1c2VySWQiOiIxNTIxNTE3MzE1In0=</vt:lpwstr>
  </property>
</Properties>
</file>