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spacing w:val="0"/>
        </w:rPr>
      </w:pPr>
      <w:r>
        <w:rPr>
          <w:rFonts w:hint="eastAsia" w:ascii="宋体" w:hAnsi="宋体" w:cs="Times New Roman"/>
          <w:szCs w:val="21"/>
        </w:rPr>
        <w:t>地质灾害</w:t>
      </w:r>
      <w:r>
        <w:rPr>
          <w:rFonts w:hint="eastAsia"/>
          <w:spacing w:val="0"/>
        </w:rPr>
        <w:t>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九</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104754"/>
      <w:bookmarkStart w:id="1" w:name="_Toc202198755"/>
      <w:bookmarkStart w:id="2" w:name="_Toc202032472"/>
      <w:bookmarkStart w:id="3" w:name="_Toc202094014"/>
      <w:bookmarkStart w:id="4" w:name="_Toc5066"/>
      <w:bookmarkStart w:id="5" w:name="_Toc202049112"/>
      <w:bookmarkStart w:id="6" w:name="_Toc202203666"/>
      <w:bookmarkStart w:id="7" w:name="_Toc11728"/>
      <w:r>
        <w:rPr>
          <w:rFonts w:hint="eastAsia"/>
        </w:rPr>
        <w:t>颁布令</w:t>
      </w:r>
      <w:bookmarkEnd w:id="0"/>
      <w:bookmarkEnd w:id="1"/>
      <w:bookmarkEnd w:id="2"/>
      <w:bookmarkEnd w:id="3"/>
      <w:bookmarkEnd w:id="4"/>
      <w:bookmarkEnd w:id="5"/>
      <w:bookmarkEnd w:id="6"/>
      <w:bookmarkEnd w:id="7"/>
    </w:p>
    <w:p>
      <w:pPr>
        <w:ind w:firstLine="510"/>
        <w:rPr>
          <w:rFonts w:eastAsia="仿宋" w:cs="Times New Roman"/>
        </w:rPr>
      </w:pPr>
      <w:r>
        <w:rPr>
          <w:rFonts w:eastAsia="仿宋" w:cs="Times New Roman"/>
        </w:rPr>
        <w:t>根据</w:t>
      </w:r>
      <w:r>
        <w:rPr>
          <w:rFonts w:hint="eastAsia" w:eastAsia="仿宋" w:cs="Times New Roman"/>
        </w:rPr>
        <w:t>《中华人民共和国安全生产法》《中华人民共和国突发事件应对法》《国家自然灾害救助应急预案》《中华人民共和国气象法》《中华人民共和国防洪法》《中华人民共和国防震减灾法》《云南省突发事件应对条例》《云南省突发事件应急预案管理办法》《云南省突发事件预警信息发布管理办法》</w:t>
      </w:r>
      <w:r>
        <w:rPr>
          <w:rFonts w:eastAsia="仿宋" w:cs="Times New Roman"/>
        </w:rPr>
        <w:t>《化工园区安全风险排查治理导则》等法律法规、标准的规定，</w:t>
      </w:r>
      <w:r>
        <w:rPr>
          <w:rFonts w:hint="eastAsia" w:eastAsia="仿宋" w:cs="Times New Roman"/>
        </w:rPr>
        <w:t>参照《云南省突发地质灾害应急预案》，按照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简称“园区”）实施安全生产与应急一体化管理的要求，结合园区实际情况编制《</w:t>
      </w:r>
      <w:r>
        <w:rPr>
          <w:rFonts w:hint="eastAsia" w:eastAsia="仿宋" w:cs="Times New Roman"/>
          <w:lang w:eastAsia="zh-CN"/>
        </w:rPr>
        <w:t>安宁高新技术产业开发区草铺化工园区</w:t>
      </w:r>
      <w:r>
        <w:rPr>
          <w:rFonts w:hint="eastAsia" w:eastAsia="仿宋" w:cs="Times New Roman"/>
        </w:rPr>
        <w:t>地质灾害专项应急预案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8" w:name="_Toc202203667"/>
          <w:bookmarkStart w:id="9" w:name="_Toc202094015"/>
          <w:bookmarkStart w:id="10" w:name="_Toc202049113"/>
          <w:bookmarkStart w:id="11" w:name="_Toc18315"/>
          <w:bookmarkStart w:id="12" w:name="_Toc202104755"/>
          <w:bookmarkStart w:id="13" w:name="_Toc20955"/>
          <w:bookmarkStart w:id="14" w:name="_Toc202198756"/>
          <w:r>
            <w:rPr>
              <w:lang w:val="zh-CN"/>
            </w:rPr>
            <w:t>目录</w:t>
          </w:r>
          <w:bookmarkEnd w:id="8"/>
          <w:bookmarkEnd w:id="9"/>
          <w:bookmarkEnd w:id="10"/>
          <w:bookmarkEnd w:id="11"/>
          <w:bookmarkEnd w:id="12"/>
          <w:bookmarkEnd w:id="13"/>
          <w:bookmarkEnd w:id="14"/>
        </w:p>
        <w:p>
          <w:pPr>
            <w:pStyle w:val="16"/>
            <w:tabs>
              <w:tab w:val="right" w:leader="dot" w:pos="9185"/>
            </w:tabs>
          </w:pPr>
          <w:r>
            <w:rPr>
              <w:sz w:val="24"/>
              <w:szCs w:val="24"/>
            </w:rPr>
            <w:fldChar w:fldCharType="begin"/>
          </w:r>
          <w:r>
            <w:rPr>
              <w:sz w:val="24"/>
              <w:szCs w:val="24"/>
            </w:rPr>
            <w:instrText xml:space="preserve"> TOC \o "1-3" \h \z \u </w:instrText>
          </w:r>
          <w:r>
            <w:rPr>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_Toc16280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_Toc16280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_Toc12673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工作原则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_Toc12673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_Toc20888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_Toc20888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_Toc23122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_Toc23122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_Toc26067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_Toc28723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_Toc28723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_Toc12441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_Toc12441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_Toc24137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_Toc8259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_Toc29224 </w:instrText>
          </w:r>
          <w:r>
            <w:rPr>
              <w:rFonts w:hint="eastAsia" w:ascii="宋体" w:hAnsi="宋体" w:eastAsia="宋体" w:cs="宋体"/>
              <w:bCs/>
              <w:sz w:val="24"/>
              <w:szCs w:val="24"/>
              <w:lang w:val="zh-CN"/>
            </w:rPr>
            <w:fldChar w:fldCharType="separate"/>
          </w:r>
          <w:r>
            <w:rPr>
              <w:rFonts w:hint="eastAsia" w:ascii="宋体" w:hAnsi="宋体" w:eastAsia="宋体" w:cs="宋体"/>
              <w:bCs/>
              <w:iCs/>
              <w:kern w:val="2"/>
              <w:sz w:val="24"/>
              <w:szCs w:val="24"/>
              <w:lang w:val="en-US" w:eastAsia="zh-CN" w:bidi="ar-SA"/>
              <w14:ligatures w14:val="standardContextual"/>
            </w:rPr>
            <w:t>3.2.5应急工作组职责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_Toc29224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预防预警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_Toc22897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4.1预防措施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_Toc22897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_Toc9316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4.2地质灾害的监测与预警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_Toc9316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_Toc23866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4.3地质灾害的预警信息发布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_Toc23866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_Toc23002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_Toc23002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_Toc20994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_Toc13599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5.1响应分级标准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_Toc13599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_Toc10240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5.2分级响应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_Toc15847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_Toc15847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_Toc9984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5.3.1应急会议召开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_Toc9984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_Toc18424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5.3.2信息报送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_Toc18424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_Toc31289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5.3.3信息发布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_Toc31289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_Toc26151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5.3.</w:t>
          </w:r>
          <w:r>
            <w:rPr>
              <w:rFonts w:hint="eastAsia" w:ascii="宋体" w:hAnsi="宋体" w:eastAsia="宋体" w:cs="宋体"/>
              <w:sz w:val="24"/>
              <w:szCs w:val="24"/>
              <w:lang w:val="en-US" w:eastAsia="zh-CN"/>
            </w:rPr>
            <w:t>4</w:t>
          </w:r>
          <w:r>
            <w:rPr>
              <w:rFonts w:hint="eastAsia" w:ascii="宋体" w:hAnsi="宋体" w:eastAsia="宋体" w:cs="宋体"/>
              <w:sz w:val="24"/>
              <w:szCs w:val="24"/>
            </w:rPr>
            <w:t>资源协调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_Toc26151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_Toc5053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5.4应急处置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_Toc5053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_Toc2698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5.5恢复重建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_Toc2698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_Toc27757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 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_Toc27757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_Toc25875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_Toc25875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6.2 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_Toc23600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物资保障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_Toc23600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_Toc27345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经费保障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_Toc27345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_Toc5916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医疗卫生保障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_Toc5916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_Toc22819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_Toc22819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_Toc4102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治安保障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_Toc4102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_Toc16236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_Toc5184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附件1：化工园区</w:t>
          </w:r>
          <w:r>
            <w:rPr>
              <w:rFonts w:hint="eastAsia" w:ascii="宋体" w:hAnsi="宋体" w:eastAsia="宋体" w:cs="宋体"/>
              <w:sz w:val="24"/>
              <w:szCs w:val="24"/>
              <w:lang w:val="en-US" w:eastAsia="zh-CN"/>
            </w:rPr>
            <w:t>平面</w:t>
          </w:r>
          <w:r>
            <w:rPr>
              <w:rFonts w:hint="eastAsia" w:ascii="宋体" w:hAnsi="宋体" w:eastAsia="宋体" w:cs="宋体"/>
              <w:sz w:val="24"/>
              <w:szCs w:val="24"/>
            </w:rPr>
            <w:t>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_Toc5184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_Toc3874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附件2：园区“两重点一重大”企业分布情况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_Toc3874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 w:val="clear" w:pos="9175"/>
            </w:tabs>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_Toc2832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附件3：应急预案体系衔接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_Toc2832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5" w:name="_Toc16280"/>
      <w:r>
        <w:rPr>
          <w:rFonts w:hint="eastAsia"/>
        </w:rPr>
        <w:t>1 适用范围</w:t>
      </w:r>
      <w:bookmarkEnd w:id="15"/>
    </w:p>
    <w:p>
      <w:pPr>
        <w:ind w:firstLine="510"/>
        <w:rPr>
          <w:rFonts w:cs="Times New Roman"/>
        </w:rPr>
      </w:pPr>
      <w:r>
        <w:rPr>
          <w:rFonts w:hint="eastAsia"/>
        </w:rPr>
        <w:t>本专项预案适用于本园区的地质灾害预警预防、</w:t>
      </w:r>
      <w:r>
        <w:rPr>
          <w:rFonts w:hint="eastAsia" w:cs="Times New Roman"/>
        </w:rPr>
        <w:t>应急响应、救援处置和恢复重建工作。</w:t>
      </w:r>
    </w:p>
    <w:p>
      <w:pPr>
        <w:ind w:firstLine="510"/>
        <w:rPr>
          <w:rFonts w:cs="Times New Roman"/>
        </w:rPr>
      </w:pPr>
      <w:bookmarkStart w:id="16" w:name="_Hlk202182817"/>
      <w:r>
        <w:rPr>
          <w:rFonts w:hint="eastAsia"/>
        </w:rPr>
        <w:t>本</w:t>
      </w:r>
      <w:r>
        <w:rPr>
          <w:rFonts w:hint="eastAsia" w:cs="Times New Roman"/>
        </w:rPr>
        <w:t>预案</w:t>
      </w:r>
      <w:bookmarkEnd w:id="16"/>
      <w:r>
        <w:rPr>
          <w:rFonts w:hint="eastAsia" w:cs="Times New Roman"/>
        </w:rPr>
        <w:t>向上衔接《</w:t>
      </w:r>
      <w:r>
        <w:rPr>
          <w:rFonts w:hint="eastAsia" w:ascii="宋体" w:hAnsi="宋体" w:eastAsia="宋体" w:cs="宋体"/>
        </w:rPr>
        <w:t>《</w:t>
      </w:r>
      <w:r>
        <w:rPr>
          <w:rFonts w:hint="eastAsia" w:ascii="宋体" w:hAnsi="宋体" w:eastAsia="宋体" w:cs="宋体"/>
          <w:lang w:eastAsia="zh-CN"/>
        </w:rPr>
        <w:t>安宁高新技术产业开发区草铺化工园区</w:t>
      </w:r>
      <w:r>
        <w:rPr>
          <w:rFonts w:hint="eastAsia" w:ascii="宋体" w:hAnsi="宋体" w:eastAsia="宋体" w:cs="宋体"/>
        </w:rPr>
        <w:t>生产安全事故应急预案》以及《安宁市突发事件总体应急预案》</w:t>
      </w:r>
      <w:r>
        <w:rPr>
          <w:rFonts w:hint="eastAsia" w:cs="Times New Roman"/>
        </w:rPr>
        <w:t>，同上位“预案”相辅相成，是“上位”预案的具体补充；专项预案明确了地质灾害的具体分级响应要求，进一步细化了</w:t>
      </w:r>
      <w:r>
        <w:rPr>
          <w:rFonts w:hint="eastAsia"/>
        </w:rPr>
        <w:t>预警预防、</w:t>
      </w:r>
      <w:r>
        <w:rPr>
          <w:rFonts w:hint="eastAsia" w:cs="Times New Roman"/>
        </w:rPr>
        <w:t>应急响应、救援处置和恢复重建等方面的具体要求。</w:t>
      </w:r>
      <w:r>
        <w:rPr>
          <w:rFonts w:hint="eastAsia"/>
        </w:rPr>
        <w:t>本</w:t>
      </w:r>
      <w:r>
        <w:rPr>
          <w:rFonts w:hint="eastAsia" w:cs="Times New Roman"/>
        </w:rPr>
        <w:t>预案向下衔接辖区内各企业相关“应急预案”。</w:t>
      </w:r>
    </w:p>
    <w:p>
      <w:pPr>
        <w:ind w:firstLine="510"/>
        <w:rPr>
          <w:rFonts w:cs="Times New Roman"/>
        </w:rPr>
      </w:pPr>
      <w:bookmarkStart w:id="17" w:name="_Hlk202200636"/>
      <w:r>
        <w:rPr>
          <w:rFonts w:hint="eastAsia" w:cs="Times New Roman"/>
        </w:rPr>
        <w:t>当启动“上位”预案时，本预案随之启动。因地质灾害引发的特种设备事故、危险化学品泄漏事故、中毒窒息事故、火灾爆炸事故等，启动园区相应的“生产安全事故综合应急预案”和“专项应急预案”。</w:t>
      </w:r>
    </w:p>
    <w:bookmarkEnd w:id="17"/>
    <w:p>
      <w:pPr>
        <w:pStyle w:val="2"/>
        <w:rPr>
          <w:rFonts w:hint="eastAsia"/>
        </w:rPr>
      </w:pPr>
      <w:bookmarkStart w:id="18" w:name="_Toc12673"/>
      <w:r>
        <w:rPr>
          <w:rFonts w:hint="eastAsia"/>
        </w:rPr>
        <w:t xml:space="preserve">2 </w:t>
      </w:r>
      <w:r>
        <w:t>工作原则</w:t>
      </w:r>
      <w:bookmarkEnd w:id="18"/>
    </w:p>
    <w:p>
      <w:pPr>
        <w:widowControl/>
        <w:numPr>
          <w:ilvl w:val="0"/>
          <w:numId w:val="1"/>
        </w:numPr>
        <w:adjustRightInd/>
        <w:snapToGrid/>
        <w:spacing w:after="4" w:line="333" w:lineRule="auto"/>
        <w:ind w:firstLine="549" w:firstLineChars="0"/>
        <w:jc w:val="left"/>
        <w:rPr>
          <w:rFonts w:hint="eastAsia"/>
        </w:rPr>
      </w:pPr>
      <w:bookmarkStart w:id="19" w:name="_Toc16088"/>
      <w:bookmarkStart w:id="20" w:name="_Toc118838551"/>
      <w:r>
        <w:rPr>
          <w:rFonts w:hint="eastAsia"/>
        </w:rPr>
        <w:t>（1）以人为本，减少灾害。全面履行职能，把保护人民群众健康和生命财产安全作为应急救助的首要任务，确保受灾人员的基本生活。</w:t>
      </w:r>
    </w:p>
    <w:p>
      <w:pPr>
        <w:widowControl/>
        <w:numPr>
          <w:ilvl w:val="0"/>
          <w:numId w:val="1"/>
        </w:numPr>
        <w:adjustRightInd/>
        <w:snapToGrid/>
        <w:spacing w:after="4" w:line="333" w:lineRule="auto"/>
        <w:ind w:firstLine="549" w:firstLineChars="0"/>
        <w:jc w:val="left"/>
      </w:pPr>
      <w:r>
        <w:rPr>
          <w:rFonts w:hint="eastAsia"/>
        </w:rPr>
        <w:t>统一领导，综合协调。充分发挥安宁高新技术产业开发区管理委员会的指导、协调作用，加强有关单位在自然灾害应急救援工作中的协作和配合</w:t>
      </w:r>
      <w:r>
        <w:t>。</w:t>
      </w:r>
    </w:p>
    <w:p>
      <w:pPr>
        <w:widowControl/>
        <w:numPr>
          <w:ilvl w:val="0"/>
          <w:numId w:val="1"/>
        </w:numPr>
        <w:adjustRightInd/>
        <w:snapToGrid/>
        <w:spacing w:after="4" w:line="337" w:lineRule="auto"/>
        <w:ind w:firstLine="549" w:firstLineChars="0"/>
        <w:jc w:val="left"/>
      </w:pPr>
      <w:r>
        <w:t>坚持分级负责、属地管理为主，形成统一领导、分工明确、协调有序、配合密切、运转高效的应急救助工作机制。</w:t>
      </w:r>
    </w:p>
    <w:p>
      <w:pPr>
        <w:widowControl/>
        <w:numPr>
          <w:ilvl w:val="0"/>
          <w:numId w:val="1"/>
        </w:numPr>
        <w:adjustRightInd/>
        <w:snapToGrid/>
        <w:spacing w:after="4" w:line="337" w:lineRule="auto"/>
        <w:ind w:firstLine="549" w:firstLineChars="0"/>
        <w:jc w:val="left"/>
      </w:pPr>
      <w:r>
        <w:t>坚持政府主导、社会参与。园区管委会领导下，统筹园区和街道社会救援力量广泛参与，组织群众自救互救，充分发挥基层群众自治组织和公益性社会组织的作用，形成政府与社会组织应急救援合力。</w:t>
      </w:r>
    </w:p>
    <w:p>
      <w:pPr>
        <w:widowControl/>
        <w:numPr>
          <w:ilvl w:val="0"/>
          <w:numId w:val="1"/>
        </w:numPr>
        <w:adjustRightInd/>
        <w:snapToGrid/>
        <w:spacing w:after="4" w:line="337" w:lineRule="auto"/>
        <w:ind w:firstLine="549" w:firstLineChars="0"/>
        <w:jc w:val="left"/>
      </w:pPr>
      <w:r>
        <w:t>坚持依法依规、科学、快速反应、高效处置。充分发挥化工园区专业应急救援队伍及专家作用，提高科学应对自然灾害的能力，依法开展抢险救援工作。</w:t>
      </w:r>
    </w:p>
    <w:p>
      <w:pPr>
        <w:pStyle w:val="2"/>
        <w:rPr>
          <w:rFonts w:hint="eastAsia"/>
        </w:rPr>
      </w:pPr>
      <w:bookmarkStart w:id="21" w:name="_Toc20888"/>
      <w:r>
        <w:rPr>
          <w:rFonts w:hint="eastAsia"/>
        </w:rPr>
        <w:t>3 应急组织机构及职责</w:t>
      </w:r>
      <w:bookmarkEnd w:id="19"/>
      <w:bookmarkEnd w:id="21"/>
    </w:p>
    <w:bookmarkEnd w:id="20"/>
    <w:p>
      <w:pPr>
        <w:pStyle w:val="30"/>
        <w:rPr>
          <w:rFonts w:hint="eastAsia"/>
        </w:rPr>
      </w:pPr>
      <w:bookmarkStart w:id="22" w:name="_Toc23122"/>
      <w:r>
        <w:rPr>
          <w:rFonts w:hint="eastAsia"/>
        </w:rPr>
        <w:t>3.1应急救援指挥机构</w:t>
      </w:r>
      <w:bookmarkEnd w:id="22"/>
    </w:p>
    <w:p>
      <w:pPr>
        <w:ind w:firstLine="510"/>
      </w:pPr>
      <w:r>
        <w:rPr>
          <w:rFonts w:hint="eastAsia" w:ascii="宋体" w:hAnsi="宋体" w:eastAsia="宋体" w:cs="宋体"/>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r>
        <w:rPr>
          <w:rFonts w:hint="eastAsia"/>
        </w:rPr>
        <w:t>。</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3" w:name="_Toc26067"/>
      <w:r>
        <w:rPr>
          <w:rFonts w:hint="eastAsia"/>
        </w:rPr>
        <w:t>3.2职责体系</w:t>
      </w:r>
      <w:bookmarkEnd w:id="23"/>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24" w:name="_Toc23476"/>
      <w:bookmarkStart w:id="25" w:name="_Toc6914"/>
      <w:bookmarkStart w:id="26" w:name="_Toc28723"/>
      <w:r>
        <w:rPr>
          <w:rFonts w:hint="eastAsia" w:ascii="宋体" w:hAnsi="宋体" w:eastAsia="宋体" w:cs="宋体"/>
          <w:bCs/>
          <w:iCs/>
          <w:color w:val="auto"/>
          <w:kern w:val="2"/>
          <w:sz w:val="30"/>
          <w:szCs w:val="32"/>
          <w:u w:val="none"/>
          <w:lang w:val="en-US" w:eastAsia="zh-CN" w:bidi="ar-SA"/>
          <w14:ligatures w14:val="standardContextual"/>
        </w:rPr>
        <w:t>3.2.1应急指挥中心职责</w:t>
      </w:r>
      <w:bookmarkEnd w:id="24"/>
      <w:bookmarkEnd w:id="25"/>
      <w:bookmarkEnd w:id="26"/>
    </w:p>
    <w:p>
      <w:pPr>
        <w:ind w:firstLine="560"/>
        <w:rPr>
          <w:rFonts w:hint="eastAsia" w:ascii="宋体" w:hAnsi="宋体" w:eastAsia="宋体" w:cs="宋体"/>
          <w:u w:val="none"/>
        </w:rPr>
      </w:pPr>
      <w:r>
        <w:rPr>
          <w:rFonts w:hint="eastAsia" w:ascii="宋体" w:hAnsi="宋体" w:eastAsia="宋体" w:cs="宋体"/>
          <w:u w:val="none"/>
        </w:rPr>
        <w:t>贯彻执行国家、省、市和地方的法律法规、标准规范和其它文件有关生产安全事故应急管理工作的有关要求；在总指挥的领导下，开展园区内</w:t>
      </w:r>
      <w:r>
        <w:rPr>
          <w:rFonts w:hint="eastAsia" w:ascii="宋体" w:hAnsi="宋体" w:eastAsia="宋体" w:cs="宋体"/>
          <w:u w:val="none"/>
          <w:lang w:val="en-US" w:eastAsia="zh-CN"/>
        </w:rPr>
        <w:t>地质灾害专项</w:t>
      </w:r>
      <w:r>
        <w:rPr>
          <w:rFonts w:hint="eastAsia" w:ascii="宋体" w:hAnsi="宋体" w:eastAsia="宋体" w:cs="宋体"/>
          <w:u w:val="none"/>
        </w:rPr>
        <w:t>事故的应急处置工作和善后恢复工作。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27" w:name="_Toc5369"/>
      <w:bookmarkStart w:id="28" w:name="_Toc18993"/>
      <w:bookmarkStart w:id="29" w:name="_Toc12441"/>
      <w:r>
        <w:rPr>
          <w:rFonts w:hint="eastAsia" w:ascii="宋体" w:hAnsi="宋体" w:eastAsia="宋体" w:cs="宋体"/>
          <w:bCs/>
          <w:iCs/>
          <w:color w:val="auto"/>
          <w:kern w:val="2"/>
          <w:sz w:val="30"/>
          <w:szCs w:val="32"/>
          <w:u w:val="none"/>
          <w:lang w:val="en-US" w:eastAsia="zh-CN" w:bidi="ar-SA"/>
          <w14:ligatures w14:val="standardContextual"/>
        </w:rPr>
        <w:t>3.2.2应急指挥部总指挥职责</w:t>
      </w:r>
      <w:bookmarkEnd w:id="27"/>
      <w:bookmarkEnd w:id="28"/>
      <w:bookmarkEnd w:id="29"/>
    </w:p>
    <w:p>
      <w:pPr>
        <w:ind w:firstLine="560"/>
        <w:rPr>
          <w:rFonts w:hint="eastAsia" w:ascii="宋体" w:hAnsi="宋体" w:eastAsia="宋体" w:cs="宋体"/>
          <w:u w:val="none"/>
        </w:rPr>
      </w:pPr>
      <w:bookmarkStart w:id="30" w:name="_Hlk204681376"/>
      <w:r>
        <w:rPr>
          <w:rFonts w:hint="eastAsia" w:ascii="宋体" w:hAnsi="宋体" w:eastAsia="宋体" w:cs="宋体"/>
          <w:u w:val="none"/>
        </w:rPr>
        <w:t>应急指挥部总指挥由安宁高新技术产业开发区管理委员会副书记担任。</w:t>
      </w:r>
    </w:p>
    <w:bookmarkEnd w:id="30"/>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u w:val="none"/>
        </w:rPr>
      </w:pPr>
      <w:r>
        <w:rPr>
          <w:rFonts w:hint="eastAsia" w:ascii="宋体" w:hAnsi="宋体" w:eastAsia="宋体" w:cs="宋体"/>
          <w:u w:val="none"/>
        </w:rPr>
        <w:t>（2）组织制定应急预案，批准、发布应急预案。</w:t>
      </w:r>
    </w:p>
    <w:p>
      <w:pPr>
        <w:ind w:firstLine="560"/>
        <w:rPr>
          <w:rFonts w:hint="eastAsia" w:ascii="宋体" w:hAnsi="宋体" w:eastAsia="宋体" w:cs="宋体"/>
          <w:u w:val="none"/>
        </w:rPr>
      </w:pPr>
      <w:r>
        <w:rPr>
          <w:rFonts w:hint="eastAsia" w:ascii="宋体" w:hAnsi="宋体" w:eastAsia="宋体" w:cs="宋体"/>
          <w:u w:val="none"/>
        </w:rPr>
        <w:t>（3）组织开展应急培训、演练以及应急预案的评估、修编工作。</w:t>
      </w:r>
    </w:p>
    <w:p>
      <w:pPr>
        <w:ind w:firstLine="560"/>
        <w:rPr>
          <w:rFonts w:hint="eastAsia" w:ascii="宋体" w:hAnsi="宋体" w:eastAsia="宋体" w:cs="宋体"/>
          <w:u w:val="none"/>
        </w:rPr>
      </w:pPr>
      <w:r>
        <w:rPr>
          <w:rFonts w:hint="eastAsia" w:ascii="宋体" w:hAnsi="宋体" w:eastAsia="宋体" w:cs="宋体"/>
          <w:u w:val="none"/>
        </w:rPr>
        <w:t>（4）健全园区应急值班值守制度，按制度要求履行领导带班（值班）职责。</w:t>
      </w:r>
    </w:p>
    <w:p>
      <w:pPr>
        <w:ind w:firstLine="560"/>
        <w:rPr>
          <w:rFonts w:hint="eastAsia" w:ascii="宋体" w:hAnsi="宋体" w:eastAsia="宋体" w:cs="宋体"/>
          <w:u w:val="none"/>
        </w:rPr>
      </w:pPr>
      <w:r>
        <w:rPr>
          <w:rFonts w:hint="eastAsia" w:ascii="宋体" w:hAnsi="宋体" w:eastAsia="宋体" w:cs="宋体"/>
          <w:u w:val="none"/>
        </w:rPr>
        <w:t>（5）督促、检查应急指挥部成员应急职责落实情况。</w:t>
      </w:r>
    </w:p>
    <w:p>
      <w:pPr>
        <w:ind w:firstLine="560"/>
        <w:rPr>
          <w:rFonts w:hint="eastAsia" w:ascii="宋体" w:hAnsi="宋体" w:eastAsia="宋体" w:cs="宋体"/>
          <w:u w:val="none"/>
        </w:rPr>
      </w:pPr>
      <w:r>
        <w:rPr>
          <w:rFonts w:hint="eastAsia" w:ascii="宋体" w:hAnsi="宋体" w:eastAsia="宋体" w:cs="宋体"/>
          <w:u w:val="none"/>
        </w:rPr>
        <w:t>（6）定期召开应急管理专题会议，研究解决应急管理工作存在的问题。</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（7）履行相关法律、法规文件及园区制度体系规定的其它应急管理职责。</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u w:val="none"/>
        </w:rPr>
      </w:pPr>
      <w:r>
        <w:rPr>
          <w:rFonts w:hint="eastAsia" w:ascii="宋体" w:hAnsi="宋体" w:eastAsia="宋体" w:cs="宋体"/>
          <w:u w:val="none"/>
        </w:rPr>
        <w:t>（2）持续关注事态发展情况和应急处置情况，指导、调度现场指挥部实施救援，决策现场应急处置过程中的其它突发情况。</w:t>
      </w:r>
    </w:p>
    <w:p>
      <w:pPr>
        <w:ind w:firstLine="560"/>
        <w:rPr>
          <w:rFonts w:hint="eastAsia" w:ascii="宋体" w:hAnsi="宋体" w:eastAsia="宋体" w:cs="宋体"/>
          <w:u w:val="none"/>
        </w:rPr>
      </w:pPr>
      <w:r>
        <w:rPr>
          <w:rFonts w:hint="eastAsia" w:ascii="宋体" w:hAnsi="宋体" w:eastAsia="宋体" w:cs="宋体"/>
          <w:u w:val="none"/>
        </w:rPr>
        <w:t>（3）组织开展事故调查处理，安排办理结案工作。</w:t>
      </w:r>
    </w:p>
    <w:p>
      <w:pPr>
        <w:ind w:firstLine="560"/>
        <w:rPr>
          <w:rFonts w:hint="eastAsia" w:ascii="宋体" w:hAnsi="宋体" w:eastAsia="宋体" w:cs="宋体"/>
          <w:u w:val="none"/>
        </w:rPr>
      </w:pPr>
      <w:r>
        <w:rPr>
          <w:rFonts w:hint="eastAsia" w:ascii="宋体" w:hAnsi="宋体" w:eastAsia="宋体" w:cs="宋体"/>
          <w:u w:val="none"/>
        </w:rPr>
        <w:t>（4）扩大应急时，接受上级应急指挥机构的调动，按上级指挥机构的安排开展应急处置工作。</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1" w:name="_Toc24137"/>
      <w:bookmarkStart w:id="32" w:name="_Toc14690"/>
      <w:bookmarkStart w:id="33" w:name="_Toc28928"/>
      <w:r>
        <w:rPr>
          <w:rFonts w:hint="eastAsia" w:ascii="宋体" w:hAnsi="宋体" w:eastAsia="宋体" w:cs="宋体"/>
          <w:bCs/>
          <w:iCs/>
          <w:color w:val="auto"/>
          <w:kern w:val="2"/>
          <w:sz w:val="30"/>
          <w:szCs w:val="32"/>
          <w:u w:val="none"/>
          <w:lang w:val="en-US" w:eastAsia="zh-CN" w:bidi="ar-SA"/>
          <w14:ligatures w14:val="standardContextual"/>
        </w:rPr>
        <w:t>3.2.3应急指挥部副总指挥职责</w:t>
      </w:r>
      <w:bookmarkEnd w:id="31"/>
      <w:bookmarkEnd w:id="32"/>
      <w:bookmarkEnd w:id="33"/>
    </w:p>
    <w:p>
      <w:pPr>
        <w:ind w:firstLine="560"/>
        <w:rPr>
          <w:rFonts w:hint="eastAsia" w:ascii="宋体" w:hAnsi="宋体" w:eastAsia="宋体" w:cs="宋体"/>
          <w:u w:val="none"/>
        </w:rPr>
      </w:pPr>
      <w:bookmarkStart w:id="34" w:name="_Hlk204681392"/>
      <w:r>
        <w:rPr>
          <w:rFonts w:hint="eastAsia" w:ascii="宋体" w:hAnsi="宋体" w:eastAsia="宋体" w:cs="宋体"/>
          <w:u w:val="none"/>
        </w:rPr>
        <w:t>副总指挥由安宁高新技术产业开发区管理委员会</w:t>
      </w:r>
      <w:r>
        <w:rPr>
          <w:rFonts w:hint="eastAsia" w:ascii="宋体" w:hAnsi="宋体" w:eastAsia="宋体" w:cs="宋体"/>
          <w:u w:val="none"/>
          <w:lang w:val="en-US" w:eastAsia="zh-CN"/>
        </w:rPr>
        <w:t>党工委委员</w:t>
      </w:r>
      <w:r>
        <w:rPr>
          <w:rFonts w:hint="eastAsia" w:ascii="宋体" w:hAnsi="宋体" w:eastAsia="宋体" w:cs="宋体"/>
          <w:u w:val="none"/>
        </w:rPr>
        <w:t>担任。</w:t>
      </w:r>
    </w:p>
    <w:bookmarkEnd w:id="34"/>
    <w:p>
      <w:pPr>
        <w:ind w:firstLine="562"/>
        <w:rPr>
          <w:rFonts w:hint="eastAsia" w:ascii="宋体" w:hAnsi="宋体" w:eastAsia="宋体" w:cs="宋体"/>
          <w:b/>
          <w:bCs/>
          <w:u w:val="none"/>
        </w:rPr>
      </w:pPr>
      <w:r>
        <w:rPr>
          <w:rFonts w:hint="eastAsia" w:ascii="宋体" w:hAnsi="宋体" w:eastAsia="宋体" w:cs="宋体"/>
          <w:b/>
          <w:bCs/>
          <w:u w:val="none"/>
        </w:rPr>
        <w:t>1.日常应急管理职责</w:t>
      </w:r>
    </w:p>
    <w:p>
      <w:pPr>
        <w:ind w:firstLine="560"/>
        <w:rPr>
          <w:rFonts w:hint="eastAsia" w:ascii="宋体" w:hAnsi="宋体" w:eastAsia="宋体" w:cs="宋体"/>
          <w:u w:val="none"/>
        </w:rPr>
      </w:pPr>
      <w:r>
        <w:rPr>
          <w:rFonts w:hint="eastAsia" w:ascii="宋体" w:hAnsi="宋体" w:eastAsia="宋体" w:cs="宋体"/>
          <w:u w:val="none"/>
        </w:rPr>
        <w:t>（1）履行相关法律、法规文件及园区制度体系规定的本岗位应急管理职责。</w:t>
      </w:r>
    </w:p>
    <w:p>
      <w:pPr>
        <w:ind w:firstLine="560"/>
        <w:rPr>
          <w:rFonts w:hint="eastAsia" w:ascii="宋体" w:hAnsi="宋体" w:eastAsia="宋体" w:cs="宋体"/>
          <w:u w:val="none"/>
        </w:rPr>
      </w:pPr>
      <w:r>
        <w:rPr>
          <w:rFonts w:hint="eastAsia" w:ascii="宋体" w:hAnsi="宋体" w:eastAsia="宋体" w:cs="宋体"/>
          <w:u w:val="none"/>
        </w:rPr>
        <w:t>（2）协助总指挥做好应急管理日常工作，定期汇报本岗位分管应急工作情况。</w:t>
      </w:r>
    </w:p>
    <w:p>
      <w:pPr>
        <w:ind w:firstLine="560"/>
        <w:rPr>
          <w:rFonts w:hint="eastAsia" w:ascii="宋体" w:hAnsi="宋体" w:eastAsia="宋体" w:cs="宋体"/>
          <w:u w:val="none"/>
        </w:rPr>
      </w:pPr>
      <w:r>
        <w:rPr>
          <w:rFonts w:hint="eastAsia" w:ascii="宋体" w:hAnsi="宋体" w:eastAsia="宋体" w:cs="宋体"/>
          <w:u w:val="none"/>
        </w:rPr>
        <w:t>（3）参与应急预案编制、审核、评估、修订。</w:t>
      </w:r>
    </w:p>
    <w:p>
      <w:pPr>
        <w:ind w:firstLine="560"/>
        <w:rPr>
          <w:rFonts w:hint="eastAsia" w:ascii="宋体" w:hAnsi="宋体" w:eastAsia="宋体" w:cs="宋体"/>
          <w:u w:val="none"/>
        </w:rPr>
      </w:pPr>
      <w:r>
        <w:rPr>
          <w:rFonts w:hint="eastAsia" w:ascii="宋体" w:hAnsi="宋体" w:eastAsia="宋体" w:cs="宋体"/>
          <w:u w:val="none"/>
        </w:rPr>
        <w:t>（4）组织/参与应急培训和演练，不断提升应急管理能力和应急处置素养。</w:t>
      </w:r>
    </w:p>
    <w:p>
      <w:pPr>
        <w:ind w:firstLine="560"/>
        <w:rPr>
          <w:rFonts w:hint="eastAsia" w:ascii="宋体" w:hAnsi="宋体" w:eastAsia="宋体" w:cs="宋体"/>
          <w:u w:val="none"/>
        </w:rPr>
      </w:pPr>
      <w:r>
        <w:rPr>
          <w:rFonts w:hint="eastAsia" w:ascii="宋体" w:hAnsi="宋体" w:eastAsia="宋体" w:cs="宋体"/>
          <w:u w:val="none"/>
        </w:rPr>
        <w:t>（5）完成总指挥交办的其它日常应急管理工作。</w:t>
      </w:r>
    </w:p>
    <w:p>
      <w:pPr>
        <w:ind w:firstLine="562"/>
        <w:rPr>
          <w:rFonts w:hint="eastAsia" w:ascii="宋体" w:hAnsi="宋体" w:eastAsia="宋体" w:cs="宋体"/>
          <w:b/>
          <w:bCs/>
          <w:u w:val="none"/>
        </w:rPr>
      </w:pPr>
      <w:r>
        <w:rPr>
          <w:rFonts w:hint="eastAsia" w:ascii="宋体" w:hAnsi="宋体" w:eastAsia="宋体" w:cs="宋体"/>
          <w:b/>
          <w:bCs/>
          <w:u w:val="none"/>
        </w:rPr>
        <w:t>2.应急状态下职责</w:t>
      </w:r>
    </w:p>
    <w:p>
      <w:pPr>
        <w:ind w:firstLine="560"/>
        <w:rPr>
          <w:rFonts w:hint="eastAsia" w:ascii="宋体" w:hAnsi="宋体" w:eastAsia="宋体" w:cs="宋体"/>
          <w:u w:val="none"/>
        </w:rPr>
      </w:pPr>
      <w:r>
        <w:rPr>
          <w:rFonts w:hint="eastAsia" w:ascii="宋体" w:hAnsi="宋体" w:eastAsia="宋体" w:cs="宋体"/>
          <w:u w:val="none"/>
        </w:rPr>
        <w:t>（1）完成应急指挥部交办的工作任务。</w:t>
      </w:r>
    </w:p>
    <w:p>
      <w:pPr>
        <w:ind w:firstLine="560"/>
        <w:rPr>
          <w:rFonts w:hint="eastAsia" w:ascii="宋体" w:hAnsi="宋体" w:eastAsia="宋体" w:cs="宋体"/>
          <w:u w:val="none"/>
        </w:rPr>
      </w:pPr>
      <w:r>
        <w:rPr>
          <w:rFonts w:hint="eastAsia" w:ascii="宋体" w:hAnsi="宋体" w:eastAsia="宋体" w:cs="宋体"/>
          <w:u w:val="none"/>
        </w:rPr>
        <w:t>（2）当总指挥不在或不具备条件履行相应职责时，按领导班子成员排序自然接替总指挥开展应急处置工作，履行总指挥职责。</w:t>
      </w:r>
    </w:p>
    <w:p>
      <w:pPr>
        <w:ind w:firstLine="560"/>
        <w:rPr>
          <w:rFonts w:hint="eastAsia" w:ascii="宋体" w:hAnsi="宋体" w:eastAsia="宋体" w:cs="宋体"/>
          <w:u w:val="none"/>
        </w:rPr>
      </w:pPr>
      <w:r>
        <w:rPr>
          <w:rFonts w:hint="eastAsia" w:ascii="宋体" w:hAnsi="宋体" w:eastAsia="宋体" w:cs="宋体"/>
          <w:u w:val="none"/>
        </w:rPr>
        <w:t>（3）参与开展事故调查处理和办理结案，参与编制相关事故调查材料文件。</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5" w:name="_Toc2841"/>
      <w:bookmarkStart w:id="36" w:name="_Toc30081"/>
      <w:bookmarkStart w:id="37" w:name="_Toc8259"/>
      <w:r>
        <w:rPr>
          <w:rFonts w:hint="eastAsia" w:ascii="宋体" w:hAnsi="宋体" w:eastAsia="宋体" w:cs="宋体"/>
          <w:bCs/>
          <w:iCs/>
          <w:color w:val="auto"/>
          <w:kern w:val="2"/>
          <w:sz w:val="30"/>
          <w:szCs w:val="32"/>
          <w:u w:val="none"/>
          <w:lang w:val="en-US" w:eastAsia="zh-CN" w:bidi="ar-SA"/>
          <w14:ligatures w14:val="standardContextual"/>
        </w:rPr>
        <w:t>3.2.4应急指挥中心办公室职责</w:t>
      </w:r>
      <w:bookmarkEnd w:id="35"/>
      <w:bookmarkEnd w:id="36"/>
      <w:bookmarkEnd w:id="37"/>
    </w:p>
    <w:p>
      <w:pPr>
        <w:ind w:firstLine="560"/>
        <w:rPr>
          <w:rFonts w:hint="eastAsia" w:ascii="宋体" w:hAnsi="宋体" w:eastAsia="宋体" w:cs="宋体"/>
          <w:u w:val="none"/>
        </w:rPr>
      </w:pPr>
      <w:r>
        <w:rPr>
          <w:rFonts w:hint="eastAsia" w:ascii="宋体" w:hAnsi="宋体" w:eastAsia="宋体" w:cs="宋体"/>
          <w:u w:val="none"/>
        </w:rPr>
        <w:t>应急指挥中心办公室设在园区</w:t>
      </w:r>
      <w:r>
        <w:rPr>
          <w:rFonts w:hint="eastAsia" w:ascii="Times New Roman" w:hAnsi="Times New Roman" w:eastAsia="宋体" w:cs="宋体"/>
          <w:u w:val="none"/>
        </w:rPr>
        <w:t>安全生产和生态环境保护局</w:t>
      </w:r>
      <w:r>
        <w:rPr>
          <w:rFonts w:hint="eastAsia" w:ascii="宋体" w:hAnsi="宋体" w:eastAsia="宋体" w:cs="宋体"/>
          <w:u w:val="none"/>
        </w:rPr>
        <w:t>，办公室主任由园区安全生产和生态环境保护局</w:t>
      </w:r>
      <w:r>
        <w:rPr>
          <w:rFonts w:hint="eastAsia" w:ascii="宋体" w:hAnsi="宋体" w:eastAsia="宋体" w:cs="宋体"/>
          <w:u w:val="none"/>
          <w:lang w:val="en-US" w:eastAsia="zh-CN"/>
        </w:rPr>
        <w:t>局长</w:t>
      </w:r>
      <w:r>
        <w:rPr>
          <w:rFonts w:hint="eastAsia" w:ascii="宋体" w:hAnsi="宋体" w:eastAsia="宋体" w:cs="宋体"/>
          <w:u w:val="none"/>
        </w:rPr>
        <w:t>担任。负责园区应急管理工作的具体落实，主要应急管理工作职责如下：</w:t>
      </w:r>
    </w:p>
    <w:p>
      <w:pPr>
        <w:ind w:firstLine="560"/>
        <w:rPr>
          <w:rFonts w:hint="eastAsia" w:ascii="宋体" w:hAnsi="宋体" w:eastAsia="宋体" w:cs="宋体"/>
          <w:b/>
          <w:bCs/>
          <w:u w:val="none"/>
        </w:rPr>
      </w:pPr>
      <w:r>
        <w:rPr>
          <w:rFonts w:hint="eastAsia" w:ascii="宋体" w:hAnsi="宋体" w:eastAsia="宋体" w:cs="宋体"/>
          <w:u w:val="none"/>
        </w:rPr>
        <w:t>1.</w:t>
      </w:r>
      <w:r>
        <w:rPr>
          <w:rFonts w:hint="eastAsia" w:ascii="宋体" w:hAnsi="宋体" w:eastAsia="宋体" w:cs="宋体"/>
          <w:b/>
          <w:bCs/>
          <w:u w:val="none"/>
        </w:rPr>
        <w:t>日常应急管理职责</w:t>
      </w:r>
    </w:p>
    <w:p>
      <w:pPr>
        <w:ind w:firstLine="560"/>
        <w:rPr>
          <w:rFonts w:hint="eastAsia" w:ascii="宋体" w:hAnsi="宋体" w:eastAsia="宋体" w:cs="宋体"/>
          <w:u w:val="none"/>
        </w:rPr>
      </w:pPr>
      <w:r>
        <w:rPr>
          <w:rFonts w:hint="eastAsia" w:ascii="宋体" w:hAnsi="宋体" w:eastAsia="宋体" w:cs="宋体"/>
          <w:u w:val="none"/>
        </w:rPr>
        <w:t>（1）建立健全应急预案体系，制定应急预案，定期开展应急预案培训、演练、评估和修编工作。</w:t>
      </w:r>
    </w:p>
    <w:p>
      <w:pPr>
        <w:ind w:firstLine="560"/>
        <w:rPr>
          <w:rFonts w:hint="eastAsia" w:ascii="宋体" w:hAnsi="宋体" w:eastAsia="宋体" w:cs="宋体"/>
          <w:u w:val="none"/>
        </w:rPr>
      </w:pPr>
      <w:r>
        <w:rPr>
          <w:rFonts w:hint="eastAsia" w:ascii="宋体" w:hAnsi="宋体" w:eastAsia="宋体" w:cs="宋体"/>
          <w:u w:val="none"/>
        </w:rPr>
        <w:t>（2）研究解决应急管理工作中存在的问题。</w:t>
      </w:r>
    </w:p>
    <w:p>
      <w:pPr>
        <w:ind w:firstLine="560"/>
        <w:rPr>
          <w:rFonts w:hint="eastAsia" w:ascii="宋体" w:hAnsi="宋体" w:eastAsia="宋体" w:cs="宋体"/>
          <w:u w:val="none"/>
        </w:rPr>
      </w:pPr>
      <w:r>
        <w:rPr>
          <w:rFonts w:hint="eastAsia" w:ascii="宋体" w:hAnsi="宋体" w:eastAsia="宋体" w:cs="宋体"/>
          <w:u w:val="none"/>
        </w:rPr>
        <w:t>（3）监督指导入园企业编制和修订各类应急预案，组织或参与入园企业应急预案培训及应急演练。</w:t>
      </w:r>
    </w:p>
    <w:p>
      <w:pPr>
        <w:ind w:firstLine="560"/>
        <w:rPr>
          <w:rFonts w:hint="eastAsia" w:ascii="宋体" w:hAnsi="宋体" w:eastAsia="宋体" w:cs="宋体"/>
          <w:u w:val="none"/>
        </w:rPr>
      </w:pPr>
      <w:r>
        <w:rPr>
          <w:rFonts w:hint="eastAsia" w:ascii="宋体" w:hAnsi="宋体" w:eastAsia="宋体" w:cs="宋体"/>
          <w:u w:val="none"/>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u w:val="none"/>
        </w:rPr>
      </w:pPr>
      <w:r>
        <w:rPr>
          <w:rFonts w:hint="eastAsia" w:ascii="宋体" w:hAnsi="宋体" w:eastAsia="宋体" w:cs="宋体"/>
          <w:u w:val="none"/>
        </w:rPr>
        <w:t>（5）统筹规划、配置应急装备和物资等应急资源；与周边专/兼职应急救援队伍建立联系，实现应急救援工作区域互联互助。</w:t>
      </w:r>
    </w:p>
    <w:p>
      <w:pPr>
        <w:ind w:firstLine="560"/>
        <w:rPr>
          <w:rFonts w:hint="eastAsia" w:ascii="宋体" w:hAnsi="宋体" w:eastAsia="宋体" w:cs="宋体"/>
          <w:u w:val="none"/>
        </w:rPr>
      </w:pPr>
      <w:r>
        <w:rPr>
          <w:rFonts w:hint="eastAsia" w:ascii="宋体" w:hAnsi="宋体" w:eastAsia="宋体" w:cs="宋体"/>
          <w:u w:val="none"/>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u w:val="none"/>
        </w:rPr>
      </w:pPr>
      <w:r>
        <w:rPr>
          <w:rFonts w:hint="eastAsia" w:ascii="宋体" w:hAnsi="宋体" w:eastAsia="宋体" w:cs="宋体"/>
          <w:u w:val="none"/>
        </w:rPr>
        <w:t>（7）履行相关法律、法规文件及园区制度体系规定的安全生产和应急管理监督职责。</w:t>
      </w:r>
    </w:p>
    <w:p>
      <w:pPr>
        <w:ind w:firstLine="560"/>
        <w:rPr>
          <w:rFonts w:hint="eastAsia" w:ascii="宋体" w:hAnsi="宋体" w:eastAsia="宋体" w:cs="宋体"/>
          <w:u w:val="none"/>
        </w:rPr>
      </w:pPr>
      <w:r>
        <w:rPr>
          <w:rFonts w:hint="eastAsia" w:ascii="宋体" w:hAnsi="宋体" w:eastAsia="宋体" w:cs="宋体"/>
          <w:u w:val="none"/>
        </w:rPr>
        <w:t>2.</w:t>
      </w:r>
      <w:r>
        <w:rPr>
          <w:rFonts w:hint="eastAsia" w:ascii="宋体" w:hAnsi="宋体" w:eastAsia="宋体" w:cs="宋体"/>
          <w:b/>
          <w:bCs/>
          <w:u w:val="none"/>
        </w:rPr>
        <w:t>应急状态下职责</w:t>
      </w:r>
    </w:p>
    <w:p>
      <w:pPr>
        <w:ind w:firstLine="560"/>
        <w:rPr>
          <w:rFonts w:hint="eastAsia" w:ascii="宋体" w:hAnsi="宋体" w:eastAsia="宋体" w:cs="宋体"/>
          <w:u w:val="none"/>
        </w:rPr>
      </w:pPr>
      <w:r>
        <w:rPr>
          <w:rFonts w:hint="eastAsia" w:ascii="宋体" w:hAnsi="宋体" w:eastAsia="宋体" w:cs="宋体"/>
          <w:u w:val="none"/>
        </w:rPr>
        <w:t>（1）接收和记录事故信息和预警信息，上报应急指挥部。</w:t>
      </w:r>
    </w:p>
    <w:p>
      <w:pPr>
        <w:ind w:firstLine="560"/>
        <w:rPr>
          <w:rFonts w:hint="eastAsia" w:ascii="宋体" w:hAnsi="宋体" w:eastAsia="宋体" w:cs="宋体"/>
          <w:u w:val="none"/>
        </w:rPr>
      </w:pPr>
      <w:r>
        <w:rPr>
          <w:rFonts w:hint="eastAsia" w:ascii="宋体" w:hAnsi="宋体" w:eastAsia="宋体" w:cs="宋体"/>
          <w:u w:val="none"/>
        </w:rPr>
        <w:t>（2）按应急指挥部指令发布预警信息。</w:t>
      </w:r>
    </w:p>
    <w:p>
      <w:pPr>
        <w:ind w:firstLine="560"/>
        <w:rPr>
          <w:rFonts w:hint="eastAsia" w:ascii="宋体" w:hAnsi="宋体" w:eastAsia="宋体" w:cs="宋体"/>
          <w:u w:val="none"/>
        </w:rPr>
      </w:pPr>
      <w:r>
        <w:rPr>
          <w:rFonts w:hint="eastAsia" w:ascii="宋体" w:hAnsi="宋体" w:eastAsia="宋体" w:cs="宋体"/>
          <w:u w:val="none"/>
        </w:rPr>
        <w:t>（3）按应急指挥部指令向上级部门上报事故信息。</w:t>
      </w:r>
    </w:p>
    <w:p>
      <w:pPr>
        <w:keepNext/>
        <w:keepLines/>
        <w:widowControl w:val="0"/>
        <w:adjustRightInd/>
        <w:snapToGrid/>
        <w:spacing w:before="0" w:after="0" w:line="360" w:lineRule="auto"/>
        <w:ind w:firstLine="552" w:firstLineChars="200"/>
        <w:jc w:val="left"/>
        <w:outlineLvl w:val="2"/>
        <w:rPr>
          <w:rFonts w:hint="eastAsia" w:ascii="宋体" w:hAnsi="宋体" w:eastAsia="宋体" w:cs="宋体"/>
          <w:bCs/>
          <w:iCs/>
          <w:color w:val="auto"/>
          <w:kern w:val="2"/>
          <w:sz w:val="30"/>
          <w:szCs w:val="32"/>
          <w:u w:val="none"/>
          <w:lang w:val="en-US" w:eastAsia="zh-CN" w:bidi="ar-SA"/>
          <w14:ligatures w14:val="standardContextual"/>
        </w:rPr>
      </w:pPr>
      <w:bookmarkStart w:id="38" w:name="_Toc29224"/>
      <w:bookmarkStart w:id="39" w:name="_Toc8498"/>
      <w:bookmarkStart w:id="40" w:name="_Toc25663"/>
      <w:r>
        <w:rPr>
          <w:rFonts w:hint="eastAsia" w:ascii="宋体" w:hAnsi="宋体" w:eastAsia="宋体" w:cs="宋体"/>
          <w:bCs/>
          <w:iCs/>
          <w:color w:val="auto"/>
          <w:kern w:val="2"/>
          <w:sz w:val="30"/>
          <w:szCs w:val="32"/>
          <w:u w:val="none"/>
          <w:lang w:val="en-US" w:eastAsia="zh-CN" w:bidi="ar-SA"/>
          <w14:ligatures w14:val="standardContextual"/>
        </w:rPr>
        <w:t>3.2.5应急工作组职责</w:t>
      </w:r>
      <w:bookmarkEnd w:id="38"/>
      <w:bookmarkEnd w:id="39"/>
      <w:bookmarkEnd w:id="40"/>
    </w:p>
    <w:p>
      <w:pPr>
        <w:ind w:firstLine="560"/>
        <w:rPr>
          <w:rFonts w:hint="eastAsia" w:ascii="宋体" w:hAnsi="宋体" w:eastAsia="宋体" w:cs="宋体"/>
          <w:u w:val="none"/>
        </w:rPr>
      </w:pPr>
      <w:r>
        <w:rPr>
          <w:rFonts w:hint="eastAsia" w:ascii="宋体" w:hAnsi="宋体" w:eastAsia="宋体" w:cs="宋体"/>
          <w:u w:val="none"/>
        </w:rPr>
        <w:t>现场应急指挥应围绕事发企业应急组织机构和应急处置能力展开，各工作组的组成或责任部门应同事发企业相关工作组成员有机结合，各工作组的责任部门/单位以及应急工作职责详见下表。</w:t>
      </w:r>
    </w:p>
    <w:p>
      <w:pPr>
        <w:widowControl w:val="0"/>
        <w:adjustRightInd/>
        <w:snapToGrid/>
        <w:spacing w:line="360" w:lineRule="auto"/>
        <w:ind w:firstLine="432" w:firstLineChars="200"/>
        <w:jc w:val="center"/>
        <w:rPr>
          <w:rFonts w:hint="eastAsia" w:ascii="宋体" w:hAnsi="宋体" w:eastAsia="宋体" w:cs="宋体"/>
          <w:b/>
          <w:iCs/>
          <w:kern w:val="2"/>
          <w:sz w:val="24"/>
          <w:u w:val="none"/>
          <w:lang w:val="en-US" w:eastAsia="zh-CN" w:bidi="ar-SA"/>
          <w14:ligatures w14:val="standardContextual"/>
        </w:rPr>
      </w:pPr>
      <w:r>
        <w:rPr>
          <w:rFonts w:hint="eastAsia" w:ascii="宋体" w:hAnsi="宋体" w:eastAsia="宋体" w:cs="宋体"/>
          <w:b/>
          <w:iCs/>
          <w:kern w:val="2"/>
          <w:sz w:val="24"/>
          <w:u w:val="none"/>
          <w:lang w:val="en-US" w:eastAsia="zh-CN" w:bidi="ar-SA"/>
          <w14:ligatures w14:val="standardContextual"/>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ind w:firstLine="510"/>
      </w:pPr>
      <w:r>
        <w:br w:type="page"/>
      </w:r>
    </w:p>
    <w:p>
      <w:pPr>
        <w:pStyle w:val="2"/>
        <w:rPr>
          <w:rFonts w:hint="eastAsia"/>
        </w:rPr>
      </w:pPr>
      <w:bookmarkStart w:id="41" w:name="_Toc2604"/>
      <w:r>
        <w:rPr>
          <w:rFonts w:hint="eastAsia"/>
        </w:rPr>
        <w:t>4 预防预警</w:t>
      </w:r>
      <w:bookmarkEnd w:id="41"/>
    </w:p>
    <w:p>
      <w:pPr>
        <w:pStyle w:val="30"/>
        <w:rPr>
          <w:rFonts w:hint="eastAsia"/>
        </w:rPr>
      </w:pPr>
      <w:bookmarkStart w:id="42" w:name="_Toc22897"/>
      <w:r>
        <w:rPr>
          <w:rFonts w:hint="eastAsia"/>
        </w:rPr>
        <w:t>4.1</w:t>
      </w:r>
      <w:r>
        <w:t>预防措施</w:t>
      </w:r>
      <w:bookmarkEnd w:id="42"/>
    </w:p>
    <w:p>
      <w:pPr>
        <w:ind w:firstLine="510"/>
      </w:pPr>
      <w:r>
        <w:rPr>
          <w:rFonts w:hint="eastAsia"/>
        </w:rPr>
        <w:t>1.</w:t>
      </w:r>
      <w:r>
        <w:t>实行调查制度</w:t>
      </w:r>
    </w:p>
    <w:p>
      <w:pPr>
        <w:ind w:firstLine="510"/>
      </w:pPr>
      <w:r>
        <w:rPr>
          <w:rFonts w:hint="eastAsia"/>
          <w:lang w:val="en-US" w:eastAsia="zh-CN"/>
        </w:rPr>
        <w:t>园区牵头相关</w:t>
      </w:r>
      <w:r>
        <w:t>部门和相关街道组织开展地质灾害隐患的排查、巡查和灾后复查，及时发现和防范地质灾害隐患。对可能威胁人口密集区域的重大地质灾害隐患点，组织力量进行勘查，查明其成因和危害程度。对难以确认的地质灾害隐患，及时组织专业队伍进行现场核查。应急期内，应急指挥部加强对地质灾害隐患排查工作的督导，督导情况及时上报管委会。</w:t>
      </w:r>
    </w:p>
    <w:p>
      <w:pPr>
        <w:ind w:firstLine="510"/>
      </w:pPr>
      <w:r>
        <w:rPr>
          <w:rFonts w:hint="eastAsia"/>
        </w:rPr>
        <w:t>2.</w:t>
      </w:r>
      <w:r>
        <w:t>编制防治方案</w:t>
      </w:r>
    </w:p>
    <w:p>
      <w:pPr>
        <w:ind w:firstLine="510"/>
      </w:pPr>
      <w:r>
        <w:t>依据地质灾害防治规划和调查结果，编制本年度地质灾害防治方案，并公布实施。明确重点防范期，制订具体有效的地质灾害防治措施，确定地质灾害监测、预防责任人等。</w:t>
      </w:r>
    </w:p>
    <w:p>
      <w:pPr>
        <w:ind w:firstLine="510"/>
      </w:pPr>
      <w:r>
        <w:rPr>
          <w:rFonts w:hint="eastAsia"/>
        </w:rPr>
        <w:t>3.</w:t>
      </w:r>
      <w:r>
        <w:t>建立巡查、报告制度</w:t>
      </w:r>
    </w:p>
    <w:p>
      <w:pPr>
        <w:ind w:firstLine="510"/>
      </w:pPr>
      <w:r>
        <w:t>建立健全地质灾害隐患巡查制度。在地质灾害重点防范期内，加强地质灾害险情的巡回检查。巡查工作充分发挥专业队伍和地质灾害群测群防网络的作用，发现险情及时报告上级主管部门，主管部门核实后，立即报管委会。</w:t>
      </w:r>
    </w:p>
    <w:p>
      <w:pPr>
        <w:ind w:firstLine="510"/>
      </w:pPr>
      <w:r>
        <w:rPr>
          <w:rFonts w:hint="eastAsia"/>
        </w:rPr>
        <w:t>4.</w:t>
      </w:r>
      <w:r>
        <w:t>落实值班制度</w:t>
      </w:r>
    </w:p>
    <w:p>
      <w:pPr>
        <w:ind w:firstLine="510"/>
      </w:pPr>
      <w:r>
        <w:t xml:space="preserve">各级地质灾害防治主管部门在主汛期、持续强降雨暴雨等极端天气时段、突发地质灾害应急抢险和处置期间，实行 </w:t>
      </w:r>
      <w:r>
        <w:rPr>
          <w:rFonts w:eastAsia="Times New Roman" w:cs="Times New Roman"/>
        </w:rPr>
        <w:t xml:space="preserve">24 </w:t>
      </w:r>
      <w:r>
        <w:t>小时值班和领导带班制度，确保地质灾害信息渠道畅通，提高地质灾害预警和应急处置能力。</w:t>
      </w:r>
    </w:p>
    <w:p>
      <w:pPr>
        <w:pStyle w:val="30"/>
        <w:rPr>
          <w:rFonts w:hint="eastAsia"/>
        </w:rPr>
      </w:pPr>
      <w:bookmarkStart w:id="43" w:name="_Toc9316"/>
      <w:r>
        <w:rPr>
          <w:rFonts w:hint="eastAsia"/>
        </w:rPr>
        <w:t>4.2</w:t>
      </w:r>
      <w:r>
        <w:t>地质灾害的监测与预警</w:t>
      </w:r>
      <w:bookmarkEnd w:id="43"/>
    </w:p>
    <w:p>
      <w:pPr>
        <w:ind w:firstLine="510"/>
      </w:pPr>
      <w:r>
        <w:rPr>
          <w:rFonts w:hint="eastAsia"/>
        </w:rPr>
        <w:t>1.</w:t>
      </w:r>
      <w:r>
        <w:t>建立健全监测网络</w:t>
      </w:r>
    </w:p>
    <w:p>
      <w:pPr>
        <w:ind w:firstLine="510"/>
      </w:pPr>
      <w:r>
        <w:t>地质灾害监测、预警由</w:t>
      </w:r>
      <w:r>
        <w:rPr>
          <w:rFonts w:hint="eastAsia"/>
          <w:lang w:val="en-US" w:eastAsia="zh-CN"/>
        </w:rPr>
        <w:t>安宁市</w:t>
      </w:r>
      <w:r>
        <w:t>自然资源主管部门负责。地质灾害易发区内的街道办事处要健全以骨干群众为主体的群防队伍，完善群防网络。园区配合</w:t>
      </w:r>
      <w:r>
        <w:rPr>
          <w:rFonts w:hint="eastAsia"/>
          <w:lang w:val="en-US" w:eastAsia="zh-CN"/>
        </w:rPr>
        <w:t>安宁市</w:t>
      </w:r>
      <w:r>
        <w:t>自然资源局在受地质灾害威胁地段，建立专业监测点，开展气象、地质灾害联合监测，建立综合监测预警网络。</w:t>
      </w:r>
    </w:p>
    <w:p>
      <w:pPr>
        <w:ind w:firstLine="510"/>
      </w:pPr>
      <w:r>
        <w:rPr>
          <w:rFonts w:hint="eastAsia"/>
        </w:rPr>
        <w:t>2.</w:t>
      </w:r>
      <w:r>
        <w:t>监测预警信息共享</w:t>
      </w:r>
    </w:p>
    <w:p>
      <w:pPr>
        <w:ind w:firstLine="510"/>
      </w:pPr>
      <w:r>
        <w:t>园区各部门在获得相关监测预警信息后，要加强监测预警信息共享，实现地质灾害监测预警系统与气象灾害预警预报系统等互联互通、信息共享，提高预警时效性及准确性。预警信息应及时通报指挥部。</w:t>
      </w:r>
    </w:p>
    <w:p>
      <w:pPr>
        <w:ind w:firstLine="510"/>
      </w:pPr>
      <w:r>
        <w:rPr>
          <w:rFonts w:hint="eastAsia"/>
        </w:rPr>
        <w:t>3.</w:t>
      </w:r>
      <w:r>
        <w:t>地质灾害风险预警分级</w:t>
      </w:r>
    </w:p>
    <w:p>
      <w:pPr>
        <w:ind w:firstLine="510"/>
      </w:pPr>
      <w:r>
        <w:t>突发地质灾害风险预警等级由强到弱分为</w:t>
      </w:r>
      <w:r>
        <w:rPr>
          <w:rFonts w:eastAsia="Times New Roman" w:cs="Times New Roman"/>
        </w:rPr>
        <w:t>Ⅰ</w:t>
      </w:r>
      <w:r>
        <w:t>级（红色），表示发生地质灾害的风险很高；</w:t>
      </w:r>
      <w:r>
        <w:rPr>
          <w:rFonts w:eastAsia="Times New Roman" w:cs="Times New Roman"/>
        </w:rPr>
        <w:t>Ⅱ</w:t>
      </w:r>
      <w:r>
        <w:t>级（橙色），表示发生地质灾害的风险高；</w:t>
      </w:r>
      <w:r>
        <w:rPr>
          <w:rFonts w:eastAsia="Times New Roman" w:cs="Times New Roman"/>
        </w:rPr>
        <w:t>Ⅲ</w:t>
      </w:r>
      <w:r>
        <w:t>级（黄色），表示发生地质灾害的风险较高；</w:t>
      </w:r>
      <w:r>
        <w:rPr>
          <w:rFonts w:eastAsia="Times New Roman" w:cs="Times New Roman"/>
        </w:rPr>
        <w:t>Ⅳ</w:t>
      </w:r>
      <w:r>
        <w:t>级（蓝色），表示有一定的发生地质灾害风险。</w:t>
      </w:r>
    </w:p>
    <w:p>
      <w:pPr>
        <w:pStyle w:val="30"/>
        <w:rPr>
          <w:rFonts w:hint="eastAsia"/>
        </w:rPr>
      </w:pPr>
      <w:bookmarkStart w:id="44" w:name="_Toc23866"/>
      <w:r>
        <w:rPr>
          <w:rFonts w:hint="eastAsia"/>
        </w:rPr>
        <w:t>4.3</w:t>
      </w:r>
      <w:r>
        <w:t>地质灾害的预警信息发布</w:t>
      </w:r>
      <w:bookmarkEnd w:id="44"/>
    </w:p>
    <w:p>
      <w:pPr>
        <w:ind w:firstLine="510"/>
      </w:pPr>
      <w:r>
        <w:t>预警信息发布实行严格的审签制度。必要时，组织有关专家、专业技术人员进行会商，形成预警信息发布建议后，按程序报批、发布。预警信息内容包括地质灾害可能发生的时间、位置、规模及影响范围等。</w:t>
      </w:r>
    </w:p>
    <w:p>
      <w:pPr>
        <w:ind w:firstLine="510"/>
      </w:pPr>
      <w:r>
        <w:rPr>
          <w:rFonts w:eastAsia="Times New Roman" w:cs="Times New Roman"/>
        </w:rPr>
        <w:t>Ⅳ</w:t>
      </w:r>
      <w:r>
        <w:t>级（蓝色）预警信息：由园区指挥部总指挥签发，并报</w:t>
      </w:r>
      <w:r>
        <w:rPr>
          <w:rFonts w:hint="eastAsia"/>
          <w:lang w:val="en-US" w:eastAsia="zh-CN"/>
        </w:rPr>
        <w:t>安宁市</w:t>
      </w:r>
      <w:r>
        <w:t>政府和应急管理局、自然资源局和自然灾害应急管理委员会。</w:t>
      </w:r>
    </w:p>
    <w:p>
      <w:pPr>
        <w:ind w:firstLine="510"/>
      </w:pPr>
      <w:r>
        <w:rPr>
          <w:rFonts w:eastAsia="Times New Roman" w:cs="Times New Roman"/>
        </w:rPr>
        <w:t>Ⅲ</w:t>
      </w:r>
      <w:r>
        <w:t>级（黄色）、</w:t>
      </w:r>
      <w:r>
        <w:rPr>
          <w:rFonts w:eastAsia="Times New Roman" w:cs="Times New Roman"/>
        </w:rPr>
        <w:t>Ⅱ</w:t>
      </w:r>
      <w:r>
        <w:t>级（橙色）、</w:t>
      </w:r>
      <w:r>
        <w:rPr>
          <w:rFonts w:eastAsia="Times New Roman" w:cs="Times New Roman"/>
        </w:rPr>
        <w:t>Ⅰ</w:t>
      </w:r>
      <w:r>
        <w:t>级（红色）预警信息：由</w:t>
      </w:r>
      <w:r>
        <w:rPr>
          <w:rFonts w:hint="eastAsia"/>
          <w:lang w:val="en-US" w:eastAsia="zh-CN"/>
        </w:rPr>
        <w:t>安宁市</w:t>
      </w:r>
      <w:r>
        <w:t>政府主要领导签发。</w:t>
      </w:r>
    </w:p>
    <w:p>
      <w:pPr>
        <w:ind w:firstLine="510"/>
      </w:pPr>
      <w:r>
        <w:t>预警信息发布由园区</w:t>
      </w:r>
      <w:r>
        <w:rPr>
          <w:rFonts w:hint="eastAsia"/>
          <w:lang w:val="en-US" w:eastAsia="zh-CN"/>
        </w:rPr>
        <w:t>应急中心办公室</w:t>
      </w:r>
      <w:r>
        <w:t>管理；紧急时可通过警报器、宣传车等方式发布；特别紧急时，应组织人员逐户和企业通知。预警信息发布单位要加强对预警信息动态管理，根据事态发展变化，适时调整预警级别、更新预警信息内容。</w:t>
      </w:r>
    </w:p>
    <w:p>
      <w:pPr>
        <w:pStyle w:val="30"/>
        <w:rPr>
          <w:rFonts w:hint="eastAsia"/>
        </w:rPr>
      </w:pPr>
      <w:bookmarkStart w:id="45" w:name="_Toc23002"/>
      <w:bookmarkStart w:id="46" w:name="_Hlk202200948"/>
      <w:r>
        <w:rPr>
          <w:rFonts w:hint="eastAsia"/>
        </w:rPr>
        <w:t>4.4</w:t>
      </w:r>
      <w:r>
        <w:t>预警解除</w:t>
      </w:r>
      <w:bookmarkEnd w:id="45"/>
    </w:p>
    <w:p>
      <w:pPr>
        <w:ind w:left="-15" w:firstLine="510"/>
      </w:pPr>
      <w:r>
        <w:t>当上级部门发布</w:t>
      </w:r>
      <w:r>
        <w:rPr>
          <w:rFonts w:hint="eastAsia"/>
        </w:rPr>
        <w:t>地质</w:t>
      </w:r>
      <w:r>
        <w:t>灾害预警解除命令后，按照“谁发布、谁解除”的原则，应急指挥部应</w:t>
      </w:r>
      <w:bookmarkStart w:id="47" w:name="_Hlk204683839"/>
      <w:r>
        <w:rPr>
          <w:rFonts w:hint="eastAsia"/>
        </w:rPr>
        <w:t>随之</w:t>
      </w:r>
      <w:bookmarkEnd w:id="47"/>
      <w:r>
        <w:t>宣布解除预警。</w:t>
      </w:r>
      <w:bookmarkEnd w:id="46"/>
      <w:r>
        <w:br w:type="page"/>
      </w:r>
    </w:p>
    <w:p>
      <w:pPr>
        <w:pStyle w:val="2"/>
        <w:rPr>
          <w:rFonts w:hint="eastAsia"/>
        </w:rPr>
      </w:pPr>
      <w:bookmarkStart w:id="48" w:name="_Toc20994"/>
      <w:r>
        <w:rPr>
          <w:rFonts w:hint="eastAsia"/>
        </w:rPr>
        <w:t>5 应急响应</w:t>
      </w:r>
      <w:bookmarkEnd w:id="48"/>
    </w:p>
    <w:p>
      <w:pPr>
        <w:pStyle w:val="30"/>
        <w:rPr>
          <w:rFonts w:hint="eastAsia"/>
        </w:rPr>
      </w:pPr>
      <w:bookmarkStart w:id="49" w:name="_Toc13599"/>
      <w:r>
        <w:rPr>
          <w:rFonts w:hint="eastAsia"/>
        </w:rPr>
        <w:t>5.1响应分级标准</w:t>
      </w:r>
      <w:bookmarkEnd w:id="49"/>
    </w:p>
    <w:p>
      <w:pPr>
        <w:ind w:firstLine="510"/>
      </w:pPr>
      <w:r>
        <w:rPr>
          <w:rFonts w:hint="eastAsia"/>
        </w:rPr>
        <w:t>为便于应对园区地质灾害对企业生产安全的影响，设定专项预案的相应分级标准，具体如下：</w:t>
      </w:r>
    </w:p>
    <w:p>
      <w:pPr>
        <w:ind w:firstLine="510"/>
      </w:pPr>
      <w:r>
        <w:t>Ⅳ级响应（一般）</w:t>
      </w:r>
      <w:r>
        <w:rPr>
          <w:rFonts w:hint="eastAsia"/>
        </w:rPr>
        <w:t>：</w:t>
      </w:r>
      <w:r>
        <w:t xml:space="preserve">山体局部滑塌、小型地面沉降，可能影响企业附属设施，无人员伤亡，直接经济损失＜10万元。  </w:t>
      </w:r>
    </w:p>
    <w:p>
      <w:pPr>
        <w:ind w:firstLine="510"/>
      </w:pPr>
      <w:r>
        <w:t>Ⅲ级响应（较大）</w:t>
      </w:r>
      <w:r>
        <w:rPr>
          <w:rFonts w:hint="eastAsia"/>
        </w:rPr>
        <w:t>：</w:t>
      </w:r>
      <w:r>
        <w:t>滑坡/泥石流</w:t>
      </w:r>
      <w:r>
        <w:rPr>
          <w:rFonts w:hint="eastAsia"/>
        </w:rPr>
        <w:t>、</w:t>
      </w:r>
      <w:r>
        <w:t xml:space="preserve">地面沉降威胁企业生产区或危险化学品储存区，可能造成3人以下受困或轻伤，直接经济损失10万-100万元。  </w:t>
      </w:r>
    </w:p>
    <w:p>
      <w:pPr>
        <w:ind w:firstLine="510"/>
      </w:pPr>
      <w:r>
        <w:t>Ⅱ级响应（重大）：灾害导致危险化学品管道断裂、储罐位移，或造成1-2人死亡/3-10人重伤，需疏散100人以下，直接经济损失100万-1000万元。</w:t>
      </w:r>
    </w:p>
    <w:p>
      <w:pPr>
        <w:ind w:firstLine="510"/>
      </w:pPr>
      <w:r>
        <w:t>Ⅰ级响应（特别重大）</w:t>
      </w:r>
      <w:r>
        <w:rPr>
          <w:rFonts w:hint="eastAsia"/>
        </w:rPr>
        <w:t>：</w:t>
      </w:r>
      <w:r>
        <w:t>大规模山体滑坡阻断园区主干道或引发危化品次生事故，造成3人以上死亡/10人以上重伤，需疏散100人以上，直接经济损失＞1000万元。</w:t>
      </w:r>
    </w:p>
    <w:p>
      <w:pPr>
        <w:pStyle w:val="30"/>
        <w:rPr>
          <w:rFonts w:hint="eastAsia"/>
        </w:rPr>
      </w:pPr>
      <w:bookmarkStart w:id="50" w:name="_Toc10240"/>
      <w:r>
        <w:rPr>
          <w:rFonts w:hint="eastAsia"/>
        </w:rPr>
        <w:t>5.2分级响应</w:t>
      </w:r>
      <w:bookmarkEnd w:id="50"/>
    </w:p>
    <w:p>
      <w:pPr>
        <w:ind w:firstLine="510"/>
      </w:pPr>
      <w:bookmarkStart w:id="51" w:name="_Toc32402"/>
      <w:r>
        <w:t>（1）Ⅰ级、Ⅱ级、Ⅲ级响应</w:t>
      </w:r>
      <w:bookmarkEnd w:id="51"/>
    </w:p>
    <w:p>
      <w:pPr>
        <w:ind w:firstLine="510"/>
      </w:pPr>
      <w:r>
        <w:rPr>
          <w:rFonts w:hint="eastAsia"/>
        </w:rPr>
        <w:t>园区指挥部</w:t>
      </w:r>
      <w:r>
        <w:t>启动</w:t>
      </w:r>
      <w:r>
        <w:rPr>
          <w:rFonts w:hint="eastAsia"/>
        </w:rPr>
        <w:t>本</w:t>
      </w:r>
      <w:r>
        <w:t>预案</w:t>
      </w:r>
      <w:r>
        <w:rPr>
          <w:rFonts w:hint="eastAsia"/>
        </w:rPr>
        <w:t>组织开展</w:t>
      </w:r>
      <w:r>
        <w:t>先期处置，同时报请</w:t>
      </w:r>
      <w:r>
        <w:rPr>
          <w:rFonts w:hint="eastAsia"/>
          <w:lang w:val="en-US" w:eastAsia="zh-CN"/>
        </w:rPr>
        <w:t>安宁市</w:t>
      </w:r>
      <w:r>
        <w:rPr>
          <w:rFonts w:hint="eastAsia"/>
        </w:rPr>
        <w:t>人民政府</w:t>
      </w:r>
      <w:r>
        <w:t>启动相应应急预案，</w:t>
      </w:r>
      <w:r>
        <w:rPr>
          <w:rFonts w:hint="eastAsia"/>
        </w:rPr>
        <w:t>上级人民政府应急指挥机构赶赴现场后，移交指挥权，按现场指挥部的部署</w:t>
      </w:r>
      <w:r>
        <w:t>实施应急响应行动。</w:t>
      </w:r>
    </w:p>
    <w:p>
      <w:pPr>
        <w:ind w:firstLine="510"/>
      </w:pPr>
      <w:bookmarkStart w:id="52" w:name="_Toc29285"/>
      <w:r>
        <w:t>（2）Ⅳ级以下响应</w:t>
      </w:r>
      <w:bookmarkEnd w:id="52"/>
    </w:p>
    <w:p>
      <w:pPr>
        <w:ind w:firstLine="510"/>
      </w:pPr>
      <w:r>
        <w:t>接到发生一般（Ⅳ级）</w:t>
      </w:r>
      <w:r>
        <w:rPr>
          <w:rFonts w:hint="eastAsia"/>
        </w:rPr>
        <w:t>地质灾害</w:t>
      </w:r>
      <w:r>
        <w:t>事故</w:t>
      </w:r>
      <w:r>
        <w:rPr>
          <w:rFonts w:hint="eastAsia"/>
        </w:rPr>
        <w:t>及引发的事故</w:t>
      </w:r>
      <w:r>
        <w:t>险情报告后</w:t>
      </w:r>
      <w:r>
        <w:rPr>
          <w:rFonts w:hint="eastAsia"/>
        </w:rPr>
        <w:t>，应急指挥部</w:t>
      </w:r>
      <w:r>
        <w:t>立即启动本预案</w:t>
      </w:r>
      <w:r>
        <w:rPr>
          <w:rFonts w:hint="eastAsia"/>
        </w:rPr>
        <w:t>，统筹部署各工作组</w:t>
      </w:r>
      <w:r>
        <w:t>开展救援工作，同时将事故灾难或险情报送</w:t>
      </w:r>
      <w:r>
        <w:rPr>
          <w:rFonts w:hint="eastAsia"/>
          <w:lang w:val="en-US" w:eastAsia="zh-CN"/>
        </w:rPr>
        <w:t>安宁市</w:t>
      </w:r>
      <w:r>
        <w:rPr>
          <w:rFonts w:hint="eastAsia"/>
        </w:rPr>
        <w:t>自然资源局、应急管理局和</w:t>
      </w:r>
      <w:r>
        <w:t>人民政府。</w:t>
      </w:r>
      <w:r>
        <w:rPr>
          <w:rFonts w:hint="eastAsia"/>
        </w:rPr>
        <w:t>如</w:t>
      </w:r>
      <w:r>
        <w:t>超出</w:t>
      </w:r>
      <w:r>
        <w:rPr>
          <w:rFonts w:hint="eastAsia"/>
        </w:rPr>
        <w:t>园区</w:t>
      </w:r>
      <w:r>
        <w:t>应急救援处置能力时，及时报请人民政府请求启动</w:t>
      </w:r>
      <w:r>
        <w:rPr>
          <w:rFonts w:hint="eastAsia"/>
        </w:rPr>
        <w:t>扩大应急响应</w:t>
      </w:r>
      <w:r>
        <w:t>。</w:t>
      </w:r>
    </w:p>
    <w:p>
      <w:pPr>
        <w:ind w:firstLine="510"/>
      </w:pPr>
    </w:p>
    <w:p>
      <w:pPr>
        <w:pStyle w:val="30"/>
        <w:rPr>
          <w:rFonts w:hint="eastAsia"/>
        </w:rPr>
      </w:pPr>
      <w:bookmarkStart w:id="53" w:name="_Toc15847"/>
      <w:r>
        <w:rPr>
          <w:rFonts w:hint="eastAsia"/>
        </w:rPr>
        <w:t>5.3应急响应</w:t>
      </w:r>
      <w:bookmarkEnd w:id="53"/>
    </w:p>
    <w:p>
      <w:pPr>
        <w:ind w:firstLine="510"/>
      </w:pPr>
      <w:r>
        <w:t>一般情况下，应急响应启动后的程序性工作包含如下几个方面，在实际操作过程中，可根据实际情况进行简化或补充。</w:t>
      </w:r>
    </w:p>
    <w:p>
      <w:pPr>
        <w:pStyle w:val="32"/>
        <w:ind w:firstLine="550"/>
        <w:rPr>
          <w:rFonts w:hint="eastAsia"/>
        </w:rPr>
      </w:pPr>
      <w:bookmarkStart w:id="54" w:name="_Toc9984"/>
      <w:r>
        <w:rPr>
          <w:rFonts w:hint="eastAsia"/>
        </w:rPr>
        <w:t>5.3.1</w:t>
      </w:r>
      <w:r>
        <w:t>应急会议召开</w:t>
      </w:r>
      <w:bookmarkEnd w:id="54"/>
    </w:p>
    <w:p>
      <w:pPr>
        <w:ind w:firstLine="510"/>
      </w:pPr>
      <w:r>
        <w:t>1）首次应急会议</w:t>
      </w:r>
    </w:p>
    <w:p>
      <w:pPr>
        <w:ind w:firstLine="510"/>
      </w:pPr>
      <w:r>
        <w:t>召开时机：应急响应启动后30min内。</w:t>
      </w:r>
    </w:p>
    <w:p>
      <w:pPr>
        <w:ind w:firstLine="510"/>
      </w:pPr>
      <w:r>
        <w:t>参会人员</w:t>
      </w:r>
      <w:r>
        <w:rPr>
          <w:rFonts w:hint="eastAsia"/>
        </w:rPr>
        <w:t>：应急指挥部及成员单位/部门</w:t>
      </w:r>
      <w:r>
        <w:t>、</w:t>
      </w:r>
      <w:r>
        <w:rPr>
          <w:rFonts w:hint="eastAsia"/>
        </w:rPr>
        <w:t>事故单位应急组织机构、</w:t>
      </w:r>
      <w:r>
        <w:t>专家组代表。</w:t>
      </w:r>
    </w:p>
    <w:p>
      <w:pPr>
        <w:ind w:firstLine="510"/>
      </w:pPr>
      <w:r>
        <w:t>会议内容：确认</w:t>
      </w:r>
      <w:r>
        <w:rPr>
          <w:rFonts w:hint="eastAsia"/>
        </w:rPr>
        <w:t>地质灾害事故等级</w:t>
      </w:r>
      <w:r>
        <w:t>、影响范围及伤亡情况</w:t>
      </w:r>
      <w:r>
        <w:rPr>
          <w:rFonts w:hint="eastAsia"/>
        </w:rPr>
        <w:t>，可能存在的次生、衍生事故类型及影响范围</w:t>
      </w:r>
      <w:r>
        <w:t>；部署现场处置</w:t>
      </w:r>
      <w:r>
        <w:rPr>
          <w:rFonts w:hint="eastAsia"/>
        </w:rPr>
        <w:t>措施；</w:t>
      </w:r>
      <w:r>
        <w:t>确定信息上报和公开口径。</w:t>
      </w:r>
    </w:p>
    <w:p>
      <w:pPr>
        <w:ind w:firstLine="510"/>
      </w:pPr>
      <w:r>
        <w:t>2）即时应急例会</w:t>
      </w:r>
    </w:p>
    <w:p>
      <w:pPr>
        <w:ind w:firstLine="510"/>
      </w:pPr>
      <w:r>
        <w:t>召开时机：事态发生重大变化时及时召开。</w:t>
      </w:r>
    </w:p>
    <w:p>
      <w:pPr>
        <w:ind w:firstLine="510"/>
      </w:pPr>
      <w:r>
        <w:t>参会人员：</w:t>
      </w:r>
      <w:r>
        <w:rPr>
          <w:rFonts w:hint="eastAsia"/>
        </w:rPr>
        <w:t>应急指挥部及成员单位/部门</w:t>
      </w:r>
      <w:r>
        <w:t>、</w:t>
      </w:r>
      <w:r>
        <w:rPr>
          <w:rFonts w:hint="eastAsia"/>
        </w:rPr>
        <w:t>事故单位应急组织机构</w:t>
      </w:r>
      <w:r>
        <w:t>、专家组代表。</w:t>
      </w:r>
    </w:p>
    <w:p>
      <w:pPr>
        <w:ind w:firstLine="510"/>
      </w:pPr>
      <w:r>
        <w:t>会议内容： 跟踪处置进展，调整救援方案；协调新增资源需求，调整响应级别。</w:t>
      </w:r>
    </w:p>
    <w:p>
      <w:pPr>
        <w:pStyle w:val="32"/>
        <w:ind w:firstLine="550"/>
        <w:rPr>
          <w:rFonts w:hint="eastAsia"/>
        </w:rPr>
      </w:pPr>
      <w:bookmarkStart w:id="55" w:name="_Toc18424"/>
      <w:r>
        <w:rPr>
          <w:rFonts w:hint="eastAsia"/>
        </w:rPr>
        <w:t>5.3.2信息报送</w:t>
      </w:r>
      <w:bookmarkEnd w:id="55"/>
    </w:p>
    <w:p>
      <w:pPr>
        <w:pStyle w:val="17"/>
        <w:ind w:firstLine="572"/>
      </w:pPr>
      <w:r>
        <w:rPr>
          <w:rFonts w:hint="eastAsia"/>
        </w:rPr>
        <w:t>一、信息上报程序</w:t>
      </w:r>
    </w:p>
    <w:p>
      <w:pPr>
        <w:ind w:firstLine="510"/>
      </w:pPr>
      <w:r>
        <w:rPr>
          <w:rFonts w:hint="eastAsia"/>
        </w:rPr>
        <w:t>灾害发生所在地相关单位负责人</w:t>
      </w:r>
      <w:r>
        <w:t>→园区</w:t>
      </w:r>
      <w:r>
        <w:rPr>
          <w:rFonts w:hint="eastAsia"/>
          <w:lang w:val="en-US" w:eastAsia="zh-CN"/>
        </w:rPr>
        <w:t>应急中心办公室</w:t>
      </w:r>
      <w:r>
        <w:t>→</w:t>
      </w:r>
      <w:r>
        <w:rPr>
          <w:rFonts w:hint="eastAsia"/>
        </w:rPr>
        <w:t>园区应急指挥部</w:t>
      </w:r>
      <w:r>
        <w:t>→</w:t>
      </w:r>
      <w:r>
        <w:rPr>
          <w:rFonts w:hint="eastAsia" w:cs="Times New Roman"/>
          <w:color w:val="000000" w:themeColor="text1"/>
          <w:kern w:val="0"/>
          <w14:textFill>
            <w14:solidFill>
              <w14:schemeClr w14:val="tx1"/>
            </w14:solidFill>
          </w14:textFill>
        </w:rPr>
        <w:t>自然资源局、应急管理局和</w:t>
      </w:r>
      <w:r>
        <w:rPr>
          <w:rFonts w:cs="Times New Roman"/>
          <w:color w:val="000000" w:themeColor="text1"/>
          <w:kern w:val="0"/>
          <w14:textFill>
            <w14:solidFill>
              <w14:schemeClr w14:val="tx1"/>
            </w14:solidFill>
          </w14:textFill>
        </w:rPr>
        <w:t>人民政府</w:t>
      </w:r>
      <w:r>
        <w:rPr>
          <w:rFonts w:hint="eastAsia" w:cs="Times New Roman"/>
          <w:color w:val="000000" w:themeColor="text1"/>
          <w:kern w:val="0"/>
          <w14:textFill>
            <w14:solidFill>
              <w14:schemeClr w14:val="tx1"/>
            </w14:solidFill>
          </w14:textFill>
        </w:rPr>
        <w:t>。</w:t>
      </w:r>
    </w:p>
    <w:p>
      <w:pPr>
        <w:pStyle w:val="17"/>
        <w:ind w:firstLine="572"/>
      </w:pPr>
      <w:r>
        <w:rPr>
          <w:rFonts w:hint="eastAsia"/>
        </w:rPr>
        <w:t>二、报送主体</w:t>
      </w:r>
    </w:p>
    <w:p>
      <w:pPr>
        <w:ind w:firstLine="510"/>
      </w:pPr>
      <w:r>
        <w:rPr>
          <w:rFonts w:hint="eastAsia"/>
        </w:rPr>
        <w:t>上报责任单位为应急指挥部，具体工作由</w:t>
      </w:r>
      <w:r>
        <w:rPr>
          <w:rFonts w:hint="eastAsia"/>
          <w:lang w:val="en-US" w:eastAsia="zh-CN"/>
        </w:rPr>
        <w:t>应急中心办公室</w:t>
      </w:r>
      <w:r>
        <w:rPr>
          <w:rFonts w:hint="eastAsia"/>
        </w:rPr>
        <w:t>承担。</w:t>
      </w:r>
    </w:p>
    <w:p>
      <w:pPr>
        <w:pStyle w:val="17"/>
        <w:ind w:firstLine="572"/>
      </w:pPr>
      <w:r>
        <w:rPr>
          <w:rFonts w:hint="eastAsia"/>
        </w:rPr>
        <w:t>三、报送方式</w:t>
      </w:r>
    </w:p>
    <w:p>
      <w:pPr>
        <w:ind w:firstLine="510"/>
      </w:pPr>
      <w:r>
        <w:rPr>
          <w:rFonts w:hint="eastAsia"/>
        </w:rPr>
        <w:t>地质灾害信息可通过电话、传真等有效方式报送灾情信息。</w:t>
      </w:r>
    </w:p>
    <w:p>
      <w:pPr>
        <w:ind w:firstLine="510"/>
      </w:pPr>
      <w:r>
        <w:rPr>
          <w:rFonts w:hint="eastAsia"/>
        </w:rPr>
        <w:t>地质灾害引发的生产安全事故信息按相应“预案”报告要求报送事故信息。</w:t>
      </w:r>
    </w:p>
    <w:p>
      <w:pPr>
        <w:pStyle w:val="17"/>
        <w:ind w:firstLine="572"/>
      </w:pPr>
      <w:r>
        <w:rPr>
          <w:rFonts w:hint="eastAsia"/>
        </w:rPr>
        <w:t>四、报送内容</w:t>
      </w:r>
    </w:p>
    <w:p>
      <w:pPr>
        <w:ind w:firstLine="510"/>
      </w:pPr>
      <w:r>
        <w:rPr>
          <w:rFonts w:hint="eastAsia"/>
        </w:rPr>
        <w:t>主要包括：地质灾害种类（滑坡、泥石流、地面塌陷等）、发生的时间、地点、背景、灾害造成的损失（包括人员受灾情况、人员伤亡数量、房屋倒塌、损坏情况、园区装置设施损坏情况、造成的次生、衍生事故情况及造成的直接经济损失）、已采取的救灾措施和灾区的需求等。</w:t>
      </w:r>
    </w:p>
    <w:p>
      <w:pPr>
        <w:pStyle w:val="17"/>
        <w:ind w:firstLine="572"/>
      </w:pPr>
      <w:r>
        <w:rPr>
          <w:rFonts w:hint="eastAsia"/>
          <w:lang w:val="en-US" w:eastAsia="zh-CN"/>
        </w:rPr>
        <w:t>五</w:t>
      </w:r>
      <w:r>
        <w:rPr>
          <w:rFonts w:hint="eastAsia"/>
        </w:rPr>
        <w:t>、报送时限</w:t>
      </w:r>
    </w:p>
    <w:p>
      <w:pPr>
        <w:ind w:firstLine="510"/>
      </w:pPr>
      <w:r>
        <w:rPr>
          <w:rFonts w:hint="eastAsia"/>
        </w:rPr>
        <w:t>1.初报。凡造成人员伤亡和较大财产损失的，在灾害发生后第一时间先利用电话、微信等方式向自然灾害应急管理委员会和应急管理局报告，15分钟内提交书面报告。应急管理局在接到报告后，应在1小时内完成审核、汇总灾情数据，向人民政府报告。</w:t>
      </w:r>
    </w:p>
    <w:p>
      <w:pPr>
        <w:ind w:firstLine="510"/>
      </w:pPr>
      <w:r>
        <w:rPr>
          <w:rFonts w:hint="eastAsia"/>
        </w:rPr>
        <w:t>2.续报。在重大自然灾害灾情稳定之前，各相关部门均执行24小时零报告制度。</w:t>
      </w:r>
      <w:r>
        <w:rPr>
          <w:rFonts w:hint="eastAsia"/>
          <w:lang w:val="en-US" w:eastAsia="zh-CN"/>
        </w:rPr>
        <w:t>应急中心办公室</w:t>
      </w:r>
      <w:r>
        <w:rPr>
          <w:rFonts w:hint="eastAsia"/>
        </w:rPr>
        <w:t>报请应急指挥部同意后每天8时之前将最新灾情和救灾工作情况上报应急管理局，应急管理局每天9时之前上报人民政府，特大灾情根据需要随时报告。</w:t>
      </w:r>
    </w:p>
    <w:p>
      <w:pPr>
        <w:ind w:firstLine="510"/>
      </w:pPr>
      <w:r>
        <w:rPr>
          <w:rFonts w:hint="eastAsia"/>
        </w:rPr>
        <w:t>3.核报。灾情稳定后，应急指挥部应在2个工作日内核定灾情，由</w:t>
      </w:r>
      <w:r>
        <w:rPr>
          <w:rFonts w:hint="eastAsia"/>
          <w:lang w:val="en-US" w:eastAsia="zh-CN"/>
        </w:rPr>
        <w:t>应急中心办公室</w:t>
      </w:r>
      <w:r>
        <w:rPr>
          <w:rFonts w:hint="eastAsia"/>
        </w:rPr>
        <w:t>向应急管理局报告。应急管理局接到报告后，应在3个工作日内审核、汇总灾情数据，向人民政府报告。</w:t>
      </w:r>
    </w:p>
    <w:p>
      <w:pPr>
        <w:pStyle w:val="32"/>
        <w:ind w:firstLine="550"/>
        <w:rPr>
          <w:rFonts w:hint="eastAsia"/>
        </w:rPr>
      </w:pPr>
      <w:bookmarkStart w:id="56" w:name="_Toc31289"/>
      <w:r>
        <w:rPr>
          <w:rFonts w:hint="eastAsia"/>
        </w:rPr>
        <w:t>5.3.3信息发布</w:t>
      </w:r>
      <w:bookmarkEnd w:id="56"/>
    </w:p>
    <w:p>
      <w:pPr>
        <w:ind w:firstLine="510"/>
      </w:pPr>
      <w:r>
        <w:rPr>
          <w:rFonts w:hint="eastAsia"/>
        </w:rPr>
        <w:t>信息发布坚持实事求是、及时准确、公开透明的原则。信息发布形式包括授权发布、组织报道、接受记者采访、举行新闻发布会等。通过</w:t>
      </w:r>
      <w:r>
        <w:rPr>
          <w:rFonts w:hint="eastAsia"/>
          <w:lang w:val="en-US" w:eastAsia="zh-CN"/>
        </w:rPr>
        <w:t>安宁市</w:t>
      </w:r>
      <w:r>
        <w:rPr>
          <w:rFonts w:hint="eastAsia"/>
        </w:rPr>
        <w:t>政府信息平台、交互平台等重点新闻网站或政府网站、政务微博、政务微信、政务客户端等发布信息。</w:t>
      </w:r>
    </w:p>
    <w:p>
      <w:pPr>
        <w:ind w:firstLine="510"/>
      </w:pPr>
      <w:r>
        <w:t>信息公开内容</w:t>
      </w:r>
      <w:r>
        <w:rPr>
          <w:rFonts w:hint="eastAsia"/>
        </w:rPr>
        <w:t>一般包括地质灾害发生的</w:t>
      </w:r>
      <w:r>
        <w:t>时间、地点、人员伤亡</w:t>
      </w:r>
      <w:r>
        <w:rPr>
          <w:rFonts w:hint="eastAsia"/>
        </w:rPr>
        <w:t>以及导致的建筑、设备损失情况；引发的次生、衍生生产安全事故情况；</w:t>
      </w:r>
      <w:r>
        <w:t>已采取的应急处置措施及救援进展</w:t>
      </w:r>
      <w:r>
        <w:rPr>
          <w:rFonts w:hint="eastAsia"/>
        </w:rPr>
        <w:t>；对</w:t>
      </w:r>
      <w:r>
        <w:t>周边企业、社区和公众的影响评估及相应的防护建议；事故信息的咨询电话及联系人等。</w:t>
      </w:r>
    </w:p>
    <w:p>
      <w:pPr>
        <w:ind w:firstLine="510"/>
      </w:pPr>
      <w:r>
        <w:rPr>
          <w:rFonts w:hint="eastAsia"/>
        </w:rPr>
        <w:t>灾情稳定前，在经负责领导处置的应急指挥部审批后，园区应急指挥部及时向社会滚动发布受灾具体情况（造成的人员伤亡、财产损失）以及救灾工作动态、成效、下一步安排等情况；灾情稳定后，及时评估、核定并按有关规定发布自然灾害损失情况。</w:t>
      </w:r>
    </w:p>
    <w:p>
      <w:pPr>
        <w:ind w:firstLine="510"/>
      </w:pPr>
      <w:r>
        <w:rPr>
          <w:rFonts w:hint="eastAsia"/>
        </w:rPr>
        <w:t>关于灾情核定和发布工作，法律法规另有规定的，从其规定。</w:t>
      </w:r>
    </w:p>
    <w:p>
      <w:pPr>
        <w:ind w:firstLine="510"/>
      </w:pPr>
      <w:r>
        <w:rPr>
          <w:rFonts w:hint="eastAsia"/>
        </w:rPr>
        <w:t>关于地质灾害引发生产安全事故的，信息通报和、发布按相关预案规定执行。</w:t>
      </w:r>
    </w:p>
    <w:p>
      <w:pPr>
        <w:ind w:firstLine="510"/>
      </w:pPr>
      <w:r>
        <w:rPr>
          <w:rFonts w:hint="eastAsia"/>
        </w:rPr>
        <w:t>对于</w:t>
      </w:r>
      <w:r>
        <w:t>舆情监测与引导</w:t>
      </w:r>
      <w:r>
        <w:rPr>
          <w:rFonts w:hint="eastAsia"/>
        </w:rPr>
        <w:t>可从以下几方面着手：</w:t>
      </w:r>
    </w:p>
    <w:p>
      <w:pPr>
        <w:ind w:firstLine="510"/>
      </w:pPr>
      <w:r>
        <w:rPr>
          <w:rFonts w:hint="eastAsia"/>
        </w:rPr>
        <w:t>（1）</w:t>
      </w:r>
      <w:r>
        <w:t>建立舆情监测机制：安排专人实时监测网络、社交媒体等平台上的舆情动态，及时掌握公众对事故的关注点和疑问。</w:t>
      </w:r>
    </w:p>
    <w:p>
      <w:pPr>
        <w:ind w:firstLine="510"/>
      </w:pPr>
      <w:r>
        <w:rPr>
          <w:rFonts w:hint="eastAsia"/>
        </w:rPr>
        <w:t>（2）</w:t>
      </w:r>
      <w:r>
        <w:t>主动回应关切：针对公众的质疑和关切，及时发布权威信息进行澄清和解答，消除误解和谣言，稳定公众情绪。</w:t>
      </w:r>
    </w:p>
    <w:p>
      <w:pPr>
        <w:ind w:firstLine="510"/>
      </w:pPr>
      <w:r>
        <w:rPr>
          <w:rFonts w:hint="eastAsia"/>
        </w:rPr>
        <w:t>（3）</w:t>
      </w:r>
      <w:r>
        <w:t>正面引导舆论：通过客观、准确、及时的信息发布，引导公众理性看待事故，增强社会舆论的正能量。</w:t>
      </w:r>
    </w:p>
    <w:p>
      <w:pPr>
        <w:pStyle w:val="32"/>
        <w:ind w:firstLine="550"/>
        <w:rPr>
          <w:rFonts w:hint="eastAsia"/>
        </w:rPr>
      </w:pPr>
      <w:bookmarkStart w:id="57" w:name="_Toc26151"/>
      <w:r>
        <w:rPr>
          <w:rFonts w:hint="eastAsia"/>
        </w:rPr>
        <w:t>5.3.</w:t>
      </w:r>
      <w:r>
        <w:rPr>
          <w:rFonts w:hint="eastAsia"/>
          <w:lang w:val="en-US" w:eastAsia="zh-CN"/>
        </w:rPr>
        <w:t>4</w:t>
      </w:r>
      <w:r>
        <w:t>资源协调</w:t>
      </w:r>
      <w:bookmarkEnd w:id="57"/>
    </w:p>
    <w:p>
      <w:pPr>
        <w:ind w:firstLine="510"/>
      </w:pPr>
      <w:r>
        <w:t>1</w:t>
      </w:r>
      <w:r>
        <w:rPr>
          <w:rFonts w:hint="eastAsia"/>
        </w:rPr>
        <w:t>.</w:t>
      </w:r>
      <w:r>
        <w:t>资源协调的原则</w:t>
      </w:r>
    </w:p>
    <w:p>
      <w:pPr>
        <w:ind w:firstLine="510"/>
      </w:pPr>
      <w:r>
        <w:t>资源协调坚持统一指挥调配的原则，</w:t>
      </w:r>
      <w:r>
        <w:rPr>
          <w:rFonts w:hint="eastAsia"/>
        </w:rPr>
        <w:t>启动应急响应后</w:t>
      </w:r>
      <w:r>
        <w:t>，由</w:t>
      </w:r>
      <w:r>
        <w:rPr>
          <w:rFonts w:hint="eastAsia"/>
        </w:rPr>
        <w:t>园区指挥部</w:t>
      </w:r>
      <w:r>
        <w:t>统一负责园区内所有资源的调度和协调工作，确保决策的高效性和权威性。由</w:t>
      </w:r>
      <w:r>
        <w:rPr>
          <w:rFonts w:hint="eastAsia"/>
          <w:lang w:val="en-US" w:eastAsia="zh-CN"/>
        </w:rPr>
        <w:t>物资保障</w:t>
      </w:r>
      <w:r>
        <w:rPr>
          <w:rFonts w:hint="eastAsia"/>
        </w:rPr>
        <w:t>组</w:t>
      </w:r>
      <w:r>
        <w:t>负责联系与协调</w:t>
      </w:r>
      <w:r>
        <w:rPr>
          <w:rFonts w:hint="eastAsia"/>
        </w:rPr>
        <w:t>区</w:t>
      </w:r>
      <w:r>
        <w:t>政府及其有关工作部门，进行应急联合响应以及救援联动工作，充分发挥各方的优势和作用，实现资源的优化配置。企业负责提供本企业的应急物资、设备和人员信息，并根据需要进行调配；专家提供技术指导和建议。</w:t>
      </w:r>
    </w:p>
    <w:p>
      <w:pPr>
        <w:ind w:firstLine="510"/>
      </w:pPr>
      <w:r>
        <w:t>2</w:t>
      </w:r>
      <w:r>
        <w:rPr>
          <w:rFonts w:hint="eastAsia"/>
        </w:rPr>
        <w:t>.</w:t>
      </w:r>
      <w:r>
        <w:t>内部资源调配</w:t>
      </w:r>
    </w:p>
    <w:p>
      <w:pPr>
        <w:ind w:firstLine="510"/>
      </w:pPr>
      <w:r>
        <w:t>应急救援队伍：立即通知园区内的</w:t>
      </w:r>
      <w:r>
        <w:rPr>
          <w:rFonts w:cs="Times New Roman"/>
        </w:rPr>
        <w:t>抢险救灾组</w:t>
      </w:r>
      <w:r>
        <w:rPr>
          <w:rFonts w:hint="eastAsia" w:cs="Times New Roman"/>
        </w:rPr>
        <w:t>和</w:t>
      </w:r>
      <w:r>
        <w:rPr>
          <w:rFonts w:hint="eastAsia" w:cs="Times New Roman"/>
          <w:lang w:val="en-US" w:eastAsia="zh-CN"/>
        </w:rPr>
        <w:t>医疗救援人员</w:t>
      </w:r>
      <w:r>
        <w:rPr>
          <w:rFonts w:hint="eastAsia" w:cs="Times New Roman"/>
        </w:rPr>
        <w:t>等</w:t>
      </w:r>
      <w:r>
        <w:t>赶赴现场。明确各</w:t>
      </w:r>
      <w:r>
        <w:rPr>
          <w:rFonts w:hint="eastAsia"/>
        </w:rPr>
        <w:t>工作组</w:t>
      </w:r>
      <w:r>
        <w:t>的任务分工。</w:t>
      </w:r>
    </w:p>
    <w:p>
      <w:pPr>
        <w:ind w:firstLine="510"/>
      </w:pPr>
      <w:r>
        <w:t>应急物资装备：</w:t>
      </w:r>
      <w:r>
        <w:rPr>
          <w:rFonts w:hint="eastAsia"/>
        </w:rPr>
        <w:t>根据事故现场需求，</w:t>
      </w:r>
      <w:r>
        <w:rPr>
          <w:rFonts w:hint="eastAsia"/>
          <w:lang w:val="en-US" w:eastAsia="zh-CN"/>
        </w:rPr>
        <w:t>物资</w:t>
      </w:r>
      <w:r>
        <w:rPr>
          <w:rFonts w:hint="eastAsia"/>
        </w:rPr>
        <w:t>保障组及时组织调配、协调应急资源。包含辖区内企业及消防队、应急队常备应急物资</w:t>
      </w:r>
      <w:r>
        <w:t>。</w:t>
      </w:r>
    </w:p>
    <w:p>
      <w:pPr>
        <w:ind w:firstLine="510"/>
      </w:pPr>
      <w:r>
        <w:t>3</w:t>
      </w:r>
      <w:r>
        <w:rPr>
          <w:rFonts w:hint="eastAsia"/>
        </w:rPr>
        <w:t>.</w:t>
      </w:r>
      <w:r>
        <w:t>外部资源的协调支援</w:t>
      </w:r>
    </w:p>
    <w:p>
      <w:pPr>
        <w:ind w:firstLine="510"/>
      </w:pPr>
      <w:r>
        <w:t>应急救援联动：根据事故的严重程度和发展态势，</w:t>
      </w:r>
      <w:r>
        <w:rPr>
          <w:rFonts w:hint="eastAsia"/>
        </w:rPr>
        <w:t>通讯联络</w:t>
      </w:r>
      <w:r>
        <w:t>及时向</w:t>
      </w:r>
      <w:r>
        <w:rPr>
          <w:rFonts w:hint="eastAsia"/>
        </w:rPr>
        <w:t>政府及有关部门</w:t>
      </w:r>
      <w:r>
        <w:t>请求支援。明确各部门可提供的资源和支持，如应急管理部门协调周边地区的专业救援队伍和物资，公安部门负责现场的交通管制和治安维护，卫生健康部门调配更多的医疗资源等，并与这些部门建立紧密的联络机制，确保外部支援能够迅速到位。</w:t>
      </w:r>
    </w:p>
    <w:p>
      <w:pPr>
        <w:ind w:firstLine="510"/>
      </w:pPr>
      <w:r>
        <w:t>4</w:t>
      </w:r>
      <w:r>
        <w:rPr>
          <w:rFonts w:hint="eastAsia"/>
        </w:rPr>
        <w:t>.</w:t>
      </w:r>
      <w:r>
        <w:t>资源协调的沟通与信息共享</w:t>
      </w:r>
    </w:p>
    <w:p>
      <w:pPr>
        <w:ind w:firstLine="510"/>
      </w:pPr>
      <w:r>
        <w:t>充分利用安全风险智能化管控平台的作用，实时发布事故现场的信息和救援需求，使各参与方能够及时了解事故动态和资源调配情况。同时，保持</w:t>
      </w:r>
      <w:r>
        <w:rPr>
          <w:rFonts w:hint="eastAsia"/>
        </w:rPr>
        <w:t>与</w:t>
      </w:r>
      <w:r>
        <w:t>应急指挥</w:t>
      </w:r>
      <w:r>
        <w:rPr>
          <w:rFonts w:hint="eastAsia"/>
        </w:rPr>
        <w:t>部的</w:t>
      </w:r>
      <w:r>
        <w:t>通信畅通，便于及时沟通协调资源调配过程中出现的问题。</w:t>
      </w:r>
    </w:p>
    <w:p>
      <w:pPr>
        <w:ind w:firstLine="510"/>
      </w:pPr>
      <w:r>
        <w:t>5</w:t>
      </w:r>
      <w:r>
        <w:rPr>
          <w:rFonts w:hint="eastAsia"/>
        </w:rPr>
        <w:t>.</w:t>
      </w:r>
      <w:r>
        <w:t>资源的后续补充与保障</w:t>
      </w:r>
    </w:p>
    <w:p>
      <w:pPr>
        <w:ind w:firstLine="510"/>
      </w:pPr>
      <w:r>
        <w:t>在应急响应过程中，</w:t>
      </w:r>
      <w:r>
        <w:rPr>
          <w:rFonts w:hint="eastAsia"/>
          <w:lang w:val="en-US" w:eastAsia="zh-CN"/>
        </w:rPr>
        <w:t>物资</w:t>
      </w:r>
      <w:r>
        <w:rPr>
          <w:rFonts w:hint="eastAsia"/>
        </w:rPr>
        <w:t>保障组</w:t>
      </w:r>
      <w:r>
        <w:t>应持续关注应急资源的消耗情况，及时制定补充计划，确保救援工作的持续进行。明确资源的采购、补充流程和责任单位，建立应急资源的紧急采购绿色通道，以便在必要时能够迅速采购到所需的物资和设备。同时，加强对应急资源的质量监管，确保其符合相关标准和要求，能够正常使用。</w:t>
      </w:r>
    </w:p>
    <w:p>
      <w:pPr>
        <w:ind w:firstLine="510"/>
      </w:pPr>
      <w:r>
        <w:rPr>
          <w:rFonts w:hint="eastAsia"/>
        </w:rPr>
        <w:t>6.后勤及财力保障</w:t>
      </w:r>
    </w:p>
    <w:p>
      <w:pPr>
        <w:ind w:firstLine="510"/>
      </w:pPr>
      <w:r>
        <w:rPr>
          <w:rFonts w:hint="eastAsia"/>
        </w:rPr>
        <w:t>（1）</w:t>
      </w:r>
      <w:r>
        <w:rPr>
          <w:rFonts w:hint="eastAsia"/>
          <w:lang w:val="en-US" w:eastAsia="zh-CN"/>
        </w:rPr>
        <w:t>物资</w:t>
      </w:r>
      <w:r>
        <w:rPr>
          <w:rFonts w:hint="eastAsia"/>
        </w:rPr>
        <w:t>保障组对接政府财政部门，协调统筹处理应急处理处置所需经费；</w:t>
      </w:r>
    </w:p>
    <w:p>
      <w:pPr>
        <w:ind w:firstLine="510"/>
      </w:pPr>
      <w:r>
        <w:rPr>
          <w:rFonts w:hint="eastAsia"/>
        </w:rPr>
        <w:t>（2）</w:t>
      </w:r>
      <w:r>
        <w:rPr>
          <w:rFonts w:hint="eastAsia"/>
          <w:lang w:val="en-US" w:eastAsia="zh-CN"/>
        </w:rPr>
        <w:t>物资</w:t>
      </w:r>
      <w:r>
        <w:rPr>
          <w:rFonts w:hint="eastAsia"/>
        </w:rPr>
        <w:t>保障组做好应急处置过程中的交通、食宿、医疗等后勤保障工作，会同有关部门做好受灾人员和公众的基本生活保障工作。</w:t>
      </w:r>
    </w:p>
    <w:p>
      <w:pPr>
        <w:pStyle w:val="30"/>
        <w:rPr>
          <w:rFonts w:hint="eastAsia"/>
        </w:rPr>
      </w:pPr>
      <w:bookmarkStart w:id="58" w:name="_Toc5053"/>
      <w:r>
        <w:rPr>
          <w:rFonts w:hint="eastAsia"/>
        </w:rPr>
        <w:t>5.4应急处置</w:t>
      </w:r>
      <w:bookmarkEnd w:id="58"/>
    </w:p>
    <w:p>
      <w:pPr>
        <w:ind w:firstLine="510"/>
      </w:pPr>
      <w:r>
        <w:rPr>
          <w:rFonts w:hint="eastAsia"/>
        </w:rPr>
        <w:t>地质灾害发生后，应急救援指挥中心应采取下列一项或者多项应急措施（因地质灾害引发危险化学品泄漏等生产安全事故的，启动园区相关应急预案进行处置）：</w:t>
      </w:r>
    </w:p>
    <w:p>
      <w:pPr>
        <w:ind w:firstLine="510"/>
      </w:pPr>
      <w:r>
        <w:rPr>
          <w:rFonts w:hint="eastAsia"/>
        </w:rPr>
        <w:t>1、现场信息获取。组织现场人员，技术支持组利用无人机获取现场影像，分析研判企业生产储存装置，道路、通信、电力、供水等基础设施损毁情况，判断园区内已经或可能受影响的企业分布信息，提出初步评估意见，并向应急指挥部报告。</w:t>
      </w:r>
    </w:p>
    <w:p>
      <w:pPr>
        <w:ind w:firstLine="510"/>
      </w:pPr>
      <w:r>
        <w:rPr>
          <w:rFonts w:hint="eastAsia"/>
        </w:rPr>
        <w:t>2、抢险救援组和企业专（兼职）救援队营救受灾和被困人员，疏散、撤离并妥善安置受威胁人员，必要时组织动员社会应急力量有序参与应急处置与救援、受灾人员救助工作。</w:t>
      </w:r>
    </w:p>
    <w:p>
      <w:pPr>
        <w:ind w:firstLine="510"/>
      </w:pPr>
      <w:r>
        <w:rPr>
          <w:rFonts w:hint="eastAsia"/>
        </w:rPr>
        <w:t>3、医疗救护组组织协调医疗机构救治伤员，远离风险地段、隔离污染源。</w:t>
      </w:r>
    </w:p>
    <w:p>
      <w:pPr>
        <w:ind w:firstLine="510"/>
      </w:pPr>
      <w:r>
        <w:rPr>
          <w:rFonts w:hint="eastAsia"/>
        </w:rPr>
        <w:t>4、</w:t>
      </w:r>
      <w:r>
        <w:rPr>
          <w:rFonts w:hint="eastAsia"/>
          <w:lang w:val="en-US" w:eastAsia="zh-CN"/>
        </w:rPr>
        <w:t>应急处置</w:t>
      </w:r>
      <w:r>
        <w:rPr>
          <w:rFonts w:hint="eastAsia"/>
        </w:rPr>
        <w:t>组和警戒</w:t>
      </w:r>
      <w:r>
        <w:rPr>
          <w:rFonts w:hint="eastAsia"/>
          <w:lang w:val="en-US" w:eastAsia="zh-CN"/>
        </w:rPr>
        <w:t>疏散</w:t>
      </w:r>
      <w:r>
        <w:rPr>
          <w:rFonts w:hint="eastAsia"/>
        </w:rPr>
        <w:t>组迅速组织开展抢险工作，控制危险源、减轻或消除危害，并标明危险区域，封锁危险场所，划定警戒区，配合相关部门实行交通管制以及其他控制措施，协调交通运输、公安等有关部门保证紧急情况下应急交通工具的优先安排、优先调度、优先放行，确保抢险救灾物资和人员能够及时、安全送达。</w:t>
      </w:r>
    </w:p>
    <w:p>
      <w:pPr>
        <w:ind w:firstLine="510"/>
      </w:pPr>
      <w:r>
        <w:rPr>
          <w:rFonts w:hint="eastAsia"/>
        </w:rPr>
        <w:t>5、应急指挥部组织协调专业力量抢修被损坏的交通、通信、供（排）水、供电、供气、供热等公共设施，短时难以恢复的，要实施临时过渡方案，保障园区企业生产、应急的基本需要。</w:t>
      </w:r>
    </w:p>
    <w:p>
      <w:pPr>
        <w:ind w:firstLine="510"/>
      </w:pPr>
      <w:r>
        <w:rPr>
          <w:rFonts w:hint="eastAsia"/>
        </w:rPr>
        <w:t>6、警戒</w:t>
      </w:r>
      <w:r>
        <w:rPr>
          <w:rFonts w:hint="eastAsia"/>
          <w:lang w:val="en-US" w:eastAsia="zh-CN"/>
        </w:rPr>
        <w:t>疏散</w:t>
      </w:r>
      <w:r>
        <w:rPr>
          <w:rFonts w:hint="eastAsia"/>
        </w:rPr>
        <w:t>组加强对禁止或者限制使用有关设备、设施的管理，关闭或者限制使用有关场所。</w:t>
      </w:r>
    </w:p>
    <w:p>
      <w:pPr>
        <w:ind w:firstLine="510"/>
      </w:pPr>
      <w:r>
        <w:rPr>
          <w:rFonts w:hint="eastAsia"/>
        </w:rPr>
        <w:t>7、</w:t>
      </w:r>
      <w:r>
        <w:rPr>
          <w:rFonts w:hint="eastAsia"/>
          <w:lang w:val="en-US" w:eastAsia="zh-CN"/>
        </w:rPr>
        <w:t>物资保障</w:t>
      </w:r>
      <w:r>
        <w:rPr>
          <w:rFonts w:hint="eastAsia"/>
        </w:rPr>
        <w:t>组启用园区储备的应急救援和救灾物资，必要时征用企业的急需物资、设备、设施、工具。</w:t>
      </w:r>
    </w:p>
    <w:p>
      <w:pPr>
        <w:ind w:firstLine="510"/>
      </w:pPr>
      <w:r>
        <w:rPr>
          <w:rFonts w:hint="eastAsia"/>
        </w:rPr>
        <w:t>8、应急专家组研究制定对园区重大危险源企业、重要目标企业、重点敏感化工企业的安全保护措施。指导相关部门和化工企业制订对电力、蒸汽、循环水的保供方案，防范由于电力中断、蒸汽停供、供水中断等情况引起的生产安全事故。协助、指导企业重点落实对化工装置意外停车、设备冻堵带来的工艺安全风险的预先防范措施，防止发生次生灾害与联锁反应。</w:t>
      </w:r>
    </w:p>
    <w:p>
      <w:pPr>
        <w:ind w:firstLine="510"/>
      </w:pPr>
      <w:r>
        <w:rPr>
          <w:rFonts w:hint="eastAsia"/>
        </w:rPr>
        <w:t>9、</w:t>
      </w:r>
      <w:r>
        <w:rPr>
          <w:rFonts w:hint="eastAsia"/>
          <w:lang w:val="en-US" w:eastAsia="zh-CN"/>
        </w:rPr>
        <w:t>物资保障</w:t>
      </w:r>
      <w:r>
        <w:rPr>
          <w:rFonts w:hint="eastAsia"/>
        </w:rPr>
        <w:t>组配合上级政府做好受灾群众的基本生活保障工作，提供食品、饮用水、衣被、燃料等基本生活必需品和临时住所，医疗救护组配合医疗卫生机构开展卫生防疫工作，确保灾区群众有饭吃、有水喝、有衣穿、有住处、有病能及时医治，确保大灾之后无大疫。</w:t>
      </w:r>
    </w:p>
    <w:p>
      <w:pPr>
        <w:ind w:firstLine="510"/>
      </w:pPr>
      <w:r>
        <w:rPr>
          <w:rFonts w:hint="eastAsia"/>
        </w:rPr>
        <w:t>10、后续处置组配合上级政府开展遇难人员善后处置工作，妥善处理遇难人员遗体，做好遇难人员家属安抚等工作。</w:t>
      </w:r>
    </w:p>
    <w:p>
      <w:pPr>
        <w:ind w:firstLine="510"/>
      </w:pPr>
      <w:r>
        <w:rPr>
          <w:rFonts w:hint="eastAsia"/>
        </w:rPr>
        <w:t>11、后续处置组组织开展救灾捐赠活动，接收、管理、分配救灾捐赠款物。</w:t>
      </w:r>
    </w:p>
    <w:p>
      <w:pPr>
        <w:ind w:firstLine="510"/>
      </w:pPr>
      <w:r>
        <w:rPr>
          <w:rFonts w:hint="eastAsia"/>
        </w:rPr>
        <w:t>12、警戒</w:t>
      </w:r>
      <w:r>
        <w:rPr>
          <w:rFonts w:hint="eastAsia"/>
          <w:lang w:val="en-US" w:eastAsia="zh-CN"/>
        </w:rPr>
        <w:t>疏散</w:t>
      </w:r>
      <w:r>
        <w:rPr>
          <w:rFonts w:hint="eastAsia"/>
        </w:rPr>
        <w:t>组应严格禁止哄抢财物、干扰破坏应急处置工作等扰乱社会秩序的行为，维护社会治安。</w:t>
      </w:r>
    </w:p>
    <w:p>
      <w:pPr>
        <w:pStyle w:val="30"/>
        <w:rPr>
          <w:rFonts w:hint="eastAsia"/>
        </w:rPr>
      </w:pPr>
      <w:bookmarkStart w:id="59" w:name="_Toc2698"/>
      <w:r>
        <w:rPr>
          <w:rFonts w:hint="eastAsia"/>
        </w:rPr>
        <w:t>5.5</w:t>
      </w:r>
      <w:r>
        <w:t>恢复重建</w:t>
      </w:r>
      <w:bookmarkEnd w:id="59"/>
    </w:p>
    <w:p>
      <w:pPr>
        <w:pStyle w:val="47"/>
        <w:numPr>
          <w:ilvl w:val="0"/>
          <w:numId w:val="2"/>
        </w:numPr>
        <w:ind w:firstLineChars="0"/>
      </w:pPr>
      <w:r>
        <w:t>应急处置结束后，由园区管委会具体负责开展恢复重建工作。产业园区管委会应立即制定计划、安排恢复生产生活，组织群众大力开展生产自救；组织专家评估重建能力和灾害造成的损失，制定恢复重建计划，落实资金，迅速开展恢复建设工作。</w:t>
      </w:r>
    </w:p>
    <w:p>
      <w:pPr>
        <w:pStyle w:val="47"/>
        <w:numPr>
          <w:ilvl w:val="0"/>
          <w:numId w:val="2"/>
        </w:numPr>
        <w:ind w:firstLineChars="0"/>
      </w:pPr>
      <w:r>
        <w:t>应急指挥部根据实际情况向管委会提出资金、物资、技术方面的需求。需要援助的，报请政府、相关部门提出请求。</w:t>
      </w:r>
    </w:p>
    <w:p>
      <w:pPr>
        <w:pStyle w:val="47"/>
        <w:numPr>
          <w:ilvl w:val="0"/>
          <w:numId w:val="2"/>
        </w:numPr>
        <w:ind w:firstLineChars="0"/>
      </w:pPr>
      <w:r>
        <w:t>相关成员单位根据职责分工做好灾区恢复重建扶持工作。</w:t>
      </w:r>
      <w:r>
        <w:br w:type="page"/>
      </w:r>
    </w:p>
    <w:p>
      <w:pPr>
        <w:pStyle w:val="2"/>
        <w:rPr>
          <w:rFonts w:hint="eastAsia"/>
        </w:rPr>
      </w:pPr>
      <w:bookmarkStart w:id="60" w:name="_Toc27757"/>
      <w:r>
        <w:rPr>
          <w:rFonts w:hint="eastAsia"/>
        </w:rPr>
        <w:t>6</w:t>
      </w:r>
      <w:r>
        <w:t xml:space="preserve"> 保障措施</w:t>
      </w:r>
      <w:bookmarkEnd w:id="60"/>
    </w:p>
    <w:p>
      <w:pPr>
        <w:pStyle w:val="30"/>
        <w:rPr>
          <w:rFonts w:hint="eastAsia"/>
        </w:rPr>
      </w:pPr>
      <w:bookmarkStart w:id="61" w:name="_Toc25875"/>
      <w:r>
        <w:rPr>
          <w:rFonts w:hint="eastAsia"/>
        </w:rPr>
        <w:t>6</w:t>
      </w:r>
      <w:r>
        <w:t>.1 通信与信息保障</w:t>
      </w:r>
      <w:bookmarkEnd w:id="61"/>
    </w:p>
    <w:p>
      <w:pPr>
        <w:ind w:firstLine="510"/>
      </w:pPr>
      <w:r>
        <w:t>应急救援指挥部各成员单位要指定负责日常联络的工作人员，充分利用有线、无线通讯设备和互联网等手段，切实保障通讯畅通。应急指挥部各成员单位实行24小时值守制度，随时接收、处理事故报告信息。</w:t>
      </w:r>
    </w:p>
    <w:p>
      <w:pPr>
        <w:pStyle w:val="30"/>
        <w:rPr>
          <w:rFonts w:hint="eastAsia"/>
        </w:rPr>
      </w:pPr>
      <w:bookmarkStart w:id="62" w:name="_Toc3231"/>
      <w:r>
        <w:rPr>
          <w:rFonts w:hint="eastAsia"/>
        </w:rPr>
        <w:t>6</w:t>
      </w:r>
      <w:r>
        <w:t>.2 队伍保障</w:t>
      </w:r>
      <w:bookmarkEnd w:id="62"/>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t>。</w:t>
      </w:r>
    </w:p>
    <w:p>
      <w:pPr>
        <w:pStyle w:val="30"/>
        <w:rPr>
          <w:rFonts w:hint="eastAsia"/>
        </w:rPr>
      </w:pPr>
      <w:bookmarkStart w:id="63" w:name="_Toc23600"/>
      <w:r>
        <w:rPr>
          <w:rFonts w:hint="eastAsia"/>
        </w:rPr>
        <w:t>6</w:t>
      </w:r>
      <w:r>
        <w:t>.</w:t>
      </w:r>
      <w:r>
        <w:rPr>
          <w:rFonts w:hint="eastAsia"/>
          <w:lang w:val="en-US" w:eastAsia="zh-CN"/>
        </w:rPr>
        <w:t>3</w:t>
      </w:r>
      <w:r>
        <w:t xml:space="preserve"> 物资保障</w:t>
      </w:r>
      <w:bookmarkEnd w:id="63"/>
    </w:p>
    <w:p>
      <w:pPr>
        <w:ind w:firstLine="510"/>
      </w:pPr>
      <w:bookmarkStart w:id="64" w:name="_Toc517862572"/>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64"/>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t>。</w:t>
      </w:r>
    </w:p>
    <w:p>
      <w:pPr>
        <w:pStyle w:val="30"/>
        <w:rPr>
          <w:rFonts w:hint="eastAsia"/>
        </w:rPr>
      </w:pPr>
      <w:bookmarkStart w:id="65" w:name="_Toc27345"/>
      <w:r>
        <w:rPr>
          <w:rFonts w:hint="eastAsia"/>
        </w:rPr>
        <w:t>6</w:t>
      </w:r>
      <w:r>
        <w:t>.</w:t>
      </w:r>
      <w:r>
        <w:rPr>
          <w:rFonts w:hint="eastAsia"/>
          <w:lang w:val="en-US" w:eastAsia="zh-CN"/>
        </w:rPr>
        <w:t>4</w:t>
      </w:r>
      <w:r>
        <w:t xml:space="preserve"> 经费保障</w:t>
      </w:r>
      <w:bookmarkEnd w:id="65"/>
    </w:p>
    <w:p>
      <w:pPr>
        <w:ind w:firstLine="510"/>
      </w:pPr>
      <w:r>
        <w:t>产业园区管委会将化工园区自然灾害防范和应对工作所需经费纳入产业园区管委会财政预算。处置自然灾害所需财政负担的经费，按照现行事权、财权划分原则，分级负担，安排应急工作预备经费、应急工作专项经费和日常工作经费，保障自然灾害应对工作的需要。对受自然灾害影响较大、财政困难时，产业园区管委会视情向区财政局提出补助申请，积极争取中央、省、市财政支持。对受自然灾害影响较大的单位和个人，产业园区管委会要及时研究提出相应的救助政策。</w:t>
      </w:r>
    </w:p>
    <w:p>
      <w:pPr>
        <w:ind w:firstLine="510"/>
      </w:pPr>
      <w:r>
        <w:t>鼓励公民、法人或其他组织依法为应对自然灾害提供物资、装备、资金、技术支持和捐赠。</w:t>
      </w:r>
    </w:p>
    <w:p>
      <w:pPr>
        <w:ind w:firstLine="510"/>
      </w:pPr>
      <w:r>
        <w:t>产业园区管委会应制定相关制度对自然灾害财政保障资金、社会捐助资金的使用情况进行监督管理。</w:t>
      </w:r>
    </w:p>
    <w:p>
      <w:pPr>
        <w:pStyle w:val="30"/>
        <w:rPr>
          <w:rFonts w:hint="eastAsia"/>
        </w:rPr>
      </w:pPr>
      <w:bookmarkStart w:id="66" w:name="_Toc5916"/>
      <w:r>
        <w:rPr>
          <w:rFonts w:hint="eastAsia"/>
        </w:rPr>
        <w:t>6</w:t>
      </w:r>
      <w:r>
        <w:t>.</w:t>
      </w:r>
      <w:r>
        <w:rPr>
          <w:rFonts w:hint="eastAsia"/>
          <w:lang w:val="en-US" w:eastAsia="zh-CN"/>
        </w:rPr>
        <w:t>5</w:t>
      </w:r>
      <w:r>
        <w:t xml:space="preserve"> 医疗卫生保障</w:t>
      </w:r>
      <w:bookmarkEnd w:id="66"/>
    </w:p>
    <w:p>
      <w:pPr>
        <w:ind w:firstLine="510"/>
      </w:pPr>
      <w:r>
        <w:rPr>
          <w:rFonts w:hint="eastAsia" w:ascii="宋体" w:hAnsi="宋体" w:eastAsia="宋体" w:cs="宋体"/>
        </w:rPr>
        <w:t>园区内的伤员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t>。</w:t>
      </w:r>
    </w:p>
    <w:p>
      <w:pPr>
        <w:pStyle w:val="30"/>
        <w:rPr>
          <w:rFonts w:hint="eastAsia"/>
        </w:rPr>
      </w:pPr>
      <w:bookmarkStart w:id="67" w:name="_Toc22819"/>
      <w:r>
        <w:rPr>
          <w:rFonts w:hint="eastAsia"/>
        </w:rPr>
        <w:t>6</w:t>
      </w:r>
      <w:r>
        <w:t>.</w:t>
      </w:r>
      <w:r>
        <w:rPr>
          <w:rFonts w:hint="eastAsia"/>
          <w:lang w:val="en-US" w:eastAsia="zh-CN"/>
        </w:rPr>
        <w:t>6</w:t>
      </w:r>
      <w:r>
        <w:t xml:space="preserve"> 交通运输保障</w:t>
      </w:r>
      <w:bookmarkEnd w:id="67"/>
    </w:p>
    <w:p>
      <w:pPr>
        <w:ind w:firstLine="510"/>
      </w:pPr>
      <w:r>
        <w:rPr>
          <w:rFonts w:hint="eastAsia"/>
        </w:rPr>
        <w:t>突发自然灾害事故现场的交通运输保障由当地交警队配合，优先运送处置事故灾难所需物资、设备设施、工具、抢险救援人员和受到危害的人员，依法对事故现场进行交通管制，保障抢险道路的畅通，确保救援物资、器材和救援人员运送及时到位</w:t>
      </w:r>
      <w:r>
        <w:t>。</w:t>
      </w:r>
    </w:p>
    <w:p>
      <w:pPr>
        <w:pStyle w:val="30"/>
        <w:rPr>
          <w:rFonts w:hint="eastAsia"/>
        </w:rPr>
      </w:pPr>
      <w:bookmarkStart w:id="68" w:name="_Toc4102"/>
      <w:r>
        <w:rPr>
          <w:rFonts w:hint="eastAsia"/>
        </w:rPr>
        <w:t>6</w:t>
      </w:r>
      <w:r>
        <w:t>.</w:t>
      </w:r>
      <w:r>
        <w:rPr>
          <w:rFonts w:hint="eastAsia"/>
          <w:lang w:val="en-US" w:eastAsia="zh-CN"/>
        </w:rPr>
        <w:t>7</w:t>
      </w:r>
      <w:r>
        <w:t xml:space="preserve"> 治安保障</w:t>
      </w:r>
      <w:bookmarkEnd w:id="68"/>
    </w:p>
    <w:p>
      <w:pPr>
        <w:ind w:firstLine="510"/>
      </w:pPr>
      <w:r>
        <w:t>由</w:t>
      </w:r>
      <w:r>
        <w:rPr>
          <w:rFonts w:hint="eastAsia"/>
          <w:lang w:val="en-US" w:eastAsia="zh-CN"/>
        </w:rPr>
        <w:t>警戒疏散组</w:t>
      </w:r>
      <w:r>
        <w:t>协调</w:t>
      </w:r>
      <w:r>
        <w:rPr>
          <w:rFonts w:hint="eastAsia"/>
          <w:lang w:val="en-US" w:eastAsia="zh-CN"/>
        </w:rPr>
        <w:t>当地</w:t>
      </w:r>
      <w:r>
        <w:t>派出所负责组织事故现场治安警戒和治安管理，加强对重点区域、重点场所、重点人群、重要物资设备的防范保护，维护现场秩序，及时疏散群众，依法严厉打击违法犯罪活动。必要时，依法采取有效管制措施，控制事态，维护社会秩序。发动和组织群众开展群防联防，协助做好治安工作。</w:t>
      </w:r>
      <w:r>
        <w:br w:type="page"/>
      </w:r>
    </w:p>
    <w:p>
      <w:pPr>
        <w:pStyle w:val="2"/>
        <w:rPr>
          <w:rFonts w:hint="eastAsia"/>
        </w:rPr>
      </w:pPr>
      <w:bookmarkStart w:id="69" w:name="_Toc16236"/>
      <w:r>
        <w:rPr>
          <w:rFonts w:hint="eastAsia"/>
        </w:rPr>
        <w:t>附件</w:t>
      </w:r>
      <w:bookmarkEnd w:id="69"/>
    </w:p>
    <w:p>
      <w:pPr>
        <w:pStyle w:val="30"/>
        <w:rPr>
          <w:rFonts w:hint="eastAsia"/>
        </w:rPr>
      </w:pPr>
      <w:bookmarkStart w:id="70" w:name="_Toc5184"/>
      <w:r>
        <w:rPr>
          <w:rFonts w:hint="eastAsia"/>
        </w:rPr>
        <w:t>附件1：化工园区</w:t>
      </w:r>
      <w:r>
        <w:rPr>
          <w:rFonts w:hint="eastAsia"/>
          <w:lang w:val="en-US" w:eastAsia="zh-CN"/>
        </w:rPr>
        <w:t>平面</w:t>
      </w:r>
      <w:r>
        <w:rPr>
          <w:rFonts w:hint="eastAsia"/>
        </w:rPr>
        <w:t>图</w:t>
      </w:r>
      <w:bookmarkEnd w:id="70"/>
    </w:p>
    <w:p>
      <w:pPr>
        <w:pStyle w:val="30"/>
        <w:outlineLvl w:val="9"/>
        <w:rPr>
          <w:rFonts w:hint="eastAsia"/>
        </w:rPr>
      </w:pPr>
      <w:r>
        <w:drawing>
          <wp:inline distT="0" distB="0" distL="114300" distR="114300">
            <wp:extent cx="6108065" cy="43199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6"/>
                    <a:stretch>
                      <a:fillRect/>
                    </a:stretch>
                  </pic:blipFill>
                  <pic:spPr>
                    <a:xfrm>
                      <a:off x="0" y="0"/>
                      <a:ext cx="6108065" cy="4319905"/>
                    </a:xfrm>
                    <a:prstGeom prst="rect">
                      <a:avLst/>
                    </a:prstGeom>
                    <a:noFill/>
                    <a:ln w="9525">
                      <a:noFill/>
                    </a:ln>
                  </pic:spPr>
                </pic:pic>
              </a:graphicData>
            </a:graphic>
          </wp:inline>
        </w:drawing>
      </w:r>
      <w:r>
        <w:rPr>
          <w:rFonts w:hint="eastAsia"/>
        </w:rPr>
        <w:br w:type="page"/>
      </w:r>
    </w:p>
    <w:p>
      <w:pPr>
        <w:pStyle w:val="30"/>
        <w:rPr>
          <w:rFonts w:hint="eastAsia"/>
        </w:rPr>
      </w:pPr>
      <w:bookmarkStart w:id="71" w:name="_Toc32132"/>
      <w:bookmarkStart w:id="72" w:name="_Toc3874"/>
      <w:r>
        <w:rPr>
          <w:rFonts w:hint="eastAsia"/>
        </w:rPr>
        <w:t>附件2：园区“两重点一重大”企业分布情况</w:t>
      </w:r>
      <w:bookmarkEnd w:id="71"/>
      <w:bookmarkEnd w:id="72"/>
    </w:p>
    <w:p>
      <w:pPr>
        <w:ind w:left="146" w:firstLine="510"/>
      </w:pPr>
      <w:r>
        <w:rPr>
          <w:rFonts w:hint="eastAsia"/>
        </w:rPr>
        <w:t>根据园区各企业提供的相关资料对化工园区现有企业进行辨识，园区企业涉及“两重点，一重大”的情况详见下表</w:t>
      </w:r>
      <w:r>
        <w:t>。</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一级（9个）：原油罐组（一）、原油罐组（二）、汽油罐组（一）、汽油罐组（二）、汽油罐组（三）、压力罐组（二）、压力罐组（三）、压力罐组（四）、压力罐组（五）</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二级（4个）：重油催化裂化联合装置、轻油罐组（二）、芳烃罐组、压力罐组（一）</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三级（5个）：连续重整-芳烃联合装置、硫磺回收联合装置、柴油罐组（一）、柴油罐组（三）、异构化汽油罐组</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裂化工艺（2个）：重油催化裂化装置、延迟焦化装置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氧化工艺（1个）：硫磺回收装置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安宁首站汽油罐区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安宁首站柴油罐区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安宁首站航空煤油罐区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工艺设备区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一级（1个）：油罐区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三级（2个）：氨合成生产单元、双氧水生产单元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四级（1个）：甲醇储罐单元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一级（2个）：常压氨罐储存单元、液氨球罐储存单元</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二级（1个）：双氧水产品罐区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新型煤化工工艺（1个）：煤气化装置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加氢工艺（1个）：蒽醌法双氧水制备装置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过氧化工艺（1个）：蒽醌法双氧水制备装置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一级（3个）：丙烯</w:t>
            </w:r>
            <w:r>
              <w:rPr>
                <w:rFonts w:ascii="宋体" w:hAnsi="Times New Roman" w:eastAsia="宋体" w:cs="Times New Roman"/>
                <w:kern w:val="2"/>
                <w:sz w:val="21"/>
                <w:szCs w:val="24"/>
                <w:lang w:val="en-US" w:eastAsia="zh-CN" w:bidi="ar-SA"/>
              </w:rPr>
              <w:t>及LPG储罐区单元、</w:t>
            </w:r>
            <w:r>
              <w:rPr>
                <w:rFonts w:hint="eastAsia" w:ascii="宋体" w:hAnsi="Times New Roman" w:eastAsia="宋体" w:cs="Times New Roman"/>
                <w:kern w:val="2"/>
                <w:sz w:val="21"/>
                <w:szCs w:val="24"/>
                <w:lang w:val="en-US" w:eastAsia="zh-CN" w:bidi="ar-SA"/>
              </w:rPr>
              <w:t>丁烷</w:t>
            </w:r>
            <w:r>
              <w:rPr>
                <w:rFonts w:ascii="宋体" w:hAnsi="Times New Roman" w:eastAsia="宋体" w:cs="Times New Roman"/>
                <w:kern w:val="2"/>
                <w:sz w:val="21"/>
                <w:szCs w:val="24"/>
                <w:lang w:val="en-US" w:eastAsia="zh-CN" w:bidi="ar-SA"/>
              </w:rPr>
              <w:t>及</w:t>
            </w:r>
            <w:r>
              <w:rPr>
                <w:rFonts w:hint="eastAsia" w:ascii="宋体" w:hAnsi="Times New Roman" w:eastAsia="宋体" w:cs="Times New Roman"/>
                <w:kern w:val="2"/>
                <w:sz w:val="21"/>
                <w:szCs w:val="24"/>
                <w:lang w:val="en-US" w:eastAsia="zh-CN" w:bidi="ar-SA"/>
              </w:rPr>
              <w:t>丙烷</w:t>
            </w:r>
            <w:r>
              <w:rPr>
                <w:rFonts w:ascii="宋体" w:hAnsi="Times New Roman" w:eastAsia="宋体" w:cs="Times New Roman"/>
                <w:kern w:val="2"/>
                <w:sz w:val="21"/>
                <w:szCs w:val="24"/>
                <w:lang w:val="en-US" w:eastAsia="zh-CN" w:bidi="ar-SA"/>
              </w:rPr>
              <w:t>储罐区单元、</w:t>
            </w:r>
            <w:r>
              <w:rPr>
                <w:rFonts w:hint="eastAsia" w:ascii="宋体" w:hAnsi="Times New Roman" w:eastAsia="宋体" w:cs="Times New Roman"/>
                <w:kern w:val="2"/>
                <w:sz w:val="21"/>
                <w:szCs w:val="24"/>
                <w:lang w:val="en-US" w:eastAsia="zh-CN" w:bidi="ar-SA"/>
              </w:rPr>
              <w:t>液氨</w:t>
            </w:r>
            <w:r>
              <w:rPr>
                <w:rFonts w:ascii="宋体" w:hAnsi="Times New Roman" w:eastAsia="宋体" w:cs="Times New Roman"/>
                <w:kern w:val="2"/>
                <w:sz w:val="21"/>
                <w:szCs w:val="24"/>
                <w:lang w:val="en-US" w:eastAsia="zh-CN" w:bidi="ar-SA"/>
              </w:rPr>
              <w:t>储罐区单元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三级（1个）：聚丙烯</w:t>
            </w:r>
            <w:r>
              <w:rPr>
                <w:rFonts w:ascii="宋体" w:hAnsi="Times New Roman" w:eastAsia="宋体" w:cs="Times New Roman"/>
                <w:kern w:val="2"/>
                <w:sz w:val="21"/>
                <w:szCs w:val="24"/>
                <w:lang w:val="en-US" w:eastAsia="zh-CN" w:bidi="ar-SA"/>
              </w:rPr>
              <w:t>精制反</w:t>
            </w:r>
            <w:r>
              <w:rPr>
                <w:rFonts w:hint="eastAsia" w:ascii="宋体" w:hAnsi="Times New Roman" w:eastAsia="宋体" w:cs="Times New Roman"/>
                <w:kern w:val="2"/>
                <w:sz w:val="21"/>
                <w:szCs w:val="24"/>
                <w:lang w:val="en-US" w:eastAsia="zh-CN" w:bidi="ar-SA"/>
              </w:rPr>
              <w:t>应尾气</w:t>
            </w:r>
            <w:r>
              <w:rPr>
                <w:rFonts w:ascii="宋体" w:hAnsi="Times New Roman" w:eastAsia="宋体" w:cs="Times New Roman"/>
                <w:kern w:val="2"/>
                <w:sz w:val="21"/>
                <w:szCs w:val="24"/>
                <w:lang w:val="en-US" w:eastAsia="zh-CN" w:bidi="ar-SA"/>
              </w:rPr>
              <w:t>回收单元</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四级（1个）：乙烯</w:t>
            </w:r>
            <w:r>
              <w:rPr>
                <w:rFonts w:ascii="宋体" w:hAnsi="Times New Roman" w:eastAsia="宋体" w:cs="Times New Roman"/>
                <w:kern w:val="2"/>
                <w:sz w:val="21"/>
                <w:szCs w:val="24"/>
                <w:lang w:val="en-US" w:eastAsia="zh-CN" w:bidi="ar-SA"/>
              </w:rPr>
              <w:t>储罐区单元</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聚合反应（1个）：丙烯装置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加氢工艺（1个）：异辛烷装置</w:t>
            </w:r>
          </w:p>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烷基化工艺（1个）：异辛烷装置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ascii="宋体" w:hAnsi="Times New Roman" w:eastAsia="宋体" w:cs="Times New Roman"/>
                <w:b/>
                <w:bCs/>
                <w:kern w:val="2"/>
                <w:sz w:val="21"/>
                <w:szCs w:val="24"/>
                <w:lang w:val="en-US" w:eastAsia="zh-CN" w:bidi="ar-SA"/>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一级（5个）：</w:t>
            </w:r>
            <w:r>
              <w:rPr>
                <w:rFonts w:ascii="宋体" w:hAnsi="Times New Roman" w:eastAsia="宋体" w:cs="Times New Roman"/>
                <w:kern w:val="2"/>
                <w:sz w:val="21"/>
                <w:szCs w:val="24"/>
                <w:lang w:val="en-US" w:eastAsia="zh-CN" w:bidi="ar-SA"/>
              </w:rPr>
              <w:t>罐区、生产车间、包装车间、</w:t>
            </w:r>
            <w:r>
              <w:rPr>
                <w:rFonts w:hint="eastAsia" w:ascii="宋体" w:hAnsi="Times New Roman" w:eastAsia="宋体" w:cs="Times New Roman"/>
                <w:kern w:val="2"/>
                <w:sz w:val="21"/>
                <w:szCs w:val="24"/>
                <w:lang w:val="en-US" w:eastAsia="zh-CN" w:bidi="ar-SA"/>
              </w:rPr>
              <w:t>六氟磷酸锂制气合成车间、六氟磷酸锂结晶车间</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四级（1个）：五氯化磷仓库</w:t>
            </w:r>
          </w:p>
        </w:tc>
        <w:tc>
          <w:tcPr>
            <w:tcW w:w="165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氟化工艺（</w:t>
            </w:r>
            <w:r>
              <w:rPr>
                <w:rFonts w:hint="eastAsia" w:ascii="宋体" w:hAnsi="Times New Roman" w:eastAsia="宋体" w:cs="Times New Roman"/>
                <w:kern w:val="2"/>
                <w:sz w:val="21"/>
                <w:szCs w:val="24"/>
                <w:lang w:val="en-US" w:eastAsia="zh-CN" w:bidi="ar-SA"/>
              </w:rPr>
              <w:t>2个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五氟化磷制备、六氟磷酸锂制备</w:t>
            </w:r>
          </w:p>
        </w:tc>
        <w:tc>
          <w:tcPr>
            <w:tcW w:w="1079"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一级（1个）：氨罐区</w:t>
            </w: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一级（2个）：无水氟化氢生产装置、无水氟化氢储罐区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氟化工艺（1个）：氟化氢气体与氢氧化铝反应制备氟化铝</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kern w:val="0"/>
                <w:sz w:val="21"/>
                <w:szCs w:val="20"/>
                <w:lang w:val="en-US" w:eastAsia="zh-CN" w:bidi="ar-SA"/>
              </w:rPr>
            </w:pPr>
          </w:p>
        </w:tc>
        <w:tc>
          <w:tcPr>
            <w:tcW w:w="165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一级（3个）：无水氟化氢储罐区、无水氟化氢生产装置区、氢氟酸生产装置区</w:t>
            </w:r>
          </w:p>
          <w:p>
            <w:pPr>
              <w:widowControl w:val="0"/>
              <w:bidi w:val="0"/>
              <w:snapToGrid w:val="0"/>
              <w:spacing w:line="240" w:lineRule="auto"/>
              <w:jc w:val="both"/>
              <w:rPr>
                <w:rFonts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一级（1个）：液氨球罐区</w:t>
            </w:r>
          </w:p>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一期合成氨装置、二期合成氨装置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合成氨工艺（1个）：合成氨装置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r>
              <w:rPr>
                <w:rFonts w:hint="eastAsia" w:ascii="宋体" w:hAnsi="Times New Roman" w:eastAsia="宋体" w:cs="Times New Roman"/>
                <w:kern w:val="2"/>
                <w:sz w:val="21"/>
                <w:szCs w:val="24"/>
                <w:lang w:val="en-US" w:eastAsia="zh-CN" w:bidi="ar-SA"/>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default" w:ascii="宋体" w:hAnsi="Times New Roman" w:eastAsia="宋体" w:cs="Times New Roman"/>
                <w:b/>
                <w:bCs/>
                <w:kern w:val="2"/>
                <w:sz w:val="21"/>
                <w:szCs w:val="24"/>
                <w:lang w:val="en-US" w:eastAsia="zh-CN" w:bidi="ar-SA"/>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default" w:ascii="宋体" w:hAnsi="Times New Roman" w:eastAsia="宋体" w:cs="Times New Roman"/>
                <w:kern w:val="2"/>
                <w:sz w:val="21"/>
                <w:szCs w:val="24"/>
                <w:lang w:val="en-US" w:eastAsia="zh-CN" w:bidi="ar-SA"/>
              </w:rPr>
            </w:pPr>
            <w:r>
              <w:rPr>
                <w:rFonts w:ascii="宋体" w:hAnsi="Times New Roman" w:eastAsia="宋体" w:cs="Times New Roman"/>
                <w:kern w:val="2"/>
                <w:sz w:val="21"/>
                <w:szCs w:val="24"/>
                <w:lang w:val="en-US" w:eastAsia="zh-CN" w:bidi="ar-SA"/>
              </w:rPr>
              <w:t>三级（</w:t>
            </w:r>
            <w:r>
              <w:rPr>
                <w:rFonts w:hint="eastAsia" w:ascii="宋体" w:hAnsi="Times New Roman" w:eastAsia="宋体" w:cs="Times New Roman"/>
                <w:kern w:val="2"/>
                <w:sz w:val="21"/>
                <w:szCs w:val="24"/>
                <w:lang w:val="en-US" w:eastAsia="zh-CN" w:bidi="ar-SA"/>
              </w:rPr>
              <w:t>1个</w:t>
            </w:r>
            <w:r>
              <w:rPr>
                <w:rFonts w:ascii="宋体" w:hAnsi="Times New Roman" w:eastAsia="宋体" w:cs="Times New Roman"/>
                <w:kern w:val="2"/>
                <w:sz w:val="21"/>
                <w:szCs w:val="24"/>
                <w:lang w:val="en-US" w:eastAsia="zh-CN" w:bidi="ar-SA"/>
              </w:rPr>
              <w:t>）：</w:t>
            </w:r>
            <w:r>
              <w:rPr>
                <w:rFonts w:hint="eastAsia" w:ascii="宋体" w:hAnsi="Times New Roman" w:eastAsia="宋体" w:cs="Times New Roman"/>
                <w:kern w:val="2"/>
                <w:sz w:val="21"/>
                <w:szCs w:val="24"/>
                <w:lang w:val="en-US" w:eastAsia="zh-CN" w:bidi="ar-SA"/>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r>
              <w:rPr>
                <w:rFonts w:hint="eastAsia" w:ascii="宋体" w:hAnsi="等线" w:eastAsia="宋体" w:cs="宋体"/>
                <w:kern w:val="0"/>
                <w:sz w:val="21"/>
                <w:szCs w:val="20"/>
                <w:lang w:val="en-US" w:eastAsia="zh-CN" w:bidi="ar-SA"/>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kern w:val="2"/>
                <w:sz w:val="21"/>
                <w:szCs w:val="24"/>
                <w:lang w:val="en-US" w:eastAsia="zh-CN" w:bidi="ar-SA"/>
              </w:rPr>
            </w:pPr>
            <w:r>
              <w:rPr>
                <w:rFonts w:hint="eastAsia" w:ascii="宋体" w:hAnsi="Times New Roman" w:eastAsia="宋体" w:cs="Times New Roman"/>
                <w:b/>
                <w:bCs/>
                <w:kern w:val="2"/>
                <w:sz w:val="21"/>
                <w:szCs w:val="24"/>
                <w:lang w:val="en-US" w:eastAsia="zh-CN" w:bidi="ar-SA"/>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val="0"/>
              <w:bidi w:val="0"/>
              <w:snapToGrid w:val="0"/>
              <w:spacing w:line="240" w:lineRule="auto"/>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三级（2个）：</w:t>
            </w:r>
            <w:r>
              <w:rPr>
                <w:rFonts w:ascii="宋体" w:hAnsi="宋体" w:eastAsia="宋体" w:cs="Times New Roman"/>
                <w:kern w:val="2"/>
                <w:sz w:val="21"/>
                <w:szCs w:val="21"/>
                <w:lang w:val="en-US" w:eastAsia="zh-CN" w:bidi="ar-SA"/>
              </w:rPr>
              <w:t>双氧水</w:t>
            </w:r>
            <w:r>
              <w:rPr>
                <w:rFonts w:hint="eastAsia" w:ascii="宋体" w:hAnsi="宋体" w:eastAsia="宋体" w:cs="Times New Roman"/>
                <w:kern w:val="2"/>
                <w:sz w:val="21"/>
                <w:szCs w:val="21"/>
                <w:lang w:val="en-US" w:eastAsia="zh-CN" w:bidi="ar-SA"/>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kern w:val="2"/>
                <w:sz w:val="21"/>
                <w:szCs w:val="24"/>
                <w:lang w:val="en-US" w:eastAsia="zh-CN" w:bidi="ar-SA"/>
              </w:rPr>
            </w:pPr>
          </w:p>
        </w:tc>
        <w:tc>
          <w:tcPr>
            <w:tcW w:w="1079" w:type="pct"/>
            <w:noWrap w:val="0"/>
            <w:vAlign w:val="center"/>
          </w:tcPr>
          <w:p>
            <w:pPr>
              <w:widowControl/>
              <w:bidi w:val="0"/>
              <w:spacing w:line="240" w:lineRule="auto"/>
              <w:jc w:val="center"/>
              <w:rPr>
                <w:rFonts w:hint="eastAsia" w:ascii="宋体" w:hAnsi="等线" w:eastAsia="宋体" w:cs="宋体"/>
                <w:kern w:val="0"/>
                <w:sz w:val="21"/>
                <w:szCs w:val="20"/>
                <w:lang w:val="en-US" w:eastAsia="zh-CN" w:bidi="ar-SA"/>
              </w:rPr>
            </w:pPr>
          </w:p>
        </w:tc>
      </w:tr>
    </w:tbl>
    <w:p>
      <w:pPr>
        <w:ind w:firstLine="510"/>
      </w:pPr>
    </w:p>
    <w:p>
      <w:pPr>
        <w:ind w:firstLine="510"/>
      </w:pPr>
    </w:p>
    <w:p>
      <w:pPr>
        <w:ind w:firstLine="510"/>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pPr>
    </w:p>
    <w:p>
      <w:pPr>
        <w:pStyle w:val="30"/>
        <w:rPr>
          <w:rFonts w:hint="eastAsia"/>
        </w:rPr>
      </w:pPr>
      <w:bookmarkStart w:id="73" w:name="_Toc2832"/>
      <w:r>
        <w:rPr>
          <w:rFonts w:hint="eastAsia"/>
        </w:rPr>
        <w:t>附件3：应急预案体系衔接</w:t>
      </w:r>
      <w:bookmarkEnd w:id="73"/>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p>
    <w:sectPr>
      <w:pgSz w:w="11907" w:h="16840"/>
      <w:pgMar w:top="1418" w:right="1134" w:bottom="1134" w:left="1361" w:header="851" w:footer="992" w:gutter="227"/>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ascii="宋体" w:hAnsi="宋体" w:cs="Times New Roman"/>
        <w:szCs w:val="21"/>
      </w:rPr>
      <w:t>地质灾害</w:t>
    </w:r>
    <w:r>
      <w:t>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ascii="宋体" w:hAnsi="宋体" w:cs="Times New Roman"/>
        <w:szCs w:val="21"/>
      </w:rPr>
      <w:t>地质灾害专项</w:t>
    </w:r>
    <w:r>
      <w:t>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rPr>
        <w:rFonts w:hint="eastAsia" w:ascii="宋体" w:hAnsi="宋体" w:cs="Times New Roman"/>
        <w:szCs w:val="21"/>
      </w:rPr>
      <w:t>地质灾害</w:t>
    </w:r>
    <w:r>
      <w:t>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6ABB"/>
    <w:multiLevelType w:val="multilevel"/>
    <w:tmpl w:val="26426ABB"/>
    <w:lvl w:ilvl="0" w:tentative="0">
      <w:start w:val="1"/>
      <w:numFmt w:val="decimal"/>
      <w:suff w:val="nothing"/>
      <w:lvlText w:val="%1."/>
      <w:lvlJc w:val="left"/>
      <w:pPr>
        <w:ind w:left="0" w:firstLine="561"/>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1">
    <w:nsid w:val="45E21FD2"/>
    <w:multiLevelType w:val="multilevel"/>
    <w:tmpl w:val="45E21FD2"/>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26FD1"/>
    <w:rsid w:val="00073FC4"/>
    <w:rsid w:val="00080EC9"/>
    <w:rsid w:val="000840DE"/>
    <w:rsid w:val="000E21A2"/>
    <w:rsid w:val="000E7DF7"/>
    <w:rsid w:val="001418C6"/>
    <w:rsid w:val="001471C9"/>
    <w:rsid w:val="00152DAD"/>
    <w:rsid w:val="001651D0"/>
    <w:rsid w:val="00174E3B"/>
    <w:rsid w:val="0018582E"/>
    <w:rsid w:val="00194330"/>
    <w:rsid w:val="00196DC7"/>
    <w:rsid w:val="001B1F14"/>
    <w:rsid w:val="001C5779"/>
    <w:rsid w:val="001C7601"/>
    <w:rsid w:val="001E2796"/>
    <w:rsid w:val="00200A6F"/>
    <w:rsid w:val="0021113D"/>
    <w:rsid w:val="00254CBE"/>
    <w:rsid w:val="00265D8F"/>
    <w:rsid w:val="002806E0"/>
    <w:rsid w:val="00283470"/>
    <w:rsid w:val="002A2719"/>
    <w:rsid w:val="002B082E"/>
    <w:rsid w:val="002B1268"/>
    <w:rsid w:val="002B5780"/>
    <w:rsid w:val="002F486C"/>
    <w:rsid w:val="002F61DB"/>
    <w:rsid w:val="00324686"/>
    <w:rsid w:val="00326BF6"/>
    <w:rsid w:val="00335155"/>
    <w:rsid w:val="0035169C"/>
    <w:rsid w:val="00357610"/>
    <w:rsid w:val="0039050C"/>
    <w:rsid w:val="003C3CE3"/>
    <w:rsid w:val="003D0DB7"/>
    <w:rsid w:val="003E4104"/>
    <w:rsid w:val="003F7AF6"/>
    <w:rsid w:val="0040154C"/>
    <w:rsid w:val="00412AF3"/>
    <w:rsid w:val="004433C4"/>
    <w:rsid w:val="004469B2"/>
    <w:rsid w:val="004715D4"/>
    <w:rsid w:val="004717AD"/>
    <w:rsid w:val="004730FD"/>
    <w:rsid w:val="004734E3"/>
    <w:rsid w:val="0049409F"/>
    <w:rsid w:val="004A2FB9"/>
    <w:rsid w:val="004C2987"/>
    <w:rsid w:val="004C540F"/>
    <w:rsid w:val="004D789E"/>
    <w:rsid w:val="004E1E76"/>
    <w:rsid w:val="00551EE5"/>
    <w:rsid w:val="00554C49"/>
    <w:rsid w:val="00593FC3"/>
    <w:rsid w:val="005C2F24"/>
    <w:rsid w:val="005C6AD6"/>
    <w:rsid w:val="005D688B"/>
    <w:rsid w:val="00607B32"/>
    <w:rsid w:val="00607E07"/>
    <w:rsid w:val="00616692"/>
    <w:rsid w:val="006219D3"/>
    <w:rsid w:val="00631113"/>
    <w:rsid w:val="00641ECB"/>
    <w:rsid w:val="006461C5"/>
    <w:rsid w:val="0064659F"/>
    <w:rsid w:val="00685546"/>
    <w:rsid w:val="00685A31"/>
    <w:rsid w:val="00687B1B"/>
    <w:rsid w:val="00697194"/>
    <w:rsid w:val="006A298C"/>
    <w:rsid w:val="006B7CEE"/>
    <w:rsid w:val="006C406D"/>
    <w:rsid w:val="006D1E58"/>
    <w:rsid w:val="006E1767"/>
    <w:rsid w:val="006E21F6"/>
    <w:rsid w:val="006E7E8B"/>
    <w:rsid w:val="006F5F42"/>
    <w:rsid w:val="00705203"/>
    <w:rsid w:val="00713D0D"/>
    <w:rsid w:val="00725648"/>
    <w:rsid w:val="00730E36"/>
    <w:rsid w:val="00741083"/>
    <w:rsid w:val="007428FA"/>
    <w:rsid w:val="00773E6A"/>
    <w:rsid w:val="00781B21"/>
    <w:rsid w:val="007A0C06"/>
    <w:rsid w:val="007B3EBD"/>
    <w:rsid w:val="007C47F5"/>
    <w:rsid w:val="007D760D"/>
    <w:rsid w:val="007F1678"/>
    <w:rsid w:val="007F63E7"/>
    <w:rsid w:val="008063DA"/>
    <w:rsid w:val="008101BC"/>
    <w:rsid w:val="0084615C"/>
    <w:rsid w:val="008575D4"/>
    <w:rsid w:val="008778D4"/>
    <w:rsid w:val="0088252D"/>
    <w:rsid w:val="0088588B"/>
    <w:rsid w:val="008862BC"/>
    <w:rsid w:val="008D44E3"/>
    <w:rsid w:val="008E409F"/>
    <w:rsid w:val="00901345"/>
    <w:rsid w:val="00914A67"/>
    <w:rsid w:val="00915EAF"/>
    <w:rsid w:val="00916DB9"/>
    <w:rsid w:val="0097018E"/>
    <w:rsid w:val="009714EB"/>
    <w:rsid w:val="00981D80"/>
    <w:rsid w:val="009955E4"/>
    <w:rsid w:val="009C227C"/>
    <w:rsid w:val="009C28BB"/>
    <w:rsid w:val="009D7251"/>
    <w:rsid w:val="009F19E7"/>
    <w:rsid w:val="00A02CD4"/>
    <w:rsid w:val="00A030F6"/>
    <w:rsid w:val="00A232AF"/>
    <w:rsid w:val="00A35C37"/>
    <w:rsid w:val="00A576BC"/>
    <w:rsid w:val="00A604C2"/>
    <w:rsid w:val="00A616D2"/>
    <w:rsid w:val="00A65F5F"/>
    <w:rsid w:val="00AA623B"/>
    <w:rsid w:val="00AD29C2"/>
    <w:rsid w:val="00AD46DE"/>
    <w:rsid w:val="00B13B10"/>
    <w:rsid w:val="00B207BB"/>
    <w:rsid w:val="00B216E4"/>
    <w:rsid w:val="00B45B6C"/>
    <w:rsid w:val="00B57AEF"/>
    <w:rsid w:val="00B61C5C"/>
    <w:rsid w:val="00B7187D"/>
    <w:rsid w:val="00B93383"/>
    <w:rsid w:val="00B9395F"/>
    <w:rsid w:val="00BA0ACC"/>
    <w:rsid w:val="00BC5A00"/>
    <w:rsid w:val="00BE5615"/>
    <w:rsid w:val="00BF0282"/>
    <w:rsid w:val="00BF6431"/>
    <w:rsid w:val="00C521E1"/>
    <w:rsid w:val="00C56890"/>
    <w:rsid w:val="00C7473F"/>
    <w:rsid w:val="00C846AA"/>
    <w:rsid w:val="00C9776E"/>
    <w:rsid w:val="00CA0D54"/>
    <w:rsid w:val="00CC4A20"/>
    <w:rsid w:val="00CD0E95"/>
    <w:rsid w:val="00CE353D"/>
    <w:rsid w:val="00CF4F7A"/>
    <w:rsid w:val="00D00D09"/>
    <w:rsid w:val="00D0429D"/>
    <w:rsid w:val="00D11CBB"/>
    <w:rsid w:val="00D12526"/>
    <w:rsid w:val="00D41867"/>
    <w:rsid w:val="00D5458F"/>
    <w:rsid w:val="00D67C17"/>
    <w:rsid w:val="00D80224"/>
    <w:rsid w:val="00D83F73"/>
    <w:rsid w:val="00DA6DC5"/>
    <w:rsid w:val="00DB1BA2"/>
    <w:rsid w:val="00DB4F0E"/>
    <w:rsid w:val="00DB66EC"/>
    <w:rsid w:val="00DC1412"/>
    <w:rsid w:val="00E24875"/>
    <w:rsid w:val="00E4069A"/>
    <w:rsid w:val="00E5594A"/>
    <w:rsid w:val="00E767C7"/>
    <w:rsid w:val="00E8001A"/>
    <w:rsid w:val="00E83E0A"/>
    <w:rsid w:val="00E90626"/>
    <w:rsid w:val="00E91042"/>
    <w:rsid w:val="00EB5A9D"/>
    <w:rsid w:val="00EF4A0F"/>
    <w:rsid w:val="00EF67CA"/>
    <w:rsid w:val="00EF6D87"/>
    <w:rsid w:val="00F71A91"/>
    <w:rsid w:val="00F75BA5"/>
    <w:rsid w:val="00F93F15"/>
    <w:rsid w:val="00F94D67"/>
    <w:rsid w:val="00FA6169"/>
    <w:rsid w:val="00FB51DA"/>
    <w:rsid w:val="00FD1739"/>
    <w:rsid w:val="02777354"/>
    <w:rsid w:val="165F358E"/>
    <w:rsid w:val="19DB227B"/>
    <w:rsid w:val="1E070424"/>
    <w:rsid w:val="37076A9B"/>
    <w:rsid w:val="5C2C392B"/>
    <w:rsid w:val="637175A2"/>
    <w:rsid w:val="6F6622CD"/>
    <w:rsid w:val="7C46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tabs>
        <w:tab w:val="right" w:leader="dot" w:pos="9175"/>
      </w:tabs>
      <w:ind w:left="510" w:leftChars="200" w:firstLine="430"/>
    </w:pPr>
    <w:rPr>
      <w:sz w:val="24"/>
      <w:szCs w:val="18"/>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3508</Words>
  <Characters>3706</Characters>
  <Lines>103</Lines>
  <Paragraphs>29</Paragraphs>
  <TotalTime>0</TotalTime>
  <ScaleCrop>false</ScaleCrop>
  <LinksUpToDate>false</LinksUpToDate>
  <CharactersWithSpaces>3837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2026-01-28T02:14:33Z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43BEAC3A14654E708000F4E37ED18FCA_12</vt:lpwstr>
  </property>
</Properties>
</file>