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120" w:leftChars="2000" w:firstLine="510"/>
      </w:pPr>
    </w:p>
    <w:p>
      <w:pPr>
        <w:ind w:left="5120" w:leftChars="2000" w:firstLine="510"/>
      </w:pPr>
    </w:p>
    <w:p>
      <w:pPr>
        <w:ind w:left="5120" w:leftChars="2000" w:firstLine="510"/>
      </w:pPr>
      <w:r>
        <w:rPr>
          <w:rFonts w:hint="eastAsia"/>
        </w:rPr>
        <w:t>预案编号：</w:t>
      </w:r>
    </w:p>
    <w:p>
      <w:pPr>
        <w:ind w:left="5120" w:leftChars="2000" w:firstLine="510"/>
      </w:pPr>
      <w:r>
        <w:rPr>
          <w:rFonts w:hint="eastAsia"/>
        </w:rPr>
        <w:t>版本号：</w:t>
      </w:r>
    </w:p>
    <w:p>
      <w:pPr>
        <w:ind w:left="5120" w:leftChars="2000" w:firstLine="510"/>
      </w:pPr>
    </w:p>
    <w:p>
      <w:pPr>
        <w:ind w:left="5120" w:leftChars="2000" w:firstLine="510"/>
      </w:pPr>
    </w:p>
    <w:p>
      <w:pPr>
        <w:ind w:left="5120" w:leftChars="2000" w:firstLine="510"/>
      </w:pPr>
    </w:p>
    <w:p>
      <w:pPr>
        <w:pStyle w:val="3"/>
        <w:rPr>
          <w:rFonts w:hint="eastAsia"/>
        </w:rPr>
      </w:pPr>
    </w:p>
    <w:p>
      <w:pPr>
        <w:pStyle w:val="3"/>
        <w:spacing w:before="360" w:after="360" w:line="600" w:lineRule="exact"/>
        <w:contextualSpacing w:val="0"/>
        <w:rPr>
          <w:rFonts w:hint="eastAsia" w:eastAsia="宋体"/>
          <w:lang w:eastAsia="zh-CN"/>
        </w:rPr>
      </w:pPr>
      <w:r>
        <w:rPr>
          <w:rFonts w:hint="eastAsia"/>
          <w:lang w:eastAsia="zh-CN"/>
        </w:rPr>
        <w:t>安宁高新技术产业开发区草铺化工园区</w:t>
      </w:r>
    </w:p>
    <w:p>
      <w:pPr>
        <w:pStyle w:val="3"/>
        <w:spacing w:before="360" w:after="360" w:line="600" w:lineRule="exact"/>
        <w:contextualSpacing w:val="0"/>
        <w:rPr>
          <w:rFonts w:hint="eastAsia" w:eastAsia="宋体"/>
          <w:spacing w:val="0"/>
          <w:lang w:eastAsia="zh-CN"/>
        </w:rPr>
      </w:pPr>
      <w:r>
        <w:rPr>
          <w:rFonts w:hint="eastAsia" w:ascii="宋体" w:hAnsi="宋体" w:cs="Times New Roman"/>
          <w:szCs w:val="21"/>
          <w:lang w:eastAsia="zh-CN"/>
        </w:rPr>
        <w:t>雷电灾害专项应急预案</w:t>
      </w:r>
    </w:p>
    <w:p>
      <w:pPr>
        <w:pStyle w:val="3"/>
        <w:spacing w:before="360" w:after="360" w:line="600" w:lineRule="exact"/>
        <w:contextualSpacing w:val="0"/>
        <w:rPr>
          <w:rFonts w:hint="eastAsia"/>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hint="eastAsia" w:eastAsia="宋体"/>
          <w:lang w:eastAsia="zh-CN"/>
        </w:rPr>
      </w:pPr>
      <w:r>
        <w:rPr>
          <w:rFonts w:hint="eastAsia"/>
          <w:lang w:eastAsia="zh-CN"/>
        </w:rPr>
        <w:t>安宁高新技术产业开发区管理委员会</w:t>
      </w:r>
    </w:p>
    <w:p>
      <w:pPr>
        <w:ind w:firstLine="0" w:firstLineChars="0"/>
        <w:jc w:val="cente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134" w:left="1361" w:header="851" w:footer="992" w:gutter="227"/>
          <w:cols w:space="425" w:num="1"/>
          <w:docGrid w:type="linesAndChars" w:linePitch="381" w:charSpace="-5092"/>
        </w:sectPr>
      </w:pPr>
      <w:r>
        <w:rPr>
          <w:rFonts w:hint="eastAsia"/>
        </w:rPr>
        <w:t>二〇二五年</w:t>
      </w:r>
      <w:r>
        <w:rPr>
          <w:rFonts w:hint="eastAsia"/>
          <w:lang w:val="en-US" w:eastAsia="zh-CN"/>
        </w:rPr>
        <w:t>十二</w:t>
      </w:r>
      <w:r>
        <w:rPr>
          <w:rFonts w:hint="eastAsia"/>
        </w:rPr>
        <w:t>月</w:t>
      </w:r>
    </w:p>
    <w:p>
      <w:pPr>
        <w:ind w:firstLine="0" w:firstLineChars="0"/>
        <w:jc w:val="center"/>
        <w:sectPr>
          <w:pgSz w:w="11907" w:h="16840"/>
          <w:pgMar w:top="1418" w:right="1134" w:bottom="1134" w:left="1361" w:header="851" w:footer="992" w:gutter="227"/>
          <w:cols w:space="425" w:num="1"/>
          <w:docGrid w:type="linesAndChars" w:linePitch="381" w:charSpace="-5092"/>
        </w:sectPr>
      </w:pPr>
    </w:p>
    <w:p>
      <w:pPr>
        <w:pStyle w:val="2"/>
        <w:rPr>
          <w:rFonts w:hint="eastAsia"/>
        </w:rPr>
      </w:pPr>
      <w:bookmarkStart w:id="0" w:name="_Toc202032472"/>
      <w:bookmarkStart w:id="1" w:name="_Toc11728"/>
      <w:bookmarkStart w:id="2" w:name="_Toc5066"/>
      <w:bookmarkStart w:id="3" w:name="_Toc202203666"/>
      <w:bookmarkStart w:id="4" w:name="_Toc202104754"/>
      <w:bookmarkStart w:id="5" w:name="_Toc1930"/>
      <w:bookmarkStart w:id="6" w:name="_Toc202049112"/>
      <w:bookmarkStart w:id="7" w:name="_Toc202094014"/>
      <w:bookmarkStart w:id="8" w:name="_Toc202198755"/>
      <w:bookmarkStart w:id="9" w:name="_Toc30422"/>
      <w:r>
        <w:rPr>
          <w:rFonts w:hint="eastAsia"/>
        </w:rPr>
        <w:t>颁布令</w:t>
      </w:r>
      <w:bookmarkEnd w:id="0"/>
      <w:bookmarkEnd w:id="1"/>
      <w:bookmarkEnd w:id="2"/>
      <w:bookmarkEnd w:id="3"/>
      <w:bookmarkEnd w:id="4"/>
      <w:bookmarkEnd w:id="5"/>
      <w:bookmarkEnd w:id="6"/>
      <w:bookmarkEnd w:id="7"/>
      <w:bookmarkEnd w:id="8"/>
      <w:bookmarkEnd w:id="9"/>
    </w:p>
    <w:p>
      <w:pPr>
        <w:ind w:firstLine="510"/>
        <w:rPr>
          <w:rFonts w:eastAsia="仿宋" w:cs="Times New Roman"/>
        </w:rPr>
      </w:pPr>
      <w:r>
        <w:rPr>
          <w:rFonts w:eastAsia="仿宋" w:cs="Times New Roman"/>
        </w:rPr>
        <w:t>根据</w:t>
      </w:r>
      <w:r>
        <w:rPr>
          <w:rFonts w:hint="eastAsia" w:eastAsia="仿宋" w:cs="Times New Roman"/>
        </w:rPr>
        <w:t>《中华人民共和国安全生产法》《中华人民共和国突发事件应对法》《国家自然灾害救助应急预案》《中华人民共和国气象法》《中华人民共和国防洪法》《中华人民共和国防震减灾法》《云南省突发事件应对条例》《云南省突发事件应急预案管理办法》《云南省突发事件预警信息发布管理办法》</w:t>
      </w:r>
      <w:r>
        <w:rPr>
          <w:rFonts w:eastAsia="仿宋" w:cs="Times New Roman"/>
        </w:rPr>
        <w:t>《化工园区安全风险排查治理导则》等法律法规、标准的规定，</w:t>
      </w:r>
      <w:r>
        <w:rPr>
          <w:rFonts w:hint="eastAsia" w:eastAsia="仿宋" w:cs="Times New Roman"/>
        </w:rPr>
        <w:t>按照</w:t>
      </w:r>
      <w:r>
        <w:rPr>
          <w:rFonts w:hint="eastAsia" w:eastAsia="仿宋" w:cs="Times New Roman"/>
          <w:lang w:eastAsia="zh-CN"/>
        </w:rPr>
        <w:t>安宁高新技术产业开发区草铺化工园区</w:t>
      </w:r>
      <w:r>
        <w:rPr>
          <w:rFonts w:eastAsia="仿宋" w:cs="Times New Roman"/>
        </w:rPr>
        <w:t>（</w:t>
      </w:r>
      <w:r>
        <w:rPr>
          <w:rFonts w:hint="eastAsia" w:eastAsia="仿宋" w:cs="Times New Roman"/>
        </w:rPr>
        <w:t>以下</w:t>
      </w:r>
      <w:r>
        <w:rPr>
          <w:rFonts w:eastAsia="仿宋" w:cs="Times New Roman"/>
        </w:rPr>
        <w:t>简称“园区”）实施安全生产与应急一体化管理的要求，结合园区实际情况编制《</w:t>
      </w:r>
      <w:r>
        <w:rPr>
          <w:rFonts w:hint="eastAsia" w:eastAsia="仿宋" w:cs="Times New Roman"/>
          <w:lang w:eastAsia="zh-CN"/>
        </w:rPr>
        <w:t>安宁高新技术产业开发区草铺化工园区雷电灾害专项应急预案</w:t>
      </w:r>
      <w:r>
        <w:rPr>
          <w:rFonts w:eastAsia="仿宋" w:cs="Times New Roman"/>
        </w:rPr>
        <w:t>》（2025版）。本预案于2025年XX月XX日经专家组评审通过，现予以发布，自2025年XX月XX日起在园区范围内正式实施，请园区各部门、各企业认真组织学习，并严格遵照执行。</w:t>
      </w: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jc w:val="center"/>
        <w:rPr>
          <w:rFonts w:hint="eastAsia" w:ascii="仿宋" w:hAnsi="仿宋" w:eastAsia="仿宋"/>
          <w:lang w:eastAsia="zh-CN"/>
        </w:rPr>
      </w:pPr>
      <w:r>
        <w:rPr>
          <w:rFonts w:hint="eastAsia" w:ascii="仿宋" w:hAnsi="仿宋" w:eastAsia="仿宋"/>
          <w:lang w:eastAsia="zh-CN"/>
        </w:rPr>
        <w:t>安宁高新技术产业开发区管理委员会</w:t>
      </w:r>
    </w:p>
    <w:p>
      <w:pPr>
        <w:ind w:firstLine="510"/>
        <w:jc w:val="center"/>
        <w:rPr>
          <w:rFonts w:hint="eastAsia" w:ascii="仿宋" w:hAnsi="仿宋" w:eastAsia="仿宋"/>
        </w:rPr>
      </w:pPr>
      <w:r>
        <w:rPr>
          <w:rFonts w:hint="eastAsia" w:ascii="仿宋" w:hAnsi="仿宋" w:eastAsia="仿宋"/>
        </w:rPr>
        <w:t>签发人（签字）：</w:t>
      </w:r>
    </w:p>
    <w:p>
      <w:pPr>
        <w:ind w:firstLine="510"/>
        <w:jc w:val="center"/>
        <w:rPr>
          <w:rFonts w:hint="eastAsia" w:ascii="仿宋" w:hAnsi="仿宋" w:eastAsia="仿宋"/>
        </w:rPr>
        <w:sectPr>
          <w:headerReference r:id="rId9" w:type="default"/>
          <w:pgSz w:w="11907" w:h="16840"/>
          <w:pgMar w:top="1418" w:right="1134" w:bottom="1134" w:left="1361" w:header="851" w:footer="992" w:gutter="227"/>
          <w:cols w:space="425" w:num="1"/>
          <w:docGrid w:type="linesAndChars" w:linePitch="381" w:charSpace="-5092"/>
        </w:sectPr>
      </w:pPr>
      <w:r>
        <w:rPr>
          <w:rFonts w:hint="eastAsia" w:ascii="仿宋" w:hAnsi="仿宋" w:eastAsia="仿宋"/>
        </w:rPr>
        <w:t>2025年XX月XX日</w:t>
      </w:r>
    </w:p>
    <w:sdt>
      <w:sdtPr>
        <w:rPr>
          <w:rFonts w:ascii="Times New Roman" w:hAnsi="Times New Roman" w:eastAsia="宋体" w:cs="宋体"/>
          <w:kern w:val="2"/>
          <w:sz w:val="28"/>
          <w:szCs w:val="20"/>
          <w:lang w:val="zh-CN"/>
        </w:rPr>
        <w:id w:val="1176314269"/>
        <w:docPartObj>
          <w:docPartGallery w:val="Table of Contents"/>
          <w:docPartUnique/>
        </w:docPartObj>
      </w:sdtPr>
      <w:sdtEndPr>
        <w:rPr>
          <w:rFonts w:ascii="Times New Roman" w:hAnsi="Times New Roman" w:eastAsia="宋体" w:cs="宋体"/>
          <w:b/>
          <w:bCs/>
          <w:kern w:val="2"/>
          <w:sz w:val="24"/>
          <w:szCs w:val="24"/>
          <w:lang w:val="zh-CN"/>
        </w:rPr>
      </w:sdtEndPr>
      <w:sdtContent>
        <w:p>
          <w:pPr>
            <w:pStyle w:val="2"/>
            <w:rPr>
              <w:rFonts w:hint="eastAsia"/>
            </w:rPr>
          </w:pPr>
          <w:bookmarkStart w:id="10" w:name="_Toc202203667"/>
          <w:bookmarkStart w:id="11" w:name="_Toc7336"/>
          <w:bookmarkStart w:id="12" w:name="_Toc202049113"/>
          <w:bookmarkStart w:id="13" w:name="_Toc202198756"/>
          <w:bookmarkStart w:id="14" w:name="_Toc20955"/>
          <w:bookmarkStart w:id="15" w:name="_Toc202104755"/>
          <w:bookmarkStart w:id="16" w:name="_Toc11246"/>
          <w:bookmarkStart w:id="17" w:name="_Toc202094015"/>
          <w:bookmarkStart w:id="18" w:name="_Toc18315"/>
          <w:r>
            <w:rPr>
              <w:lang w:val="zh-CN"/>
            </w:rPr>
            <w:t>目录</w:t>
          </w:r>
          <w:bookmarkEnd w:id="10"/>
          <w:bookmarkEnd w:id="11"/>
          <w:bookmarkEnd w:id="12"/>
          <w:bookmarkEnd w:id="13"/>
          <w:bookmarkEnd w:id="14"/>
          <w:bookmarkEnd w:id="15"/>
          <w:bookmarkEnd w:id="16"/>
          <w:bookmarkEnd w:id="17"/>
          <w:bookmarkEnd w:id="18"/>
        </w:p>
        <w:p>
          <w:pPr>
            <w:pStyle w:val="16"/>
            <w:tabs>
              <w:tab w:val="right" w:leader="dot" w:pos="918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_Toc9952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1 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_Toc9952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_Toc7625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 工作原则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_Toc7625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_Toc7808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 应急组织机构及职责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_Toc7808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_Toc22005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3.1应急救援指挥机构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_Toc22005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_Toc1269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3.2职责体系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_Toc12615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3.2.1应急指挥中心职责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_Toc12615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_Toc5135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3.2.2应急指挥部总指挥职责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_Toc5135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_Toc14705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3.2.3应急指挥部副总指挥职责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_Toc14705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_Toc4427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3.2.4应急指挥中心办公室职责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_Toc4427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_Toc24107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3.2.5应急工作组职责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_Toc24107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_Toc13552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 预防预警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_Toc13552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_Toc2149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4.1</w:t>
          </w:r>
          <w:r>
            <w:rPr>
              <w:rFonts w:hint="eastAsia" w:ascii="宋体" w:hAnsi="宋体" w:eastAsia="宋体" w:cs="宋体"/>
              <w:sz w:val="24"/>
              <w:szCs w:val="24"/>
              <w:lang w:val="en-US" w:eastAsia="zh-CN"/>
            </w:rPr>
            <w:t>预报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_Toc2149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_Toc5860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4.2预警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_Toc5860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_Toc24642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4.3</w:t>
          </w:r>
          <w:r>
            <w:rPr>
              <w:rFonts w:hint="eastAsia" w:ascii="宋体" w:hAnsi="宋体" w:eastAsia="宋体" w:cs="宋体"/>
              <w:sz w:val="24"/>
              <w:szCs w:val="24"/>
              <w:lang w:val="en-US" w:eastAsia="zh-CN"/>
            </w:rPr>
            <w:t>预防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_Toc24642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_Toc14157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4.4预警分级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_Toc14157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_Toc9129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4.5预警解除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_Toc9129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_Toc10571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 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_Toc10571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_Toc6837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 保障措施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_Toc6837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_Toc22588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6.1 通信与信息保障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_Toc22588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_Toc24648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6.2 队伍保障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_Toc24648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_Toc25710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物资保障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_Toc25710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_Toc10379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经费保障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_Toc10379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_Toc14902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医疗卫生保障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_Toc14902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_Toc15398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交通运输保障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_Toc15398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_Toc24240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治安保障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_Toc24240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_Toc22127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_Toc22127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_Toc1994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附件1：化工园区</w:t>
          </w:r>
          <w:r>
            <w:rPr>
              <w:rFonts w:hint="eastAsia" w:ascii="宋体" w:hAnsi="宋体" w:eastAsia="宋体" w:cs="宋体"/>
              <w:sz w:val="24"/>
              <w:szCs w:val="24"/>
              <w:lang w:val="en-US" w:eastAsia="zh-CN"/>
            </w:rPr>
            <w:t>平面</w:t>
          </w:r>
          <w:r>
            <w:rPr>
              <w:rFonts w:hint="eastAsia" w:ascii="宋体" w:hAnsi="宋体" w:eastAsia="宋体" w:cs="宋体"/>
              <w:sz w:val="24"/>
              <w:szCs w:val="24"/>
            </w:rPr>
            <w:t>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_Toc1994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_Toc17894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附件2：园区“两重点一重大”企业分布情况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_Toc17894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_Toc315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附件3：应急预案体系衔接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ind w:firstLine="432"/>
            <w:rPr>
              <w:sz w:val="24"/>
              <w:szCs w:val="24"/>
            </w:rPr>
          </w:pPr>
          <w:r>
            <w:rPr>
              <w:rFonts w:hint="eastAsia" w:ascii="宋体" w:hAnsi="宋体" w:eastAsia="宋体" w:cs="宋体"/>
              <w:bCs/>
              <w:sz w:val="24"/>
              <w:szCs w:val="24"/>
              <w:lang w:val="zh-CN"/>
            </w:rPr>
            <w:fldChar w:fldCharType="end"/>
          </w:r>
        </w:p>
      </w:sdtContent>
    </w:sdt>
    <w:p>
      <w:pPr>
        <w:ind w:firstLine="430"/>
        <w:jc w:val="center"/>
        <w:rPr>
          <w:rFonts w:hint="eastAsia" w:ascii="仿宋" w:hAnsi="仿宋" w:eastAsia="仿宋"/>
          <w:sz w:val="24"/>
          <w:szCs w:val="24"/>
        </w:rPr>
        <w:sectPr>
          <w:headerReference r:id="rId10" w:type="default"/>
          <w:footerReference r:id="rId11" w:type="default"/>
          <w:pgSz w:w="11907" w:h="16840"/>
          <w:pgMar w:top="1418" w:right="1134" w:bottom="1134" w:left="1361" w:header="851" w:footer="992" w:gutter="227"/>
          <w:cols w:space="425" w:num="1"/>
          <w:docGrid w:type="linesAndChars" w:linePitch="381" w:charSpace="-5092"/>
        </w:sectPr>
      </w:pPr>
    </w:p>
    <w:p>
      <w:pPr>
        <w:pStyle w:val="2"/>
        <w:rPr>
          <w:rFonts w:hint="eastAsia"/>
        </w:rPr>
      </w:pPr>
      <w:bookmarkStart w:id="19" w:name="_Toc9952"/>
      <w:r>
        <w:rPr>
          <w:rFonts w:hint="eastAsia"/>
        </w:rPr>
        <w:t>1 适用范围</w:t>
      </w:r>
      <w:bookmarkEnd w:id="19"/>
    </w:p>
    <w:p>
      <w:pPr>
        <w:ind w:firstLine="510"/>
        <w:rPr>
          <w:rFonts w:cs="Times New Roman"/>
        </w:rPr>
      </w:pPr>
      <w:r>
        <w:rPr>
          <w:rFonts w:hint="eastAsia"/>
        </w:rPr>
        <w:t>本专项预案适用于本园区的</w:t>
      </w:r>
      <w:r>
        <w:rPr>
          <w:rFonts w:hint="eastAsia" w:ascii="宋体" w:hAnsi="宋体" w:cs="Times New Roman"/>
          <w:szCs w:val="21"/>
        </w:rPr>
        <w:t>雷电</w:t>
      </w:r>
      <w:r>
        <w:rPr>
          <w:rFonts w:hint="eastAsia"/>
        </w:rPr>
        <w:t>灾害预警预防、</w:t>
      </w:r>
      <w:r>
        <w:rPr>
          <w:rFonts w:hint="eastAsia" w:cs="Times New Roman"/>
        </w:rPr>
        <w:t>应急响应、救援处置和恢复重建工作。</w:t>
      </w:r>
    </w:p>
    <w:p>
      <w:pPr>
        <w:ind w:firstLine="510"/>
        <w:rPr>
          <w:rFonts w:cs="Times New Roman"/>
        </w:rPr>
      </w:pPr>
      <w:bookmarkStart w:id="20" w:name="_Hlk202182817"/>
      <w:r>
        <w:rPr>
          <w:rFonts w:hint="eastAsia"/>
        </w:rPr>
        <w:t>本</w:t>
      </w:r>
      <w:r>
        <w:rPr>
          <w:rFonts w:hint="eastAsia" w:cs="Times New Roman"/>
        </w:rPr>
        <w:t>预案</w:t>
      </w:r>
      <w:bookmarkEnd w:id="20"/>
      <w:r>
        <w:rPr>
          <w:rFonts w:hint="eastAsia" w:cs="Times New Roman"/>
        </w:rPr>
        <w:t>向上衔接《</w:t>
      </w:r>
      <w:r>
        <w:rPr>
          <w:rFonts w:hint="eastAsia" w:ascii="宋体" w:hAnsi="宋体" w:eastAsia="宋体" w:cs="宋体"/>
          <w:lang w:eastAsia="zh-CN"/>
        </w:rPr>
        <w:t>安宁高新技术产业开发区草铺化工园区</w:t>
      </w:r>
      <w:r>
        <w:rPr>
          <w:rFonts w:hint="eastAsia" w:ascii="宋体" w:hAnsi="宋体" w:eastAsia="宋体" w:cs="宋体"/>
        </w:rPr>
        <w:t>生产安全事故应急预案》以及《安宁市突发事件总体应急预案》</w:t>
      </w:r>
      <w:r>
        <w:rPr>
          <w:rFonts w:hint="eastAsia" w:cs="Times New Roman"/>
        </w:rPr>
        <w:t>，同上位“预案”相辅相成</w:t>
      </w:r>
      <w:r>
        <w:rPr>
          <w:rFonts w:hint="eastAsia" w:cs="Times New Roman"/>
          <w:lang w:eastAsia="zh-CN"/>
        </w:rPr>
        <w:t>，</w:t>
      </w:r>
      <w:r>
        <w:rPr>
          <w:rFonts w:hint="eastAsia" w:cs="Times New Roman"/>
        </w:rPr>
        <w:t>是“上位”预案的具体补充。</w:t>
      </w:r>
      <w:r>
        <w:rPr>
          <w:rFonts w:hint="eastAsia"/>
        </w:rPr>
        <w:t>本</w:t>
      </w:r>
      <w:r>
        <w:rPr>
          <w:rFonts w:hint="eastAsia" w:cs="Times New Roman"/>
        </w:rPr>
        <w:t>预案向下衔接辖区内各企业相关“应急预案”。</w:t>
      </w:r>
    </w:p>
    <w:p>
      <w:pPr>
        <w:ind w:firstLine="510"/>
        <w:rPr>
          <w:rFonts w:cs="Times New Roman"/>
        </w:rPr>
      </w:pPr>
      <w:bookmarkStart w:id="21" w:name="_Hlk202200636"/>
      <w:r>
        <w:rPr>
          <w:rFonts w:hint="eastAsia" w:cs="Times New Roman"/>
        </w:rPr>
        <w:t>当启动“上位”预案时，本预案随之启动。因雷电灾害引发的火灾爆炸等园区内企业生产安全事故，启动园区相应的“生产安全事故综合应急预案”和“专项应急预案”。</w:t>
      </w:r>
    </w:p>
    <w:bookmarkEnd w:id="21"/>
    <w:p>
      <w:pPr>
        <w:pStyle w:val="2"/>
        <w:rPr>
          <w:rFonts w:hint="eastAsia"/>
        </w:rPr>
      </w:pPr>
      <w:bookmarkStart w:id="22" w:name="_Toc7625"/>
      <w:r>
        <w:rPr>
          <w:rFonts w:hint="eastAsia"/>
        </w:rPr>
        <w:t xml:space="preserve">2 </w:t>
      </w:r>
      <w:r>
        <w:t>工作原则</w:t>
      </w:r>
      <w:bookmarkEnd w:id="22"/>
    </w:p>
    <w:p>
      <w:pPr>
        <w:widowControl/>
        <w:numPr>
          <w:ilvl w:val="0"/>
          <w:numId w:val="1"/>
        </w:numPr>
        <w:adjustRightInd/>
        <w:snapToGrid/>
        <w:spacing w:after="4" w:line="333" w:lineRule="auto"/>
        <w:ind w:firstLine="549" w:firstLineChars="0"/>
        <w:jc w:val="left"/>
        <w:rPr>
          <w:rFonts w:hint="eastAsia"/>
        </w:rPr>
      </w:pPr>
      <w:bookmarkStart w:id="23" w:name="_Toc16088"/>
      <w:bookmarkStart w:id="24" w:name="_Toc118838551"/>
      <w:r>
        <w:rPr>
          <w:rFonts w:hint="eastAsia"/>
        </w:rPr>
        <w:t>以人为本，减少灾害。全面履行职能，把保护人民群众健康和生命财产安全作为应急救助的首要任务，确保受灾人员的基本生活。</w:t>
      </w:r>
    </w:p>
    <w:p>
      <w:pPr>
        <w:widowControl/>
        <w:numPr>
          <w:ilvl w:val="0"/>
          <w:numId w:val="1"/>
        </w:numPr>
        <w:adjustRightInd/>
        <w:snapToGrid/>
        <w:spacing w:after="4" w:line="333" w:lineRule="auto"/>
        <w:ind w:firstLine="549" w:firstLineChars="0"/>
        <w:jc w:val="left"/>
      </w:pPr>
      <w:r>
        <w:rPr>
          <w:rFonts w:hint="eastAsia"/>
        </w:rPr>
        <w:t>统一领导，综合协调。充分发挥安宁高新技术产业开发区管理委员会的指导、协调作用，加强有关单位在自然灾害应急救援工作中的协作和配合</w:t>
      </w:r>
      <w:r>
        <w:t>。</w:t>
      </w:r>
    </w:p>
    <w:p>
      <w:pPr>
        <w:widowControl/>
        <w:numPr>
          <w:ilvl w:val="0"/>
          <w:numId w:val="1"/>
        </w:numPr>
        <w:adjustRightInd/>
        <w:snapToGrid/>
        <w:spacing w:after="4" w:line="337" w:lineRule="auto"/>
        <w:ind w:firstLine="549" w:firstLineChars="0"/>
        <w:jc w:val="left"/>
      </w:pPr>
      <w:r>
        <w:t>坚持分级负责、属地管理为主，形成统一领导、分工明确、协调有序、配合密切、运转高效的应急救助工作机制。</w:t>
      </w:r>
    </w:p>
    <w:p>
      <w:pPr>
        <w:widowControl/>
        <w:numPr>
          <w:ilvl w:val="0"/>
          <w:numId w:val="1"/>
        </w:numPr>
        <w:adjustRightInd/>
        <w:snapToGrid/>
        <w:spacing w:after="4" w:line="337" w:lineRule="auto"/>
        <w:ind w:firstLine="549" w:firstLineChars="0"/>
        <w:jc w:val="left"/>
      </w:pPr>
      <w:r>
        <w:t>坚持政府主导、社会参与。园区管委会领导下，统筹园区和街道社会救援力量广泛参与，组织群众自救互救，充分发挥基层群众自治组织和公益性社会组织的作用，形成政府与社会组织应急救援合力。</w:t>
      </w:r>
    </w:p>
    <w:p>
      <w:pPr>
        <w:widowControl/>
        <w:numPr>
          <w:ilvl w:val="0"/>
          <w:numId w:val="1"/>
        </w:numPr>
        <w:adjustRightInd/>
        <w:snapToGrid/>
        <w:spacing w:after="4" w:line="337" w:lineRule="auto"/>
        <w:ind w:firstLine="549" w:firstLineChars="0"/>
        <w:jc w:val="left"/>
      </w:pPr>
      <w:r>
        <w:t>坚持依法依规、科学、快速反应、高效处置。充分发挥化工园区专业应急救援队伍及专家作用，提高科学应对自然灾害的能力，依法开展抢险救援工作。</w:t>
      </w:r>
    </w:p>
    <w:p>
      <w:pPr>
        <w:pStyle w:val="2"/>
        <w:rPr>
          <w:rFonts w:hint="eastAsia"/>
        </w:rPr>
      </w:pPr>
      <w:bookmarkStart w:id="25" w:name="_Toc7808"/>
      <w:r>
        <w:rPr>
          <w:rFonts w:hint="eastAsia"/>
        </w:rPr>
        <w:t>3 应急组织机构及职责</w:t>
      </w:r>
      <w:bookmarkEnd w:id="23"/>
      <w:bookmarkEnd w:id="25"/>
    </w:p>
    <w:bookmarkEnd w:id="24"/>
    <w:p>
      <w:pPr>
        <w:pStyle w:val="30"/>
        <w:rPr>
          <w:rFonts w:hint="eastAsia"/>
        </w:rPr>
      </w:pPr>
      <w:bookmarkStart w:id="26" w:name="_Toc22005"/>
      <w:r>
        <w:rPr>
          <w:rFonts w:hint="eastAsia"/>
        </w:rPr>
        <w:t>3.1应急救援指挥机构</w:t>
      </w:r>
      <w:bookmarkEnd w:id="26"/>
    </w:p>
    <w:p>
      <w:pPr>
        <w:ind w:firstLine="510"/>
      </w:pPr>
      <w:r>
        <w:rPr>
          <w:rFonts w:hint="eastAsia" w:ascii="宋体" w:hAnsi="宋体" w:eastAsia="宋体" w:cs="宋体"/>
        </w:rPr>
        <w:t>根据实际调查，安宁高新技术产业开发区管理委员会依据有关法律、法规和《安宁市突发事件总体应急预案》，成立了应急救援指挥机构，组建了综合应急救援队。园区应急救援组织体系由指挥机构和工作机构两大部分组成，指挥机构为应急救援指挥中心，工作机构为应急救援专业组，根据园区各企业生产的实际情况并结合各企业应急救援的需要，安宁产业园区应急指挥中心下设应急指挥中心办公室（设在园区管委会安全生产和生态环境保护局，应急办公室主任李波）和7个应急专业小组（包括应急处置组、环境监测组、医疗救护组、物资保障组、警戒疏散组、后续处置组、专家咨询组）。园区应急救援组织体系结构示意图如下图所示</w:t>
      </w:r>
      <w:r>
        <w:rPr>
          <w:rFonts w:hint="eastAsia"/>
        </w:rPr>
        <w:t>。</w:t>
      </w:r>
    </w:p>
    <w:p>
      <w:pPr>
        <w:ind w:firstLine="0" w:firstLineChars="0"/>
        <w:jc w:val="center"/>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5261610" cy="4312920"/>
            <wp:effectExtent l="12700" t="12700" r="21590" b="17780"/>
            <wp:docPr id="9" name="图片 3" descr="安宁应急预案组织机构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安宁应急预案组织机构流程图"/>
                    <pic:cNvPicPr>
                      <a:picLocks noChangeAspect="1"/>
                    </pic:cNvPicPr>
                  </pic:nvPicPr>
                  <pic:blipFill>
                    <a:blip r:embed="rId15"/>
                    <a:stretch>
                      <a:fillRect/>
                    </a:stretch>
                  </pic:blipFill>
                  <pic:spPr>
                    <a:xfrm>
                      <a:off x="0" y="0"/>
                      <a:ext cx="5261610" cy="4312920"/>
                    </a:xfrm>
                    <a:prstGeom prst="rect">
                      <a:avLst/>
                    </a:prstGeom>
                    <a:noFill/>
                    <a:ln w="12700" cap="flat" cmpd="sng">
                      <a:solidFill>
                        <a:srgbClr val="000000"/>
                      </a:solidFill>
                      <a:prstDash val="solid"/>
                      <a:round/>
                      <a:headEnd type="none" w="med" len="med"/>
                      <a:tailEnd type="none" w="med" len="med"/>
                    </a:ln>
                  </pic:spPr>
                </pic:pic>
              </a:graphicData>
            </a:graphic>
          </wp:inline>
        </w:drawing>
      </w:r>
    </w:p>
    <w:p>
      <w:pPr>
        <w:pStyle w:val="35"/>
        <w:ind w:firstLine="432"/>
      </w:pPr>
      <w:r>
        <w:rPr>
          <w:rFonts w:hint="eastAsia"/>
        </w:rPr>
        <w:t>图2-1 应急救援指挥组织机构图</w:t>
      </w:r>
    </w:p>
    <w:p>
      <w:pPr>
        <w:pStyle w:val="30"/>
        <w:rPr>
          <w:rFonts w:hint="eastAsia"/>
        </w:rPr>
      </w:pPr>
      <w:bookmarkStart w:id="27" w:name="_Toc1269"/>
      <w:r>
        <w:rPr>
          <w:rFonts w:hint="eastAsia"/>
        </w:rPr>
        <w:t>3.2职责体系</w:t>
      </w:r>
      <w:bookmarkEnd w:id="27"/>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28" w:name="_Toc12615"/>
      <w:bookmarkStart w:id="29" w:name="_Toc6914"/>
      <w:bookmarkStart w:id="30" w:name="_Toc23476"/>
      <w:r>
        <w:rPr>
          <w:rFonts w:hint="eastAsia" w:ascii="宋体" w:hAnsi="宋体" w:eastAsia="宋体" w:cs="宋体"/>
          <w:bCs/>
          <w:iCs/>
          <w:color w:val="auto"/>
          <w:kern w:val="2"/>
          <w:sz w:val="30"/>
          <w:szCs w:val="32"/>
          <w:u w:val="none"/>
          <w:lang w:val="en-US" w:eastAsia="zh-CN" w:bidi="ar-SA"/>
          <w14:ligatures w14:val="standardContextual"/>
        </w:rPr>
        <w:t>3.2.1应急指挥中心职责</w:t>
      </w:r>
      <w:bookmarkEnd w:id="28"/>
      <w:bookmarkEnd w:id="29"/>
      <w:bookmarkEnd w:id="30"/>
    </w:p>
    <w:p>
      <w:pPr>
        <w:ind w:firstLine="560"/>
        <w:rPr>
          <w:rFonts w:hint="eastAsia" w:ascii="宋体" w:hAnsi="宋体" w:eastAsia="宋体" w:cs="宋体"/>
          <w:u w:val="none"/>
        </w:rPr>
      </w:pPr>
      <w:r>
        <w:rPr>
          <w:rFonts w:hint="eastAsia" w:ascii="宋体" w:hAnsi="宋体" w:eastAsia="宋体" w:cs="宋体"/>
          <w:u w:val="none"/>
        </w:rPr>
        <w:t>贯彻执行国家、省、市和地方的法律法规、标准规范和其它文件有关生产安全事故应急管理工作的有关要求；在总指挥的领导下，开展园区内</w:t>
      </w:r>
      <w:r>
        <w:rPr>
          <w:rFonts w:hint="eastAsia" w:ascii="宋体" w:hAnsi="宋体" w:cs="宋体"/>
          <w:u w:val="none"/>
          <w:lang w:val="en-US" w:eastAsia="zh-CN"/>
        </w:rPr>
        <w:t>洪涝灾害</w:t>
      </w:r>
      <w:r>
        <w:rPr>
          <w:rFonts w:hint="eastAsia" w:ascii="宋体" w:hAnsi="宋体" w:eastAsia="宋体" w:cs="宋体"/>
          <w:u w:val="none"/>
          <w:lang w:val="en-US" w:eastAsia="zh-CN"/>
        </w:rPr>
        <w:t>专项</w:t>
      </w:r>
      <w:r>
        <w:rPr>
          <w:rFonts w:hint="eastAsia" w:ascii="宋体" w:hAnsi="宋体" w:eastAsia="宋体" w:cs="宋体"/>
          <w:u w:val="none"/>
        </w:rPr>
        <w:t>事故的应急处置工作和善后恢复工作。</w:t>
      </w:r>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31" w:name="_Toc5135"/>
      <w:bookmarkStart w:id="32" w:name="_Toc5369"/>
      <w:bookmarkStart w:id="33" w:name="_Toc18993"/>
      <w:r>
        <w:rPr>
          <w:rFonts w:hint="eastAsia" w:ascii="宋体" w:hAnsi="宋体" w:eastAsia="宋体" w:cs="宋体"/>
          <w:bCs/>
          <w:iCs/>
          <w:color w:val="auto"/>
          <w:kern w:val="2"/>
          <w:sz w:val="30"/>
          <w:szCs w:val="32"/>
          <w:u w:val="none"/>
          <w:lang w:val="en-US" w:eastAsia="zh-CN" w:bidi="ar-SA"/>
          <w14:ligatures w14:val="standardContextual"/>
        </w:rPr>
        <w:t>3.2.2应急指挥部总指挥职责</w:t>
      </w:r>
      <w:bookmarkEnd w:id="31"/>
      <w:bookmarkEnd w:id="32"/>
      <w:bookmarkEnd w:id="33"/>
    </w:p>
    <w:p>
      <w:pPr>
        <w:ind w:firstLine="560"/>
        <w:rPr>
          <w:rFonts w:hint="eastAsia" w:ascii="宋体" w:hAnsi="宋体" w:eastAsia="宋体" w:cs="宋体"/>
          <w:u w:val="none"/>
        </w:rPr>
      </w:pPr>
      <w:bookmarkStart w:id="34" w:name="_Hlk204681376"/>
      <w:r>
        <w:rPr>
          <w:rFonts w:hint="eastAsia" w:ascii="宋体" w:hAnsi="宋体" w:eastAsia="宋体" w:cs="宋体"/>
          <w:u w:val="none"/>
        </w:rPr>
        <w:t>应急指挥部总指挥由安宁高新技术产业开发区管理委员会副书记担任。</w:t>
      </w:r>
    </w:p>
    <w:bookmarkEnd w:id="34"/>
    <w:p>
      <w:pPr>
        <w:ind w:firstLine="562"/>
        <w:rPr>
          <w:rFonts w:hint="eastAsia" w:ascii="宋体" w:hAnsi="宋体" w:eastAsia="宋体" w:cs="宋体"/>
          <w:b/>
          <w:bCs/>
          <w:u w:val="none"/>
        </w:rPr>
      </w:pPr>
      <w:r>
        <w:rPr>
          <w:rFonts w:hint="eastAsia" w:ascii="宋体" w:hAnsi="宋体" w:eastAsia="宋体" w:cs="宋体"/>
          <w:b/>
          <w:bCs/>
          <w:u w:val="none"/>
        </w:rPr>
        <w:t>1.日常应急管理职责</w:t>
      </w:r>
    </w:p>
    <w:p>
      <w:pPr>
        <w:ind w:firstLine="560"/>
        <w:rPr>
          <w:rFonts w:hint="eastAsia" w:ascii="宋体" w:hAnsi="宋体" w:eastAsia="宋体" w:cs="宋体"/>
          <w:u w:val="none"/>
        </w:rPr>
      </w:pPr>
      <w:r>
        <w:rPr>
          <w:rFonts w:hint="eastAsia" w:ascii="宋体" w:hAnsi="宋体" w:eastAsia="宋体" w:cs="宋体"/>
          <w:u w:val="none"/>
        </w:rPr>
        <w:t>（1）贯彻执行国家、省、市和地方的法律法规、标准规范和其它文件有关生产安全事故应急管理工作的有关要求，健全完善应急管理体系，确保应急指挥部的日常和应急状态下的正常运转。</w:t>
      </w:r>
    </w:p>
    <w:p>
      <w:pPr>
        <w:ind w:firstLine="560"/>
        <w:rPr>
          <w:rFonts w:hint="eastAsia" w:ascii="宋体" w:hAnsi="宋体" w:eastAsia="宋体" w:cs="宋体"/>
          <w:u w:val="none"/>
        </w:rPr>
      </w:pPr>
      <w:r>
        <w:rPr>
          <w:rFonts w:hint="eastAsia" w:ascii="宋体" w:hAnsi="宋体" w:eastAsia="宋体" w:cs="宋体"/>
          <w:u w:val="none"/>
        </w:rPr>
        <w:t>（2）组织制定应急预案，批准、发布应急预案。</w:t>
      </w:r>
    </w:p>
    <w:p>
      <w:pPr>
        <w:ind w:firstLine="560"/>
        <w:rPr>
          <w:rFonts w:hint="eastAsia" w:ascii="宋体" w:hAnsi="宋体" w:eastAsia="宋体" w:cs="宋体"/>
          <w:u w:val="none"/>
        </w:rPr>
      </w:pPr>
      <w:r>
        <w:rPr>
          <w:rFonts w:hint="eastAsia" w:ascii="宋体" w:hAnsi="宋体" w:eastAsia="宋体" w:cs="宋体"/>
          <w:u w:val="none"/>
        </w:rPr>
        <w:t>（3）组织开展应急培训、演练以及应急预案的评估、修编工作。</w:t>
      </w:r>
    </w:p>
    <w:p>
      <w:pPr>
        <w:ind w:firstLine="560"/>
        <w:rPr>
          <w:rFonts w:hint="eastAsia" w:ascii="宋体" w:hAnsi="宋体" w:eastAsia="宋体" w:cs="宋体"/>
          <w:u w:val="none"/>
        </w:rPr>
      </w:pPr>
      <w:r>
        <w:rPr>
          <w:rFonts w:hint="eastAsia" w:ascii="宋体" w:hAnsi="宋体" w:eastAsia="宋体" w:cs="宋体"/>
          <w:u w:val="none"/>
        </w:rPr>
        <w:t>（4）健全园区应急值班值守制度，按制度要求履行领导带班（值班）职责。</w:t>
      </w:r>
    </w:p>
    <w:p>
      <w:pPr>
        <w:ind w:firstLine="560"/>
        <w:rPr>
          <w:rFonts w:hint="eastAsia" w:ascii="宋体" w:hAnsi="宋体" w:eastAsia="宋体" w:cs="宋体"/>
          <w:u w:val="none"/>
        </w:rPr>
      </w:pPr>
      <w:r>
        <w:rPr>
          <w:rFonts w:hint="eastAsia" w:ascii="宋体" w:hAnsi="宋体" w:eastAsia="宋体" w:cs="宋体"/>
          <w:u w:val="none"/>
        </w:rPr>
        <w:t>（5）督促、检查应急指挥部成员应急职责落实情况。</w:t>
      </w:r>
    </w:p>
    <w:p>
      <w:pPr>
        <w:ind w:firstLine="560"/>
        <w:rPr>
          <w:rFonts w:hint="eastAsia" w:ascii="宋体" w:hAnsi="宋体" w:eastAsia="宋体" w:cs="宋体"/>
          <w:u w:val="none"/>
        </w:rPr>
      </w:pPr>
      <w:r>
        <w:rPr>
          <w:rFonts w:hint="eastAsia" w:ascii="宋体" w:hAnsi="宋体" w:eastAsia="宋体" w:cs="宋体"/>
          <w:u w:val="none"/>
        </w:rPr>
        <w:t>（6）定期召开应急管理专题会议，研究解决应急管理工作存在的问题。</w:t>
      </w:r>
    </w:p>
    <w:p>
      <w:pPr>
        <w:ind w:firstLine="560"/>
        <w:rPr>
          <w:rFonts w:hint="eastAsia" w:ascii="宋体" w:hAnsi="宋体" w:eastAsia="宋体" w:cs="宋体"/>
          <w:u w:val="none"/>
        </w:rPr>
      </w:pPr>
      <w:r>
        <w:rPr>
          <w:rFonts w:hint="eastAsia" w:ascii="宋体" w:hAnsi="宋体" w:eastAsia="宋体" w:cs="宋体"/>
          <w:u w:val="none"/>
        </w:rPr>
        <w:t>（7）履行相关法律、法规文件及园区制度体系规定的其它应急管理职责。</w:t>
      </w:r>
    </w:p>
    <w:p>
      <w:pPr>
        <w:ind w:firstLine="562"/>
        <w:rPr>
          <w:rFonts w:hint="eastAsia" w:ascii="宋体" w:hAnsi="宋体" w:eastAsia="宋体" w:cs="宋体"/>
          <w:b/>
          <w:bCs/>
          <w:u w:val="none"/>
        </w:rPr>
      </w:pPr>
      <w:r>
        <w:rPr>
          <w:rFonts w:hint="eastAsia" w:ascii="宋体" w:hAnsi="宋体" w:eastAsia="宋体" w:cs="宋体"/>
          <w:b/>
          <w:bCs/>
          <w:u w:val="none"/>
        </w:rPr>
        <w:t>2.应急状态下职责</w:t>
      </w:r>
    </w:p>
    <w:p>
      <w:pPr>
        <w:ind w:firstLine="560"/>
        <w:rPr>
          <w:rFonts w:hint="eastAsia" w:ascii="宋体" w:hAnsi="宋体" w:eastAsia="宋体" w:cs="宋体"/>
          <w:u w:val="none"/>
        </w:rPr>
      </w:pPr>
      <w:r>
        <w:rPr>
          <w:rFonts w:hint="eastAsia" w:ascii="宋体" w:hAnsi="宋体" w:eastAsia="宋体" w:cs="宋体"/>
          <w:u w:val="none"/>
        </w:rPr>
        <w:t>（1）全面组织领导应急救援指挥工作，包括但不限于以下工作：①决策应急预案启动，指派人员组成现场指挥部；②决策预警信息发布和解除；③按要求报告和补报事故；③组织制定和批准现场应急处置措施/方案；④批准事故信息公布；⑤决策扩大响应，调度成员向外求援；⑤批准“应急结束”。</w:t>
      </w:r>
    </w:p>
    <w:p>
      <w:pPr>
        <w:ind w:firstLine="560"/>
        <w:rPr>
          <w:rFonts w:hint="eastAsia" w:ascii="宋体" w:hAnsi="宋体" w:eastAsia="宋体" w:cs="宋体"/>
          <w:u w:val="none"/>
        </w:rPr>
      </w:pPr>
      <w:r>
        <w:rPr>
          <w:rFonts w:hint="eastAsia" w:ascii="宋体" w:hAnsi="宋体" w:eastAsia="宋体" w:cs="宋体"/>
          <w:u w:val="none"/>
        </w:rPr>
        <w:t>（2）持续关注事态发展情况和应急处置情况，指导、调度现场指挥部实施救援，决策现场应急处置过程中的其它突发情况。</w:t>
      </w:r>
    </w:p>
    <w:p>
      <w:pPr>
        <w:ind w:firstLine="560"/>
        <w:rPr>
          <w:rFonts w:hint="eastAsia" w:ascii="宋体" w:hAnsi="宋体" w:eastAsia="宋体" w:cs="宋体"/>
          <w:u w:val="none"/>
        </w:rPr>
      </w:pPr>
      <w:r>
        <w:rPr>
          <w:rFonts w:hint="eastAsia" w:ascii="宋体" w:hAnsi="宋体" w:eastAsia="宋体" w:cs="宋体"/>
          <w:u w:val="none"/>
        </w:rPr>
        <w:t>（3）组织开展事故调查处理，安排办理结案工作。</w:t>
      </w:r>
    </w:p>
    <w:p>
      <w:pPr>
        <w:ind w:firstLine="560"/>
        <w:rPr>
          <w:rFonts w:hint="eastAsia" w:ascii="宋体" w:hAnsi="宋体" w:eastAsia="宋体" w:cs="宋体"/>
          <w:u w:val="none"/>
        </w:rPr>
      </w:pPr>
      <w:r>
        <w:rPr>
          <w:rFonts w:hint="eastAsia" w:ascii="宋体" w:hAnsi="宋体" w:eastAsia="宋体" w:cs="宋体"/>
          <w:u w:val="none"/>
        </w:rPr>
        <w:t>（4）扩大应急时，接受上级应急指挥机构的调动，按上级指挥机构的安排开展应急处置工作。</w:t>
      </w:r>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35" w:name="_Toc14705"/>
      <w:bookmarkStart w:id="36" w:name="_Toc28928"/>
      <w:bookmarkStart w:id="37" w:name="_Toc14690"/>
      <w:r>
        <w:rPr>
          <w:rFonts w:hint="eastAsia" w:ascii="宋体" w:hAnsi="宋体" w:eastAsia="宋体" w:cs="宋体"/>
          <w:bCs/>
          <w:iCs/>
          <w:color w:val="auto"/>
          <w:kern w:val="2"/>
          <w:sz w:val="30"/>
          <w:szCs w:val="32"/>
          <w:u w:val="none"/>
          <w:lang w:val="en-US" w:eastAsia="zh-CN" w:bidi="ar-SA"/>
          <w14:ligatures w14:val="standardContextual"/>
        </w:rPr>
        <w:t>3.2.3应急指挥部副总指挥职责</w:t>
      </w:r>
      <w:bookmarkEnd w:id="35"/>
      <w:bookmarkEnd w:id="36"/>
      <w:bookmarkEnd w:id="37"/>
    </w:p>
    <w:p>
      <w:pPr>
        <w:ind w:firstLine="560"/>
        <w:rPr>
          <w:rFonts w:hint="eastAsia" w:ascii="宋体" w:hAnsi="宋体" w:eastAsia="宋体" w:cs="宋体"/>
          <w:u w:val="none"/>
        </w:rPr>
      </w:pPr>
      <w:bookmarkStart w:id="38" w:name="_Hlk204681392"/>
      <w:r>
        <w:rPr>
          <w:rFonts w:hint="eastAsia" w:ascii="宋体" w:hAnsi="宋体" w:eastAsia="宋体" w:cs="宋体"/>
          <w:u w:val="none"/>
        </w:rPr>
        <w:t>副总指挥由安宁高新技术产业开发区管理委员会</w:t>
      </w:r>
      <w:r>
        <w:rPr>
          <w:rFonts w:hint="eastAsia" w:ascii="宋体" w:hAnsi="宋体" w:eastAsia="宋体" w:cs="宋体"/>
          <w:u w:val="none"/>
          <w:lang w:val="en-US" w:eastAsia="zh-CN"/>
        </w:rPr>
        <w:t>党工委委员</w:t>
      </w:r>
      <w:r>
        <w:rPr>
          <w:rFonts w:hint="eastAsia" w:ascii="宋体" w:hAnsi="宋体" w:eastAsia="宋体" w:cs="宋体"/>
          <w:u w:val="none"/>
        </w:rPr>
        <w:t>担任。</w:t>
      </w:r>
    </w:p>
    <w:bookmarkEnd w:id="38"/>
    <w:p>
      <w:pPr>
        <w:ind w:firstLine="562"/>
        <w:rPr>
          <w:rFonts w:hint="eastAsia" w:ascii="宋体" w:hAnsi="宋体" w:eastAsia="宋体" w:cs="宋体"/>
          <w:b/>
          <w:bCs/>
          <w:u w:val="none"/>
        </w:rPr>
      </w:pPr>
      <w:r>
        <w:rPr>
          <w:rFonts w:hint="eastAsia" w:ascii="宋体" w:hAnsi="宋体" w:eastAsia="宋体" w:cs="宋体"/>
          <w:b/>
          <w:bCs/>
          <w:u w:val="none"/>
        </w:rPr>
        <w:t>1.日常应急管理职责</w:t>
      </w:r>
    </w:p>
    <w:p>
      <w:pPr>
        <w:ind w:firstLine="560"/>
        <w:rPr>
          <w:rFonts w:hint="eastAsia" w:ascii="宋体" w:hAnsi="宋体" w:eastAsia="宋体" w:cs="宋体"/>
          <w:u w:val="none"/>
        </w:rPr>
      </w:pPr>
      <w:r>
        <w:rPr>
          <w:rFonts w:hint="eastAsia" w:ascii="宋体" w:hAnsi="宋体" w:eastAsia="宋体" w:cs="宋体"/>
          <w:u w:val="none"/>
        </w:rPr>
        <w:t>（1）履行相关法律、法规文件及园区制度体系规定的本岗位应急管理职责。</w:t>
      </w:r>
    </w:p>
    <w:p>
      <w:pPr>
        <w:ind w:firstLine="560"/>
        <w:rPr>
          <w:rFonts w:hint="eastAsia" w:ascii="宋体" w:hAnsi="宋体" w:eastAsia="宋体" w:cs="宋体"/>
          <w:u w:val="none"/>
        </w:rPr>
      </w:pPr>
      <w:r>
        <w:rPr>
          <w:rFonts w:hint="eastAsia" w:ascii="宋体" w:hAnsi="宋体" w:eastAsia="宋体" w:cs="宋体"/>
          <w:u w:val="none"/>
        </w:rPr>
        <w:t>（2）协助总指挥做好应急管理日常工作，定期汇报本岗位分管应急工作情况。</w:t>
      </w:r>
    </w:p>
    <w:p>
      <w:pPr>
        <w:ind w:firstLine="560"/>
        <w:rPr>
          <w:rFonts w:hint="eastAsia" w:ascii="宋体" w:hAnsi="宋体" w:eastAsia="宋体" w:cs="宋体"/>
          <w:u w:val="none"/>
        </w:rPr>
      </w:pPr>
      <w:r>
        <w:rPr>
          <w:rFonts w:hint="eastAsia" w:ascii="宋体" w:hAnsi="宋体" w:eastAsia="宋体" w:cs="宋体"/>
          <w:u w:val="none"/>
        </w:rPr>
        <w:t>（3）参与应急预案编制、审核、评估、修订。</w:t>
      </w:r>
    </w:p>
    <w:p>
      <w:pPr>
        <w:ind w:firstLine="560"/>
        <w:rPr>
          <w:rFonts w:hint="eastAsia" w:ascii="宋体" w:hAnsi="宋体" w:eastAsia="宋体" w:cs="宋体"/>
          <w:u w:val="none"/>
        </w:rPr>
      </w:pPr>
      <w:r>
        <w:rPr>
          <w:rFonts w:hint="eastAsia" w:ascii="宋体" w:hAnsi="宋体" w:eastAsia="宋体" w:cs="宋体"/>
          <w:u w:val="none"/>
        </w:rPr>
        <w:t>（4）组织/参与应急培训和演练，不断提升应急管理能力和应急处置素养。</w:t>
      </w:r>
    </w:p>
    <w:p>
      <w:pPr>
        <w:ind w:firstLine="560"/>
        <w:rPr>
          <w:rFonts w:hint="eastAsia" w:ascii="宋体" w:hAnsi="宋体" w:eastAsia="宋体" w:cs="宋体"/>
          <w:u w:val="none"/>
        </w:rPr>
      </w:pPr>
      <w:r>
        <w:rPr>
          <w:rFonts w:hint="eastAsia" w:ascii="宋体" w:hAnsi="宋体" w:eastAsia="宋体" w:cs="宋体"/>
          <w:u w:val="none"/>
        </w:rPr>
        <w:t>（5）完成总指挥交办的其它日常应急管理工作。</w:t>
      </w:r>
    </w:p>
    <w:p>
      <w:pPr>
        <w:ind w:firstLine="562"/>
        <w:rPr>
          <w:rFonts w:hint="eastAsia" w:ascii="宋体" w:hAnsi="宋体" w:eastAsia="宋体" w:cs="宋体"/>
          <w:b/>
          <w:bCs/>
          <w:u w:val="none"/>
        </w:rPr>
      </w:pPr>
      <w:r>
        <w:rPr>
          <w:rFonts w:hint="eastAsia" w:ascii="宋体" w:hAnsi="宋体" w:eastAsia="宋体" w:cs="宋体"/>
          <w:b/>
          <w:bCs/>
          <w:u w:val="none"/>
        </w:rPr>
        <w:t>2.应急状态下职责</w:t>
      </w:r>
    </w:p>
    <w:p>
      <w:pPr>
        <w:ind w:firstLine="560"/>
        <w:rPr>
          <w:rFonts w:hint="eastAsia" w:ascii="宋体" w:hAnsi="宋体" w:eastAsia="宋体" w:cs="宋体"/>
          <w:u w:val="none"/>
        </w:rPr>
      </w:pPr>
      <w:r>
        <w:rPr>
          <w:rFonts w:hint="eastAsia" w:ascii="宋体" w:hAnsi="宋体" w:eastAsia="宋体" w:cs="宋体"/>
          <w:u w:val="none"/>
        </w:rPr>
        <w:t>（1）完成应急指挥部交办的工作任务。</w:t>
      </w:r>
    </w:p>
    <w:p>
      <w:pPr>
        <w:ind w:firstLine="560"/>
        <w:rPr>
          <w:rFonts w:hint="eastAsia" w:ascii="宋体" w:hAnsi="宋体" w:eastAsia="宋体" w:cs="宋体"/>
          <w:u w:val="none"/>
        </w:rPr>
      </w:pPr>
      <w:r>
        <w:rPr>
          <w:rFonts w:hint="eastAsia" w:ascii="宋体" w:hAnsi="宋体" w:eastAsia="宋体" w:cs="宋体"/>
          <w:u w:val="none"/>
        </w:rPr>
        <w:t>（2）当总指挥不在或不具备条件履行相应职责时，按领导班子成员排序自然接替总指挥开展应急处置工作，履行总指挥职责。</w:t>
      </w:r>
    </w:p>
    <w:p>
      <w:pPr>
        <w:ind w:firstLine="560"/>
        <w:rPr>
          <w:rFonts w:hint="eastAsia" w:ascii="宋体" w:hAnsi="宋体" w:eastAsia="宋体" w:cs="宋体"/>
          <w:u w:val="none"/>
        </w:rPr>
      </w:pPr>
      <w:r>
        <w:rPr>
          <w:rFonts w:hint="eastAsia" w:ascii="宋体" w:hAnsi="宋体" w:eastAsia="宋体" w:cs="宋体"/>
          <w:u w:val="none"/>
        </w:rPr>
        <w:t>（3）参与开展事故调查处理和办理结案，参与编制相关事故调查材料文件。</w:t>
      </w:r>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39" w:name="_Toc30081"/>
      <w:bookmarkStart w:id="40" w:name="_Toc4427"/>
      <w:bookmarkStart w:id="41" w:name="_Toc2841"/>
      <w:r>
        <w:rPr>
          <w:rFonts w:hint="eastAsia" w:ascii="宋体" w:hAnsi="宋体" w:eastAsia="宋体" w:cs="宋体"/>
          <w:bCs/>
          <w:iCs/>
          <w:color w:val="auto"/>
          <w:kern w:val="2"/>
          <w:sz w:val="30"/>
          <w:szCs w:val="32"/>
          <w:u w:val="none"/>
          <w:lang w:val="en-US" w:eastAsia="zh-CN" w:bidi="ar-SA"/>
          <w14:ligatures w14:val="standardContextual"/>
        </w:rPr>
        <w:t>3.2.4应急指挥中心办公室职责</w:t>
      </w:r>
      <w:bookmarkEnd w:id="39"/>
      <w:bookmarkEnd w:id="40"/>
      <w:bookmarkEnd w:id="41"/>
    </w:p>
    <w:p>
      <w:pPr>
        <w:ind w:firstLine="560"/>
        <w:rPr>
          <w:rFonts w:hint="eastAsia" w:ascii="宋体" w:hAnsi="宋体" w:eastAsia="宋体" w:cs="宋体"/>
          <w:u w:val="none"/>
        </w:rPr>
      </w:pPr>
      <w:r>
        <w:rPr>
          <w:rFonts w:hint="eastAsia" w:ascii="宋体" w:hAnsi="宋体" w:eastAsia="宋体" w:cs="宋体"/>
          <w:u w:val="none"/>
        </w:rPr>
        <w:t>应急指挥中心办公室设在园区</w:t>
      </w:r>
      <w:r>
        <w:rPr>
          <w:rFonts w:hint="eastAsia" w:ascii="Times New Roman" w:hAnsi="Times New Roman" w:eastAsia="宋体" w:cs="宋体"/>
          <w:u w:val="none"/>
        </w:rPr>
        <w:t>安全生产和生态环境保护局</w:t>
      </w:r>
      <w:r>
        <w:rPr>
          <w:rFonts w:hint="eastAsia" w:ascii="宋体" w:hAnsi="宋体" w:eastAsia="宋体" w:cs="宋体"/>
          <w:u w:val="none"/>
        </w:rPr>
        <w:t>，办公室主任由园区安全生产和生态环境保护局</w:t>
      </w:r>
      <w:r>
        <w:rPr>
          <w:rFonts w:hint="eastAsia" w:ascii="宋体" w:hAnsi="宋体" w:eastAsia="宋体" w:cs="宋体"/>
          <w:u w:val="none"/>
          <w:lang w:val="en-US" w:eastAsia="zh-CN"/>
        </w:rPr>
        <w:t>局长</w:t>
      </w:r>
      <w:r>
        <w:rPr>
          <w:rFonts w:hint="eastAsia" w:ascii="宋体" w:hAnsi="宋体" w:eastAsia="宋体" w:cs="宋体"/>
          <w:u w:val="none"/>
        </w:rPr>
        <w:t>担任。负责园区应急管理工作的具体落实，主要应急管理工作职责如下：</w:t>
      </w:r>
    </w:p>
    <w:p>
      <w:pPr>
        <w:ind w:firstLine="560"/>
        <w:rPr>
          <w:rFonts w:hint="eastAsia" w:ascii="宋体" w:hAnsi="宋体" w:eastAsia="宋体" w:cs="宋体"/>
          <w:b/>
          <w:bCs/>
          <w:u w:val="none"/>
        </w:rPr>
      </w:pPr>
      <w:r>
        <w:rPr>
          <w:rFonts w:hint="eastAsia" w:ascii="宋体" w:hAnsi="宋体" w:eastAsia="宋体" w:cs="宋体"/>
          <w:u w:val="none"/>
        </w:rPr>
        <w:t>1.</w:t>
      </w:r>
      <w:r>
        <w:rPr>
          <w:rFonts w:hint="eastAsia" w:ascii="宋体" w:hAnsi="宋体" w:eastAsia="宋体" w:cs="宋体"/>
          <w:b/>
          <w:bCs/>
          <w:u w:val="none"/>
        </w:rPr>
        <w:t>日常应急管理职责</w:t>
      </w:r>
    </w:p>
    <w:p>
      <w:pPr>
        <w:ind w:firstLine="560"/>
        <w:rPr>
          <w:rFonts w:hint="eastAsia" w:ascii="宋体" w:hAnsi="宋体" w:eastAsia="宋体" w:cs="宋体"/>
          <w:u w:val="none"/>
        </w:rPr>
      </w:pPr>
      <w:r>
        <w:rPr>
          <w:rFonts w:hint="eastAsia" w:ascii="宋体" w:hAnsi="宋体" w:eastAsia="宋体" w:cs="宋体"/>
          <w:u w:val="none"/>
        </w:rPr>
        <w:t>（1）建立健全应急预案体系，制定应急预案，定期开展应急预案培训、演练、评估和修编工作。</w:t>
      </w:r>
    </w:p>
    <w:p>
      <w:pPr>
        <w:ind w:firstLine="560"/>
        <w:rPr>
          <w:rFonts w:hint="eastAsia" w:ascii="宋体" w:hAnsi="宋体" w:eastAsia="宋体" w:cs="宋体"/>
          <w:u w:val="none"/>
        </w:rPr>
      </w:pPr>
      <w:r>
        <w:rPr>
          <w:rFonts w:hint="eastAsia" w:ascii="宋体" w:hAnsi="宋体" w:eastAsia="宋体" w:cs="宋体"/>
          <w:u w:val="none"/>
        </w:rPr>
        <w:t>（2）研究解决应急管理工作中存在的问题。</w:t>
      </w:r>
    </w:p>
    <w:p>
      <w:pPr>
        <w:ind w:firstLine="560"/>
        <w:rPr>
          <w:rFonts w:hint="eastAsia" w:ascii="宋体" w:hAnsi="宋体" w:eastAsia="宋体" w:cs="宋体"/>
          <w:u w:val="none"/>
        </w:rPr>
      </w:pPr>
      <w:r>
        <w:rPr>
          <w:rFonts w:hint="eastAsia" w:ascii="宋体" w:hAnsi="宋体" w:eastAsia="宋体" w:cs="宋体"/>
          <w:u w:val="none"/>
        </w:rPr>
        <w:t>（3）监督指导入园企业编制和修订各类应急预案，组织或参与入园企业应急预案培训及应急演练。</w:t>
      </w:r>
    </w:p>
    <w:p>
      <w:pPr>
        <w:ind w:firstLine="560"/>
        <w:rPr>
          <w:rFonts w:hint="eastAsia" w:ascii="宋体" w:hAnsi="宋体" w:eastAsia="宋体" w:cs="宋体"/>
          <w:u w:val="none"/>
        </w:rPr>
      </w:pPr>
      <w:r>
        <w:rPr>
          <w:rFonts w:hint="eastAsia" w:ascii="宋体" w:hAnsi="宋体" w:eastAsia="宋体" w:cs="宋体"/>
          <w:u w:val="none"/>
        </w:rPr>
        <w:t>（4）负责园区应急指挥中心、应急管理信息数据库的筹建和运营管理，建立危化品种类及特性、重大危险源、重要装置及设施、应急预案和专家库等数据库。</w:t>
      </w:r>
    </w:p>
    <w:p>
      <w:pPr>
        <w:ind w:firstLine="560"/>
        <w:rPr>
          <w:rFonts w:hint="eastAsia" w:ascii="宋体" w:hAnsi="宋体" w:eastAsia="宋体" w:cs="宋体"/>
          <w:u w:val="none"/>
        </w:rPr>
      </w:pPr>
      <w:r>
        <w:rPr>
          <w:rFonts w:hint="eastAsia" w:ascii="宋体" w:hAnsi="宋体" w:eastAsia="宋体" w:cs="宋体"/>
          <w:u w:val="none"/>
        </w:rPr>
        <w:t>（5）统筹规划、配置应急装备和物资等应急资源；与周边专/兼职应急救援队伍建立联系，实现应急救援工作区域互联互助。</w:t>
      </w:r>
    </w:p>
    <w:p>
      <w:pPr>
        <w:ind w:firstLine="560"/>
        <w:rPr>
          <w:rFonts w:hint="eastAsia" w:ascii="宋体" w:hAnsi="宋体" w:eastAsia="宋体" w:cs="宋体"/>
          <w:u w:val="none"/>
        </w:rPr>
      </w:pPr>
      <w:r>
        <w:rPr>
          <w:rFonts w:hint="eastAsia" w:ascii="宋体" w:hAnsi="宋体" w:eastAsia="宋体" w:cs="宋体"/>
          <w:u w:val="none"/>
        </w:rPr>
        <w:t>（6）定期开展应急资源调查，及时更新园区内外政府和企业等的有关应急部门、机构或人员的联系方式，及时更新园区入园企业及专兼职应急救援队伍的应急物资配置情况。</w:t>
      </w:r>
    </w:p>
    <w:p>
      <w:pPr>
        <w:ind w:firstLine="560"/>
        <w:rPr>
          <w:rFonts w:hint="eastAsia" w:ascii="宋体" w:hAnsi="宋体" w:eastAsia="宋体" w:cs="宋体"/>
          <w:u w:val="none"/>
        </w:rPr>
      </w:pPr>
      <w:r>
        <w:rPr>
          <w:rFonts w:hint="eastAsia" w:ascii="宋体" w:hAnsi="宋体" w:eastAsia="宋体" w:cs="宋体"/>
          <w:u w:val="none"/>
        </w:rPr>
        <w:t>（7）履行相关法律、法规文件及园区制度体系规定的安全生产和应急管理监督职责。</w:t>
      </w:r>
    </w:p>
    <w:p>
      <w:pPr>
        <w:ind w:firstLine="560"/>
        <w:rPr>
          <w:rFonts w:hint="eastAsia" w:ascii="宋体" w:hAnsi="宋体" w:eastAsia="宋体" w:cs="宋体"/>
          <w:u w:val="none"/>
        </w:rPr>
      </w:pPr>
      <w:r>
        <w:rPr>
          <w:rFonts w:hint="eastAsia" w:ascii="宋体" w:hAnsi="宋体" w:eastAsia="宋体" w:cs="宋体"/>
          <w:u w:val="none"/>
        </w:rPr>
        <w:t>2.</w:t>
      </w:r>
      <w:r>
        <w:rPr>
          <w:rFonts w:hint="eastAsia" w:ascii="宋体" w:hAnsi="宋体" w:eastAsia="宋体" w:cs="宋体"/>
          <w:b/>
          <w:bCs/>
          <w:u w:val="none"/>
        </w:rPr>
        <w:t>应急状态下职责</w:t>
      </w:r>
    </w:p>
    <w:p>
      <w:pPr>
        <w:ind w:firstLine="560"/>
        <w:rPr>
          <w:rFonts w:hint="eastAsia" w:ascii="宋体" w:hAnsi="宋体" w:eastAsia="宋体" w:cs="宋体"/>
          <w:u w:val="none"/>
        </w:rPr>
      </w:pPr>
      <w:r>
        <w:rPr>
          <w:rFonts w:hint="eastAsia" w:ascii="宋体" w:hAnsi="宋体" w:eastAsia="宋体" w:cs="宋体"/>
          <w:u w:val="none"/>
        </w:rPr>
        <w:t>（1）接收和记录事故信息和预警信息，上报应急指挥部。</w:t>
      </w:r>
    </w:p>
    <w:p>
      <w:pPr>
        <w:ind w:firstLine="560"/>
        <w:rPr>
          <w:rFonts w:hint="eastAsia" w:ascii="宋体" w:hAnsi="宋体" w:eastAsia="宋体" w:cs="宋体"/>
          <w:u w:val="none"/>
        </w:rPr>
      </w:pPr>
      <w:r>
        <w:rPr>
          <w:rFonts w:hint="eastAsia" w:ascii="宋体" w:hAnsi="宋体" w:eastAsia="宋体" w:cs="宋体"/>
          <w:u w:val="none"/>
        </w:rPr>
        <w:t>（2）按应急指挥部指令发布预警信息。</w:t>
      </w:r>
    </w:p>
    <w:p>
      <w:pPr>
        <w:ind w:firstLine="560"/>
        <w:rPr>
          <w:rFonts w:hint="eastAsia" w:ascii="宋体" w:hAnsi="宋体" w:eastAsia="宋体" w:cs="宋体"/>
          <w:u w:val="none"/>
        </w:rPr>
      </w:pPr>
      <w:r>
        <w:rPr>
          <w:rFonts w:hint="eastAsia" w:ascii="宋体" w:hAnsi="宋体" w:eastAsia="宋体" w:cs="宋体"/>
          <w:u w:val="none"/>
        </w:rPr>
        <w:t>（3）按应急指挥部指令向上级部门上报事故信息。</w:t>
      </w:r>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42" w:name="_Toc8498"/>
      <w:bookmarkStart w:id="43" w:name="_Toc24107"/>
      <w:bookmarkStart w:id="44" w:name="_Toc25663"/>
      <w:r>
        <w:rPr>
          <w:rFonts w:hint="eastAsia" w:ascii="宋体" w:hAnsi="宋体" w:eastAsia="宋体" w:cs="宋体"/>
          <w:bCs/>
          <w:iCs/>
          <w:color w:val="auto"/>
          <w:kern w:val="2"/>
          <w:sz w:val="30"/>
          <w:szCs w:val="32"/>
          <w:u w:val="none"/>
          <w:lang w:val="en-US" w:eastAsia="zh-CN" w:bidi="ar-SA"/>
          <w14:ligatures w14:val="standardContextual"/>
        </w:rPr>
        <w:t>3.2.5应急工作组职责</w:t>
      </w:r>
      <w:bookmarkEnd w:id="42"/>
      <w:bookmarkEnd w:id="43"/>
      <w:bookmarkEnd w:id="44"/>
    </w:p>
    <w:p>
      <w:pPr>
        <w:ind w:firstLine="560"/>
        <w:rPr>
          <w:rFonts w:hint="eastAsia" w:ascii="宋体" w:hAnsi="宋体" w:eastAsia="宋体" w:cs="宋体"/>
          <w:u w:val="none"/>
        </w:rPr>
      </w:pPr>
      <w:r>
        <w:rPr>
          <w:rFonts w:hint="eastAsia" w:ascii="宋体" w:hAnsi="宋体" w:eastAsia="宋体" w:cs="宋体"/>
          <w:u w:val="none"/>
        </w:rPr>
        <w:t>现场应急指挥应围绕事发企业应急组织机构和应急处置能力展开，各工作组的组成或责任部门应同事发企业相关工作组成员有机结合，各工作组的责任部门/单位以及应急工作职责详见下表。</w:t>
      </w:r>
    </w:p>
    <w:p>
      <w:pPr>
        <w:widowControl w:val="0"/>
        <w:adjustRightInd/>
        <w:snapToGrid/>
        <w:spacing w:line="360" w:lineRule="auto"/>
        <w:ind w:firstLine="432" w:firstLineChars="200"/>
        <w:jc w:val="center"/>
        <w:rPr>
          <w:rFonts w:hint="eastAsia" w:ascii="宋体" w:hAnsi="宋体" w:eastAsia="宋体" w:cs="宋体"/>
          <w:b/>
          <w:iCs/>
          <w:kern w:val="2"/>
          <w:sz w:val="24"/>
          <w:u w:val="none"/>
          <w:lang w:val="en-US" w:eastAsia="zh-CN" w:bidi="ar-SA"/>
          <w14:ligatures w14:val="standardContextual"/>
        </w:rPr>
      </w:pPr>
      <w:r>
        <w:rPr>
          <w:rFonts w:hint="eastAsia" w:ascii="宋体" w:hAnsi="宋体" w:eastAsia="宋体" w:cs="宋体"/>
          <w:b/>
          <w:iCs/>
          <w:kern w:val="2"/>
          <w:sz w:val="24"/>
          <w:u w:val="none"/>
          <w:lang w:val="en-US" w:eastAsia="zh-CN" w:bidi="ar-SA"/>
          <w14:ligatures w14:val="standardContextual"/>
        </w:rPr>
        <w:t>表2-1 应急工作组职责清单</w:t>
      </w:r>
    </w:p>
    <w:tbl>
      <w:tblPr>
        <w:tblStyle w:val="22"/>
        <w:tblW w:w="42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0" w:type="dxa"/>
          <w:left w:w="30" w:type="dxa"/>
          <w:bottom w:w="30" w:type="dxa"/>
          <w:right w:w="30" w:type="dxa"/>
        </w:tblCellMar>
      </w:tblPr>
      <w:tblGrid>
        <w:gridCol w:w="514"/>
        <w:gridCol w:w="3454"/>
        <w:gridCol w:w="522"/>
        <w:gridCol w:w="806"/>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3"/>
          <w:wAfter w:w="2488" w:type="pct"/>
          <w:trHeight w:val="312" w:hRule="atLeast"/>
          <w:tblHeader/>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工作小组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0" w:hRule="atLeast"/>
          <w:tblHeader/>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组成</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姓名</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职位/部门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应急救援指挥领导小组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贯彻执行国家、省、市和地方的法律法规、标准规范和其它文件有关生产安全事故应急管理工作的有关要求；在总指挥的领导下，开展园区内危险化学品泄漏事故的应急处置工作和善后恢复工作</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总指挥</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 强</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高新区党工委副书记、高新区副主任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副总指挥</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杨志国</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母微涛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高新区纪工委书记、高新区副主任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唐志雄</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杨晓东</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杨  瑾</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刘登英</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①负责组织应急预案的修订、评审、培训和演练等工作；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②上传下达指挥中心安排的应急任务；</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③按照应急指挥中心命令进行人员调配、资源分配以及应急队伍的调动；</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④按照应急指挥中心命令进行事故信息的上报，并与相关的外部应急部门、组织机构进行联络，及时通报应急信息；</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⑤对事故发生后的相关数据进行存档。</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主任</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波</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韩</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丹</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毕林萍</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蒋厚聪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由安全生产和生态环境保护局主导，自然资源与规划局配合协助安全生产和生态环境保护局共同完成。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①负责指导、协调各企业应急救援队伍的抢险处置工作，及时控制风险源，并根据事故类型及涉及的危险有害物质立即调配专用的防护用品及应急救援工具；</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②负责指挥、监督各企业应急队伍进行灭火、现场伤员的搜救、泄漏物品收容、处置以及事后对污染区域的洗消工作。</w:t>
            </w: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吴学全</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陈祖亚</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刘亚成</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李鹏飞</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李东甫</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平</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5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后续处置组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主导。综合管理部及</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安全和生态环境保护局配合协助党群工作部共同完成。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①负责协调有关部门及企业现场处置、伤亡善后工作。同时协调有关部门及企业对人员安置、补偿，征用物资补偿，对事故现场应急行动结束后的清除和恢复工作。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②负责监督有关部门及企业尽快消除事故影响，妥善安置和慰问受害及受影响人员，保证人员情绪稳定尽快恢复正常工作秩序。</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③监控舆情，统计和评估媒体报道。</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李锦媛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崔馨予</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孟腊梅</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施海丽</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秦 富</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环境监测组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autoSpaceDE/>
              <w:autoSpaceDN/>
              <w:adjustRightInd/>
              <w:snapToGrid/>
              <w:spacing w:after="0" w:line="240" w:lineRule="auto"/>
              <w:ind w:firstLine="0" w:firstLineChars="0"/>
              <w:jc w:val="both"/>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r>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t>负责配合监测部门或单位对大气、水体、土壤等进行即时环境监测，确定危险物质的成分及浓度，跟踪事故的发展，确定警戒范围及污染区域范围。</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韦黎民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丁照光</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马翊航</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杨文艳</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李朝秋</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医疗救护组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由经济发展和科技创新局</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招商服务中心配合协助经济发展和科技创新局共同完成。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负责配合医护人员在事故现场附近安全区域内设立临时医疗救护点，对受伤人员进行紧急救治，并护送重伤人员至医院进一步治疗。</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段庆云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徐永香</w:t>
            </w:r>
          </w:p>
        </w:tc>
        <w:tc>
          <w:tcPr>
            <w:tcW w:w="1647" w:type="pct"/>
            <w:shd w:val="clear" w:color="auto" w:fill="auto"/>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李海兵</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卢圣杰</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马贵鹏</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朱</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勇</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杨宁江</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kern w:val="0"/>
                <w:sz w:val="21"/>
                <w:szCs w:val="21"/>
                <w:highlight w:val="none"/>
                <w:lang w:val="en-US" w:eastAsia="zh-CN" w:bidi="ar-SA"/>
              </w:rPr>
              <w:t>张  茜</w:t>
            </w:r>
          </w:p>
        </w:tc>
        <w:tc>
          <w:tcPr>
            <w:tcW w:w="1647"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sz w:val="21"/>
                <w:szCs w:val="21"/>
                <w:highlight w:val="none"/>
                <w:lang w:eastAsia="zh-CN"/>
              </w:rPr>
              <w:t>经济和科技创新发展局</w:t>
            </w:r>
            <w:r>
              <w:rPr>
                <w:rFonts w:hint="default" w:ascii="Times New Roman" w:hAnsi="Times New Roman" w:eastAsia="宋体" w:cs="Times New Roman"/>
                <w:color w:val="auto"/>
                <w:sz w:val="21"/>
                <w:szCs w:val="21"/>
                <w:highlight w:val="none"/>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物资保障组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由建设局主导。综合管理部配合协助建设局共同完成。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①负责应急物资的日常检查，保证应急物资的数量、时效性、完好。</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②事故发生时，按照指挥部的命令，及时准备应急处置所需应急物资、防护器具，保证应急物资的供应、补充、运输和调配到位；</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③负责应急车辆的调运组织，以及救援人员和抢险物质的运送；</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④及时组织事故应急后恢复生产所需的物资、器材、设施的供应和调运。</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  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马海林</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时浩天航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李波莉</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警戒疏散组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由安宁工业园区投资开发有限公司主导。企业服务中心配合协助安宁工业园区投资开发有限公司共同完成。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①负责在事故现场及事故可能波及的道路、场所的安全警戒、管制，禁止无关人员、车辆进入危险区域；</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②与现场事故管理人员和关键岗位人员配合，指挥事故现场人员撤离；</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③在人员疏散区域进行治安巡逻，对事故波及到的其他人员和居民进行防护指导、人员疏散并对周围物资转移。</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  晗</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李宗华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林妍伶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董  昊</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8"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专家咨询组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应急办公室主导，安全和生态环境保护局协助配合。</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①迅速对事故信息进行分析评估，提出应急处置方案和建议；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②对生产安全事故的危害范围、发展趋势做出科学预测；</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③参与事故等级、危险程度、危害范围的判定，为事故发生区域的隔离与解禁、人员撤离和返回等防护措施的决策提供技术依据；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④指导应急处置行动，指导对生产安全事故应急工作的评价，对事故中的长期影响进行评估。</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  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昆明理工大学教授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ins w:id="0" w:author="DH" w:date="2025-12-05T10:48:47Z"/>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ins w:id="1"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ins w:id="2"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3"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4"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  斌</w:t>
              </w:r>
            </w:ins>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5" w:author="DH" w:date="2025-12-05T10:48:47Z"/>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6"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昆明有色冶金设计院股份公司高工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董树明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  渝</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云南泽众安全技术有限公司高工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岳  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原中国石油安全总监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王增瑞</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云南石化有限责任公司高工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杨保勇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杨春勇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刘贵春</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周春龙</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李斯桂</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沈长彦</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宁建昆</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省工业气体行业协会高工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廖致雄</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昆钢安宁公司本部炼钢厂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陈兴荣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原武钢集团昆钢公司高工</w:t>
            </w:r>
          </w:p>
        </w:tc>
      </w:tr>
    </w:tbl>
    <w:p>
      <w:pPr>
        <w:ind w:firstLine="510"/>
      </w:pPr>
      <w:r>
        <w:br w:type="page"/>
      </w:r>
    </w:p>
    <w:p>
      <w:pPr>
        <w:pStyle w:val="2"/>
        <w:rPr>
          <w:rFonts w:hint="eastAsia"/>
        </w:rPr>
      </w:pPr>
      <w:bookmarkStart w:id="45" w:name="_Toc13552"/>
      <w:r>
        <w:rPr>
          <w:rFonts w:hint="eastAsia"/>
        </w:rPr>
        <w:t>4 预防预警</w:t>
      </w:r>
      <w:bookmarkEnd w:id="45"/>
    </w:p>
    <w:p>
      <w:pPr>
        <w:pStyle w:val="30"/>
        <w:rPr>
          <w:rFonts w:hint="eastAsia" w:eastAsia="楷体"/>
          <w:lang w:val="en-US" w:eastAsia="zh-CN"/>
        </w:rPr>
      </w:pPr>
      <w:bookmarkStart w:id="46" w:name="_Toc2149"/>
      <w:r>
        <w:rPr>
          <w:rFonts w:hint="eastAsia"/>
        </w:rPr>
        <w:t>4.1</w:t>
      </w:r>
      <w:r>
        <w:rPr>
          <w:rFonts w:hint="eastAsia"/>
          <w:lang w:val="en-US" w:eastAsia="zh-CN"/>
        </w:rPr>
        <w:t>预报</w:t>
      </w:r>
      <w:bookmarkEnd w:id="46"/>
    </w:p>
    <w:p>
      <w:pPr>
        <w:ind w:firstLine="510"/>
        <w:rPr>
          <w:rFonts w:hint="eastAsia"/>
        </w:rPr>
      </w:pPr>
      <w:r>
        <w:rPr>
          <w:rFonts w:hint="eastAsia"/>
          <w:lang w:val="en-US" w:eastAsia="zh-CN"/>
        </w:rPr>
        <w:t>应急中心办公室</w:t>
      </w:r>
      <w:r>
        <w:rPr>
          <w:rFonts w:hint="eastAsia"/>
        </w:rPr>
        <w:t>根据</w:t>
      </w:r>
      <w:r>
        <w:t>气象部门</w:t>
      </w:r>
      <w:r>
        <w:rPr>
          <w:rFonts w:hint="eastAsia"/>
        </w:rPr>
        <w:t>雷暴</w:t>
      </w:r>
      <w:r>
        <w:t>极端天气的监测和预报</w:t>
      </w:r>
      <w:r>
        <w:rPr>
          <w:rFonts w:hint="eastAsia"/>
        </w:rPr>
        <w:t>、及时报告应急指挥部，并按权限及时向社会和化工园区企业发布有关信息。遭遇重大灾害性天气时，应加强联合监测、会商和预报，并对未来可能发展趋势及影响作出评估，将评估结果报告应急指挥部。</w:t>
      </w:r>
    </w:p>
    <w:p>
      <w:pPr>
        <w:ind w:firstLine="510"/>
      </w:pPr>
      <w:r>
        <w:rPr>
          <w:rFonts w:hint="eastAsia"/>
        </w:rPr>
        <w:t>园区安全环保</w:t>
      </w:r>
      <w:r>
        <w:rPr>
          <w:rFonts w:hint="eastAsia"/>
          <w:lang w:val="en-US" w:eastAsia="zh-CN"/>
        </w:rPr>
        <w:t>局</w:t>
      </w:r>
      <w:r>
        <w:rPr>
          <w:rFonts w:hint="eastAsia"/>
        </w:rPr>
        <w:t>等相关部门应利用安全监控平台、环保自动监测设备、化工园区卡口监控系统等，针对化工园区企业重大危险源、敏感目标、重要目标物和基础设施，实现全天候自动化监测，完善基础监测信息数据库。同时，健全专业监测信息获取渠道，与气象、水务、地震等自然灾害领域专业机构的信息畅通获取渠道，及时获取有关自然灾害的预测评估情况、同时向应急指挥部报告</w:t>
      </w:r>
      <w:r>
        <w:t>。</w:t>
      </w:r>
    </w:p>
    <w:p>
      <w:pPr>
        <w:pStyle w:val="30"/>
        <w:rPr>
          <w:rFonts w:hint="eastAsia"/>
        </w:rPr>
      </w:pPr>
      <w:bookmarkStart w:id="47" w:name="_Toc5860"/>
      <w:r>
        <w:rPr>
          <w:rFonts w:hint="eastAsia"/>
        </w:rPr>
        <w:t>4.2</w:t>
      </w:r>
      <w:r>
        <w:t>预警</w:t>
      </w:r>
      <w:bookmarkEnd w:id="47"/>
    </w:p>
    <w:p>
      <w:pPr>
        <w:ind w:firstLine="510"/>
        <w:rPr>
          <w:rFonts w:hint="eastAsia"/>
        </w:rPr>
      </w:pPr>
      <w:r>
        <w:rPr>
          <w:rFonts w:hint="eastAsia"/>
        </w:rPr>
        <w:t>根据气象部门的雷电预警，依法统一发布灾害性天气警报和气象灾害预警信号；面向公众和化工园区企业发布有关灾害预警信息。</w:t>
      </w:r>
    </w:p>
    <w:p>
      <w:pPr>
        <w:ind w:firstLine="510"/>
      </w:pPr>
      <w:r>
        <w:rPr>
          <w:rFonts w:hint="eastAsia"/>
        </w:rPr>
        <w:t>预警级别按气象部门发布预警信息确定</w:t>
      </w:r>
      <w:r>
        <w:t>。</w:t>
      </w:r>
    </w:p>
    <w:p>
      <w:pPr>
        <w:pStyle w:val="30"/>
        <w:rPr>
          <w:rFonts w:hint="eastAsia" w:eastAsia="楷体"/>
          <w:lang w:eastAsia="zh-CN"/>
        </w:rPr>
      </w:pPr>
      <w:bookmarkStart w:id="48" w:name="_Toc24642"/>
      <w:r>
        <w:rPr>
          <w:rFonts w:hint="eastAsia"/>
        </w:rPr>
        <w:t>4.3</w:t>
      </w:r>
      <w:r>
        <w:rPr>
          <w:rFonts w:hint="eastAsia"/>
          <w:lang w:val="en-US" w:eastAsia="zh-CN"/>
        </w:rPr>
        <w:t>预防</w:t>
      </w:r>
      <w:bookmarkEnd w:id="48"/>
    </w:p>
    <w:p>
      <w:pPr>
        <w:ind w:firstLine="510"/>
        <w:rPr>
          <w:rFonts w:hint="eastAsia" w:ascii="Times New Roman" w:hAnsi="Times New Roman" w:eastAsia="宋体" w:cs="宋体"/>
        </w:rPr>
      </w:pPr>
      <w:r>
        <w:rPr>
          <w:rFonts w:hint="eastAsia" w:ascii="Times New Roman" w:hAnsi="Times New Roman" w:eastAsia="宋体" w:cs="宋体"/>
        </w:rPr>
        <w:t>1.园区</w:t>
      </w:r>
      <w:r>
        <w:rPr>
          <w:rFonts w:hint="eastAsia" w:cs="宋体"/>
          <w:lang w:val="en-US" w:eastAsia="zh-CN"/>
        </w:rPr>
        <w:t>安环局</w:t>
      </w:r>
      <w:r>
        <w:rPr>
          <w:rFonts w:hint="eastAsia" w:ascii="Times New Roman" w:hAnsi="Times New Roman" w:eastAsia="宋体" w:cs="宋体"/>
        </w:rPr>
        <w:t>督促各企业落实防雷装置的定期检测工作。并按检测提出的整改建议落实隐患问题整改。</w:t>
      </w:r>
    </w:p>
    <w:p>
      <w:pPr>
        <w:ind w:firstLine="510"/>
        <w:rPr>
          <w:rFonts w:ascii="Times New Roman" w:hAnsi="Times New Roman" w:eastAsia="宋体" w:cs="宋体"/>
        </w:rPr>
      </w:pPr>
      <w:r>
        <w:rPr>
          <w:rFonts w:hint="eastAsia" w:ascii="Times New Roman" w:hAnsi="Times New Roman" w:eastAsia="宋体" w:cs="宋体"/>
        </w:rPr>
        <w:t>2.有条件的推动园区或周边火灾爆炸风险高危企业和大型油气储存企业按规范装设雷电预警系统</w:t>
      </w:r>
      <w:r>
        <w:rPr>
          <w:rFonts w:ascii="Times New Roman" w:hAnsi="Times New Roman" w:eastAsia="宋体" w:cs="宋体"/>
        </w:rPr>
        <w:t>。</w:t>
      </w:r>
    </w:p>
    <w:p>
      <w:pPr>
        <w:pStyle w:val="30"/>
        <w:rPr>
          <w:rFonts w:hint="eastAsia"/>
        </w:rPr>
      </w:pPr>
      <w:bookmarkStart w:id="49" w:name="_Toc202206446"/>
      <w:bookmarkStart w:id="50" w:name="_Toc14157"/>
      <w:r>
        <w:rPr>
          <w:rFonts w:hint="eastAsia"/>
        </w:rPr>
        <w:t>4.4</w:t>
      </w:r>
      <w:r>
        <w:t>预警分级</w:t>
      </w:r>
      <w:bookmarkEnd w:id="49"/>
      <w:bookmarkEnd w:id="50"/>
    </w:p>
    <w:p>
      <w:pPr>
        <w:ind w:firstLine="510"/>
        <w:rPr>
          <w:rFonts w:ascii="Times New Roman" w:hAnsi="Times New Roman" w:eastAsia="宋体" w:cs="宋体"/>
        </w:rPr>
      </w:pPr>
      <w:r>
        <w:rPr>
          <w:rFonts w:ascii="Times New Roman" w:hAnsi="Times New Roman" w:eastAsia="宋体" w:cs="宋体"/>
        </w:rPr>
        <w:t>按照可能造成的危害性、紧急程度和发展态势，化工园区</w:t>
      </w:r>
      <w:r>
        <w:rPr>
          <w:rFonts w:hint="eastAsia" w:cs="宋体"/>
          <w:lang w:val="en-US" w:eastAsia="zh-CN"/>
        </w:rPr>
        <w:t>雷电</w:t>
      </w:r>
      <w:r>
        <w:rPr>
          <w:rFonts w:ascii="Times New Roman" w:hAnsi="Times New Roman" w:eastAsia="宋体" w:cs="宋体"/>
        </w:rPr>
        <w:t>灾害预警级别分为</w:t>
      </w:r>
      <w:r>
        <w:rPr>
          <w:rFonts w:hint="eastAsia" w:cs="宋体"/>
          <w:lang w:val="en-US" w:eastAsia="zh-CN"/>
        </w:rPr>
        <w:t>三</w:t>
      </w:r>
      <w:r>
        <w:rPr>
          <w:rFonts w:ascii="Times New Roman" w:hAnsi="Times New Roman" w:eastAsia="宋体" w:cs="宋体"/>
        </w:rPr>
        <w:t>级：依次用黄色、橙色和红色表示。预警信号的发布、调整和解除，视情分别通过网站、广播、电视（含移动电视）、报刊、短信、微信、微博或警报器、宣传车等方式进行，必要时组织人员逐户通知。</w:t>
      </w:r>
    </w:p>
    <w:p>
      <w:pPr>
        <w:pStyle w:val="30"/>
        <w:rPr>
          <w:rFonts w:hint="eastAsia"/>
        </w:rPr>
      </w:pPr>
      <w:bookmarkStart w:id="51" w:name="_Toc9129"/>
      <w:bookmarkStart w:id="52" w:name="_Toc202206447"/>
      <w:r>
        <w:rPr>
          <w:rFonts w:hint="eastAsia"/>
        </w:rPr>
        <w:t>4.5</w:t>
      </w:r>
      <w:r>
        <w:t>预警解除</w:t>
      </w:r>
      <w:bookmarkEnd w:id="51"/>
      <w:bookmarkEnd w:id="52"/>
    </w:p>
    <w:p>
      <w:pPr>
        <w:ind w:firstLine="510"/>
      </w:pPr>
      <w:bookmarkStart w:id="53" w:name="_Hlk202200948"/>
      <w:r>
        <w:rPr>
          <w:rFonts w:hint="eastAsia"/>
        </w:rPr>
        <w:t>当上级部门发布地震灾害预警解除命令后，按照“谁发布、谁解除”的原则，应急指挥部应随之宣布解除预警</w:t>
      </w:r>
      <w:r>
        <w:t>。</w:t>
      </w:r>
      <w:bookmarkEnd w:id="53"/>
      <w:r>
        <w:br w:type="page"/>
      </w:r>
    </w:p>
    <w:p>
      <w:pPr>
        <w:pStyle w:val="2"/>
        <w:rPr>
          <w:rFonts w:hint="eastAsia"/>
        </w:rPr>
      </w:pPr>
      <w:bookmarkStart w:id="54" w:name="_Toc10571"/>
      <w:r>
        <w:rPr>
          <w:rFonts w:hint="eastAsia"/>
        </w:rPr>
        <w:t>5 应急响应</w:t>
      </w:r>
      <w:bookmarkEnd w:id="54"/>
    </w:p>
    <w:p>
      <w:pPr>
        <w:ind w:firstLine="510"/>
        <w:rPr>
          <w:rFonts w:hint="eastAsia"/>
        </w:rPr>
      </w:pPr>
      <w:r>
        <w:rPr>
          <w:rFonts w:hint="eastAsia"/>
        </w:rPr>
        <w:t>因雷电灾害引发园区火灾爆炸事故的，按《安宁高新技术产业开发区草铺化工园区生产安全事故应急预案》、《</w:t>
      </w:r>
      <w:r>
        <w:rPr>
          <w:rFonts w:hint="eastAsia"/>
          <w:lang w:eastAsia="zh-CN"/>
        </w:rPr>
        <w:t>安宁高新技术产业开发区草铺化工园区</w:t>
      </w:r>
      <w:r>
        <w:rPr>
          <w:rFonts w:hint="eastAsia"/>
        </w:rPr>
        <w:t>火灾爆炸事故专项应急预案》的有关规定启动应急响应。</w:t>
      </w:r>
    </w:p>
    <w:p>
      <w:pPr>
        <w:ind w:firstLine="510"/>
      </w:pPr>
      <w:r>
        <w:rPr>
          <w:rFonts w:hint="eastAsia"/>
        </w:rPr>
        <w:t>因雷暴灾害，可能对园区企业生产过程的安全监测控制系统的正常运行产生影响的，应急指挥部组织对开展分析研究，对存在较大安全风险的企业，下达局部停产指令</w:t>
      </w:r>
      <w:r>
        <w:t>。</w:t>
      </w:r>
    </w:p>
    <w:p>
      <w:pPr>
        <w:rPr>
          <w:rFonts w:hint="eastAsia"/>
        </w:rPr>
      </w:pPr>
      <w:r>
        <w:rPr>
          <w:rFonts w:hint="eastAsia"/>
        </w:rPr>
        <w:br w:type="page"/>
      </w:r>
    </w:p>
    <w:p>
      <w:pPr>
        <w:pStyle w:val="2"/>
        <w:rPr>
          <w:rFonts w:hint="eastAsia"/>
        </w:rPr>
      </w:pPr>
      <w:bookmarkStart w:id="55" w:name="_Toc6837"/>
      <w:r>
        <w:rPr>
          <w:rFonts w:hint="eastAsia"/>
        </w:rPr>
        <w:t>6</w:t>
      </w:r>
      <w:r>
        <w:t xml:space="preserve"> 保障措施</w:t>
      </w:r>
      <w:bookmarkEnd w:id="55"/>
    </w:p>
    <w:p>
      <w:pPr>
        <w:pStyle w:val="30"/>
        <w:rPr>
          <w:rFonts w:hint="eastAsia"/>
        </w:rPr>
      </w:pPr>
      <w:bookmarkStart w:id="56" w:name="_Toc22588"/>
      <w:r>
        <w:rPr>
          <w:rFonts w:hint="eastAsia"/>
        </w:rPr>
        <w:t>6</w:t>
      </w:r>
      <w:r>
        <w:t>.1 通信与信息保障</w:t>
      </w:r>
      <w:bookmarkEnd w:id="56"/>
    </w:p>
    <w:p>
      <w:pPr>
        <w:ind w:firstLine="510"/>
      </w:pPr>
      <w:r>
        <w:t>应急救援指挥部各成员单位要指定负责日常联络的工作人员，充分利用有线、无线通讯设备和互联网等手段，切实保障通讯畅通。应急指挥部各成员单位实行24小时值守制度，随时接收、处理事故报告信息。</w:t>
      </w:r>
    </w:p>
    <w:p>
      <w:pPr>
        <w:pStyle w:val="30"/>
        <w:rPr>
          <w:rFonts w:hint="eastAsia"/>
        </w:rPr>
      </w:pPr>
      <w:bookmarkStart w:id="57" w:name="_Toc24648"/>
      <w:r>
        <w:rPr>
          <w:rFonts w:hint="eastAsia"/>
        </w:rPr>
        <w:t>6</w:t>
      </w:r>
      <w:r>
        <w:t>.2 队伍保障</w:t>
      </w:r>
      <w:bookmarkEnd w:id="57"/>
    </w:p>
    <w:p>
      <w:pPr>
        <w:ind w:firstLine="560"/>
        <w:rPr>
          <w:rFonts w:hint="eastAsia" w:ascii="宋体" w:hAnsi="宋体" w:eastAsia="宋体" w:cs="宋体"/>
        </w:rPr>
      </w:pPr>
      <w:r>
        <w:rPr>
          <w:rFonts w:hint="eastAsia" w:ascii="宋体" w:hAnsi="宋体" w:eastAsia="宋体" w:cs="宋体"/>
        </w:rPr>
        <w:t>为有效整合园区应急救援力量，经研究决定，园区管委会组建了园区综合应急救援队，队长为园区管委会分管副主任，副队长为园区安环局局长，成员为安全生产和生态环境保护局副局长及园区各生产经营单位环保管理部门负责人。园区综合应急救援队下辖四个应急救援分队，包括中石油云南石化有限公司消防支队、云南天安化工有限公司应急救援队、祥丰石化应急救援队、昆明钢铁控股有限公司消防中心</w:t>
      </w:r>
      <w:r>
        <w:rPr>
          <w:rFonts w:hint="eastAsia" w:ascii="宋体" w:hAnsi="宋体" w:cs="宋体"/>
          <w:color w:val="000000" w:themeColor="text1"/>
          <w:lang w:eastAsia="zh-CN"/>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西南铜业专职消防救援队</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rPr>
        <w:t>安宁高新技术产业开发区管理委员会与上述应急救援队均签订了《应急救援联动协议》。</w:t>
      </w:r>
    </w:p>
    <w:p>
      <w:pPr>
        <w:ind w:firstLine="560"/>
        <w:rPr>
          <w:rFonts w:hint="eastAsia" w:ascii="宋体" w:hAnsi="宋体" w:eastAsia="宋体" w:cs="宋体"/>
        </w:rPr>
      </w:pPr>
      <w:r>
        <w:rPr>
          <w:rFonts w:hint="eastAsia" w:ascii="宋体" w:hAnsi="宋体" w:eastAsia="宋体" w:cs="宋体"/>
        </w:rPr>
        <w:t>化工园区内各生产经营单位根据本单位危险源和事故救援需要，建立由本单位职工组成的应急救援队伍，为保障队伍的人员数量和素质，按规定定期开展培训和演练。应急指挥部掌握应急救援队伍资源信息情况，并督促检查各企业应急救援队伍建设和准备。</w:t>
      </w:r>
    </w:p>
    <w:p>
      <w:pPr>
        <w:ind w:firstLine="510"/>
      </w:pPr>
      <w:r>
        <w:rPr>
          <w:rFonts w:hint="eastAsia" w:ascii="宋体" w:hAnsi="宋体" w:eastAsia="宋体" w:cs="宋体"/>
        </w:rPr>
        <w:t>专家组参与生产安全事故灾难的救援工作，研究并提出事故救援技术方案，由现场指挥部决策后实施，确保事故救援的科学性、合理性和有效性</w:t>
      </w:r>
      <w:r>
        <w:t>。</w:t>
      </w:r>
    </w:p>
    <w:p>
      <w:pPr>
        <w:pStyle w:val="30"/>
        <w:rPr>
          <w:rFonts w:hint="eastAsia"/>
        </w:rPr>
      </w:pPr>
      <w:bookmarkStart w:id="58" w:name="_Toc25710"/>
      <w:r>
        <w:rPr>
          <w:rFonts w:hint="eastAsia"/>
        </w:rPr>
        <w:t>6</w:t>
      </w:r>
      <w:r>
        <w:t>.</w:t>
      </w:r>
      <w:r>
        <w:rPr>
          <w:rFonts w:hint="eastAsia"/>
          <w:lang w:val="en-US" w:eastAsia="zh-CN"/>
        </w:rPr>
        <w:t>3</w:t>
      </w:r>
      <w:r>
        <w:t xml:space="preserve"> 物资保障</w:t>
      </w:r>
      <w:bookmarkEnd w:id="58"/>
    </w:p>
    <w:p>
      <w:pPr>
        <w:ind w:firstLine="510"/>
      </w:pPr>
      <w:bookmarkStart w:id="59" w:name="_Toc517862572"/>
      <w:r>
        <w:rPr>
          <w:rFonts w:hint="eastAsia" w:ascii="宋体" w:hAnsi="宋体" w:eastAsia="宋体" w:cs="宋体"/>
        </w:rPr>
        <w:t>应急物资装备保质保量的储备和供应是应急救援顺利进行的基础保障，主要由后勤保障组负责该项工作，化工园区及化工园区内企业设应急专业物资装备储备，建立应急物资装备管理制度，做好物资装备储备工作。涉及危险化学品的生产经营单位要按照《危险化学品单位应急救援物资配</w:t>
      </w:r>
      <w:bookmarkEnd w:id="59"/>
      <w:r>
        <w:rPr>
          <w:rFonts w:hint="eastAsia" w:ascii="宋体" w:hAnsi="宋体" w:eastAsia="宋体" w:cs="宋体"/>
          <w:kern w:val="0"/>
        </w:rPr>
        <w:t>备要求》（GB 30077）有关规定配备和储备必须的应急救援装备和物资。应急物资储备情况详见《安宁高新技术产业开发区草铺化工园区应急资源调查报告》</w:t>
      </w:r>
      <w:r>
        <w:rPr>
          <w:rFonts w:hint="eastAsia" w:ascii="宋体" w:hAnsi="宋体" w:cs="宋体"/>
          <w:kern w:val="0"/>
          <w:lang w:eastAsia="zh-CN"/>
        </w:rPr>
        <w:t>“</w:t>
      </w:r>
      <w:r>
        <w:rPr>
          <w:rFonts w:hint="eastAsia" w:ascii="宋体" w:hAnsi="宋体" w:cs="宋体"/>
          <w:kern w:val="0"/>
          <w:lang w:val="en-US" w:eastAsia="zh-CN"/>
        </w:rPr>
        <w:t xml:space="preserve">第3章 </w:t>
      </w:r>
      <w:r>
        <w:rPr>
          <w:rFonts w:hint="eastAsia" w:ascii="宋体" w:hAnsi="宋体" w:cs="宋体"/>
          <w:kern w:val="0"/>
          <w:lang w:eastAsia="zh-CN"/>
        </w:rPr>
        <w:t>园区内部应急资源”</w:t>
      </w:r>
      <w:r>
        <w:t>。</w:t>
      </w:r>
    </w:p>
    <w:p>
      <w:pPr>
        <w:pStyle w:val="30"/>
        <w:rPr>
          <w:rFonts w:hint="eastAsia"/>
        </w:rPr>
      </w:pPr>
      <w:bookmarkStart w:id="60" w:name="_Toc10379"/>
      <w:r>
        <w:rPr>
          <w:rFonts w:hint="eastAsia"/>
        </w:rPr>
        <w:t>6</w:t>
      </w:r>
      <w:r>
        <w:t>.</w:t>
      </w:r>
      <w:r>
        <w:rPr>
          <w:rFonts w:hint="eastAsia"/>
          <w:lang w:val="en-US" w:eastAsia="zh-CN"/>
        </w:rPr>
        <w:t>4</w:t>
      </w:r>
      <w:r>
        <w:t xml:space="preserve"> 经费保障</w:t>
      </w:r>
      <w:bookmarkEnd w:id="60"/>
    </w:p>
    <w:p>
      <w:pPr>
        <w:ind w:firstLine="510"/>
      </w:pPr>
      <w:r>
        <w:t>产业园区管委会将化工园区自然灾害防范和应对工作所需经费纳入产业园区管委会财政预算。处置自然灾害所需财政负担的经费，按照现行事权、财权划分原则，分级负担，安排应急工作预备经费、应急工作专项经费和日常工作经费，保障自然灾害应对工作的需要。对受自然灾害影响较大、财政困难时，产业园区管委会视情向区财政局提出补助申请，积极争取中央、省、市财政支持。对受自然灾害影响较大的单位和个人，产业园区管委会要及时研究提出相应的救助政策。</w:t>
      </w:r>
    </w:p>
    <w:p>
      <w:pPr>
        <w:ind w:firstLine="510"/>
      </w:pPr>
      <w:r>
        <w:t>鼓励公民、法人或其他组织依法为应对自然灾害提供物资、装备、资金、技术支持和捐赠。</w:t>
      </w:r>
    </w:p>
    <w:p>
      <w:pPr>
        <w:ind w:firstLine="510"/>
      </w:pPr>
      <w:r>
        <w:t>产业园区管委会应制定相关制度对自然灾害财政保障资金、社会捐助资金的使用情况进行监督管理。</w:t>
      </w:r>
    </w:p>
    <w:p>
      <w:pPr>
        <w:pStyle w:val="30"/>
        <w:rPr>
          <w:rFonts w:hint="eastAsia"/>
        </w:rPr>
      </w:pPr>
      <w:bookmarkStart w:id="61" w:name="_Toc14902"/>
      <w:r>
        <w:rPr>
          <w:rFonts w:hint="eastAsia"/>
        </w:rPr>
        <w:t>6</w:t>
      </w:r>
      <w:r>
        <w:t>.</w:t>
      </w:r>
      <w:r>
        <w:rPr>
          <w:rFonts w:hint="eastAsia"/>
          <w:lang w:val="en-US" w:eastAsia="zh-CN"/>
        </w:rPr>
        <w:t>5</w:t>
      </w:r>
      <w:r>
        <w:t xml:space="preserve"> 医疗卫生保障</w:t>
      </w:r>
      <w:bookmarkEnd w:id="61"/>
    </w:p>
    <w:p>
      <w:pPr>
        <w:ind w:firstLine="510"/>
      </w:pPr>
      <w:r>
        <w:rPr>
          <w:rFonts w:hint="eastAsia" w:ascii="宋体" w:hAnsi="宋体" w:eastAsia="宋体" w:cs="宋体"/>
        </w:rPr>
        <w:t>园区内的伤员救护的治疗服务和现场救护所需要的药品和人员可依托昆明医科大学第二附属医院、安宁市人民医院、昆明市第四人民医院（云南昆钢医院）、安宁市中医院、云天医院、草铺卫生院、禄裱卫生院等。云南安宁产业园区与安宁市人民医院、草铺卫生院、禄裱卫生院签订了医疗救护协议</w:t>
      </w:r>
      <w:r>
        <w:t>。</w:t>
      </w:r>
    </w:p>
    <w:p>
      <w:pPr>
        <w:pStyle w:val="30"/>
        <w:rPr>
          <w:rFonts w:hint="eastAsia"/>
        </w:rPr>
      </w:pPr>
      <w:bookmarkStart w:id="62" w:name="_Toc15398"/>
      <w:r>
        <w:rPr>
          <w:rFonts w:hint="eastAsia"/>
        </w:rPr>
        <w:t>6</w:t>
      </w:r>
      <w:r>
        <w:t>.</w:t>
      </w:r>
      <w:r>
        <w:rPr>
          <w:rFonts w:hint="eastAsia"/>
          <w:lang w:val="en-US" w:eastAsia="zh-CN"/>
        </w:rPr>
        <w:t>6</w:t>
      </w:r>
      <w:r>
        <w:t xml:space="preserve"> 交通运输保障</w:t>
      </w:r>
      <w:bookmarkEnd w:id="62"/>
    </w:p>
    <w:p>
      <w:pPr>
        <w:ind w:firstLine="510"/>
      </w:pPr>
      <w:r>
        <w:rPr>
          <w:rFonts w:hint="eastAsia"/>
        </w:rPr>
        <w:t>突发自然灾害事故现场的交通运输保障由当地交警队配合，优先运送处置事故灾难所需物资、设备设施、工具、抢险救援人员和受到危害的人员，依法对事故现场进行交通管制，保障抢险道路的畅通，确保救援物资、器材和救援人员运送及时到位</w:t>
      </w:r>
      <w:r>
        <w:t>。</w:t>
      </w:r>
    </w:p>
    <w:p>
      <w:pPr>
        <w:pStyle w:val="30"/>
        <w:rPr>
          <w:rFonts w:hint="eastAsia"/>
        </w:rPr>
      </w:pPr>
      <w:bookmarkStart w:id="63" w:name="_Toc24240"/>
      <w:r>
        <w:rPr>
          <w:rFonts w:hint="eastAsia"/>
        </w:rPr>
        <w:t>6</w:t>
      </w:r>
      <w:r>
        <w:t>.</w:t>
      </w:r>
      <w:r>
        <w:rPr>
          <w:rFonts w:hint="eastAsia"/>
          <w:lang w:val="en-US" w:eastAsia="zh-CN"/>
        </w:rPr>
        <w:t>7</w:t>
      </w:r>
      <w:r>
        <w:t xml:space="preserve"> 治安保障</w:t>
      </w:r>
      <w:bookmarkEnd w:id="63"/>
    </w:p>
    <w:p>
      <w:pPr>
        <w:ind w:firstLine="510"/>
      </w:pPr>
      <w:r>
        <w:t>由</w:t>
      </w:r>
      <w:r>
        <w:rPr>
          <w:rFonts w:hint="eastAsia"/>
          <w:lang w:val="en-US" w:eastAsia="zh-CN"/>
        </w:rPr>
        <w:t>警戒疏散组</w:t>
      </w:r>
      <w:r>
        <w:t>协调</w:t>
      </w:r>
      <w:r>
        <w:rPr>
          <w:rFonts w:hint="eastAsia"/>
          <w:lang w:val="en-US" w:eastAsia="zh-CN"/>
        </w:rPr>
        <w:t>当地</w:t>
      </w:r>
      <w:r>
        <w:t>派出所负责组织事故现场治安警戒和治安管理，加强对重点区域、重点场所、重点人群、重要物资设备的防范保护，维护现场秩序，及时疏散群众，依法严厉打击违法犯罪活动。必要时，依法采取有效管制措施，控制事态，维护社会秩序。发动和组织群众开展群防联防，协助做好治安工作。</w:t>
      </w:r>
      <w:r>
        <w:br w:type="page"/>
      </w:r>
    </w:p>
    <w:p>
      <w:pPr>
        <w:pStyle w:val="2"/>
        <w:rPr>
          <w:rFonts w:hint="eastAsia"/>
        </w:rPr>
      </w:pPr>
      <w:bookmarkStart w:id="64" w:name="_Toc22127"/>
      <w:r>
        <w:rPr>
          <w:rFonts w:hint="eastAsia"/>
        </w:rPr>
        <w:t>附件</w:t>
      </w:r>
      <w:bookmarkEnd w:id="64"/>
    </w:p>
    <w:p>
      <w:pPr>
        <w:pStyle w:val="30"/>
        <w:rPr>
          <w:rFonts w:hint="eastAsia"/>
        </w:rPr>
      </w:pPr>
      <w:bookmarkStart w:id="65" w:name="_Toc1994"/>
      <w:r>
        <w:rPr>
          <w:rFonts w:hint="eastAsia"/>
        </w:rPr>
        <w:t>附件1：化工园区</w:t>
      </w:r>
      <w:r>
        <w:rPr>
          <w:rFonts w:hint="eastAsia"/>
          <w:lang w:val="en-US" w:eastAsia="zh-CN"/>
        </w:rPr>
        <w:t>平面</w:t>
      </w:r>
      <w:r>
        <w:rPr>
          <w:rFonts w:hint="eastAsia"/>
        </w:rPr>
        <w:t>图</w:t>
      </w:r>
      <w:bookmarkEnd w:id="65"/>
    </w:p>
    <w:p>
      <w:pPr>
        <w:pStyle w:val="30"/>
        <w:outlineLvl w:val="9"/>
        <w:rPr>
          <w:rFonts w:hint="eastAsia"/>
        </w:rPr>
      </w:pPr>
      <w:r>
        <w:drawing>
          <wp:inline distT="0" distB="0" distL="114300" distR="114300">
            <wp:extent cx="6108065" cy="4319905"/>
            <wp:effectExtent l="0" t="0" r="63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6"/>
                    <a:stretch>
                      <a:fillRect/>
                    </a:stretch>
                  </pic:blipFill>
                  <pic:spPr>
                    <a:xfrm>
                      <a:off x="0" y="0"/>
                      <a:ext cx="6108065" cy="4319905"/>
                    </a:xfrm>
                    <a:prstGeom prst="rect">
                      <a:avLst/>
                    </a:prstGeom>
                    <a:noFill/>
                    <a:ln w="9525">
                      <a:noFill/>
                    </a:ln>
                  </pic:spPr>
                </pic:pic>
              </a:graphicData>
            </a:graphic>
          </wp:inline>
        </w:drawing>
      </w:r>
      <w:r>
        <w:rPr>
          <w:rFonts w:hint="eastAsia"/>
        </w:rPr>
        <w:br w:type="page"/>
      </w:r>
    </w:p>
    <w:p>
      <w:pPr>
        <w:pStyle w:val="30"/>
        <w:rPr>
          <w:rFonts w:hint="eastAsia"/>
        </w:rPr>
      </w:pPr>
      <w:bookmarkStart w:id="66" w:name="_Toc32132"/>
      <w:bookmarkStart w:id="67" w:name="_Toc17894"/>
      <w:r>
        <w:rPr>
          <w:rFonts w:hint="eastAsia"/>
        </w:rPr>
        <w:t>附件2：园区“两重点一重大”企业分布情况</w:t>
      </w:r>
      <w:bookmarkEnd w:id="66"/>
      <w:bookmarkEnd w:id="67"/>
    </w:p>
    <w:p>
      <w:pPr>
        <w:ind w:left="146" w:firstLine="510"/>
      </w:pPr>
      <w:r>
        <w:rPr>
          <w:rFonts w:hint="eastAsia"/>
        </w:rPr>
        <w:t>根据园区各企业提供的相关资料对化工园区现有企业进行辨识，园区企业涉及“两重点，一重大”的情况详见下表</w:t>
      </w:r>
      <w:r>
        <w:t>。</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3119"/>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2261"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重大危险源</w:t>
            </w:r>
          </w:p>
        </w:tc>
        <w:tc>
          <w:tcPr>
            <w:tcW w:w="1659"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重点监管危险化工工艺</w:t>
            </w:r>
          </w:p>
        </w:tc>
        <w:tc>
          <w:tcPr>
            <w:tcW w:w="1079"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重点监管危险化学品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中石油云南石化有限公司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一级（9个）：原油罐组（一）、原油罐组（二）、汽油罐组（一）、汽油罐组（二）、汽油罐组（三）、压力罐组（二）、压力罐组（三）、压力罐组（四）、压力罐组（五）</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二级（4个）：重油催化裂化联合装置、轻油罐组（二）、芳烃罐组、压力罐组（一）</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三级（5个）：连续重整-芳烃联合装置、硫磺回收联合装置、柴油罐组（一）、柴油罐组（三）、异构化汽油罐组</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12个）：常减压蒸馏联合装置、蜡油加氢裂化装置、渣油加氢脱硫装置、制氢联合装置、加氢联合装置、延迟焦化装置、轻油罐组（一）、轻油罐组（三）、柴油加氢罐组、柴油罐组（二）、航煤产品罐组、压力罐组（六）</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裂化工艺（2个）：重油催化裂化装置、延迟焦化装置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9个）：渣油加氢脱硫装置、蜡油加氢裂化装置、联合制氢装置（原料加氢精制单元）、连续重整装置的预加氢单元、芳烃分离装置中的C6加氢单元、汽油加氢装置、航煤加氢装置、汽柴油改质装置、直柴加氢精制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氧化工艺（1个）：硫磺回收装置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原油、石脑油、液化石油气、硫化氢、汽油、苯、甲苯、乙烷、丙烯、甲烷、乙烯、丙烯、氨、二氧化硫、甲醇、MTBE、乙炔、一氧化碳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国家管网集团西南管道有限公司安宁首站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一级（1个）：</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安宁首站汽油罐区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安宁首站柴油罐区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安宁首站航空煤油罐区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工艺设备区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ascii="宋体" w:hAnsi="Times New Roman" w:eastAsia="宋体" w:cs="Times New Roman"/>
                <w:b/>
                <w:bCs/>
                <w:kern w:val="2"/>
                <w:sz w:val="21"/>
                <w:szCs w:val="24"/>
                <w:lang w:val="en-US" w:eastAsia="zh-CN" w:bidi="ar-SA"/>
              </w:rPr>
              <w:t>中石油西北销售云南分公司安宁地付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一级（1个）：油罐区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云南天安化工有限公司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三级（2个）：氨合成生产单元、双氧水生产单元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四级（1个）：甲醇储罐单元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一级（2个）：常压氨罐储存单元、液氨球罐储存单元</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二级（1个）：双氧水产品罐区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新型煤化工工艺（1个）：煤气化装置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合成氨工艺（1个）：合成氨装置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加氢工艺（1个）：蒽醌法双氧水制备装置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过氧化工艺（1个）：蒽醌法双氧水制备装置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氨、硫化氢、甲醇、一氧化碳、氢气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云南云天化石化有限公司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一级（3个）：丙烯</w:t>
            </w:r>
            <w:r>
              <w:rPr>
                <w:rFonts w:ascii="宋体" w:hAnsi="Times New Roman" w:eastAsia="宋体" w:cs="Times New Roman"/>
                <w:kern w:val="2"/>
                <w:sz w:val="21"/>
                <w:szCs w:val="24"/>
                <w:lang w:val="en-US" w:eastAsia="zh-CN" w:bidi="ar-SA"/>
              </w:rPr>
              <w:t>及LPG储罐区单元、</w:t>
            </w:r>
            <w:r>
              <w:rPr>
                <w:rFonts w:hint="eastAsia" w:ascii="宋体" w:hAnsi="Times New Roman" w:eastAsia="宋体" w:cs="Times New Roman"/>
                <w:kern w:val="2"/>
                <w:sz w:val="21"/>
                <w:szCs w:val="24"/>
                <w:lang w:val="en-US" w:eastAsia="zh-CN" w:bidi="ar-SA"/>
              </w:rPr>
              <w:t>丁烷</w:t>
            </w:r>
            <w:r>
              <w:rPr>
                <w:rFonts w:ascii="宋体" w:hAnsi="Times New Roman" w:eastAsia="宋体" w:cs="Times New Roman"/>
                <w:kern w:val="2"/>
                <w:sz w:val="21"/>
                <w:szCs w:val="24"/>
                <w:lang w:val="en-US" w:eastAsia="zh-CN" w:bidi="ar-SA"/>
              </w:rPr>
              <w:t>及</w:t>
            </w:r>
            <w:r>
              <w:rPr>
                <w:rFonts w:hint="eastAsia" w:ascii="宋体" w:hAnsi="Times New Roman" w:eastAsia="宋体" w:cs="Times New Roman"/>
                <w:kern w:val="2"/>
                <w:sz w:val="21"/>
                <w:szCs w:val="24"/>
                <w:lang w:val="en-US" w:eastAsia="zh-CN" w:bidi="ar-SA"/>
              </w:rPr>
              <w:t>丙烷</w:t>
            </w:r>
            <w:r>
              <w:rPr>
                <w:rFonts w:ascii="宋体" w:hAnsi="Times New Roman" w:eastAsia="宋体" w:cs="Times New Roman"/>
                <w:kern w:val="2"/>
                <w:sz w:val="21"/>
                <w:szCs w:val="24"/>
                <w:lang w:val="en-US" w:eastAsia="zh-CN" w:bidi="ar-SA"/>
              </w:rPr>
              <w:t>储罐区单元、</w:t>
            </w:r>
            <w:r>
              <w:rPr>
                <w:rFonts w:hint="eastAsia" w:ascii="宋体" w:hAnsi="Times New Roman" w:eastAsia="宋体" w:cs="Times New Roman"/>
                <w:kern w:val="2"/>
                <w:sz w:val="21"/>
                <w:szCs w:val="24"/>
                <w:lang w:val="en-US" w:eastAsia="zh-CN" w:bidi="ar-SA"/>
              </w:rPr>
              <w:t>液氨</w:t>
            </w:r>
            <w:r>
              <w:rPr>
                <w:rFonts w:ascii="宋体" w:hAnsi="Times New Roman" w:eastAsia="宋体" w:cs="Times New Roman"/>
                <w:kern w:val="2"/>
                <w:sz w:val="21"/>
                <w:szCs w:val="24"/>
                <w:lang w:val="en-US" w:eastAsia="zh-CN" w:bidi="ar-SA"/>
              </w:rPr>
              <w:t>储罐区单元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三级（1个）：聚丙烯</w:t>
            </w:r>
            <w:r>
              <w:rPr>
                <w:rFonts w:ascii="宋体" w:hAnsi="Times New Roman" w:eastAsia="宋体" w:cs="Times New Roman"/>
                <w:kern w:val="2"/>
                <w:sz w:val="21"/>
                <w:szCs w:val="24"/>
                <w:lang w:val="en-US" w:eastAsia="zh-CN" w:bidi="ar-SA"/>
              </w:rPr>
              <w:t>精制反</w:t>
            </w:r>
            <w:r>
              <w:rPr>
                <w:rFonts w:hint="eastAsia" w:ascii="宋体" w:hAnsi="Times New Roman" w:eastAsia="宋体" w:cs="Times New Roman"/>
                <w:kern w:val="2"/>
                <w:sz w:val="21"/>
                <w:szCs w:val="24"/>
                <w:lang w:val="en-US" w:eastAsia="zh-CN" w:bidi="ar-SA"/>
              </w:rPr>
              <w:t>应尾气</w:t>
            </w:r>
            <w:r>
              <w:rPr>
                <w:rFonts w:ascii="宋体" w:hAnsi="Times New Roman" w:eastAsia="宋体" w:cs="Times New Roman"/>
                <w:kern w:val="2"/>
                <w:sz w:val="21"/>
                <w:szCs w:val="24"/>
                <w:lang w:val="en-US" w:eastAsia="zh-CN" w:bidi="ar-SA"/>
              </w:rPr>
              <w:t>回收单元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四级（1个）：乙烯</w:t>
            </w:r>
            <w:r>
              <w:rPr>
                <w:rFonts w:ascii="宋体" w:hAnsi="Times New Roman" w:eastAsia="宋体" w:cs="Times New Roman"/>
                <w:kern w:val="2"/>
                <w:sz w:val="21"/>
                <w:szCs w:val="24"/>
                <w:lang w:val="en-US" w:eastAsia="zh-CN" w:bidi="ar-SA"/>
              </w:rPr>
              <w:t>储罐区单元</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聚合反应（1个）：丙烯装置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加氢工艺（1个）：异辛烷装置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烷基化工艺（1个）：异辛烷装置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氨、硫化氢、氢气、液化石油气、丙烯、一氧化碳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ascii="宋体" w:hAnsi="Times New Roman" w:eastAsia="宋体" w:cs="Times New Roman"/>
                <w:b/>
                <w:bCs/>
                <w:kern w:val="2"/>
                <w:sz w:val="21"/>
                <w:szCs w:val="24"/>
                <w:lang w:val="en-US" w:eastAsia="zh-CN" w:bidi="ar-SA"/>
              </w:rPr>
              <w:t>云南氟磷电子科技有限公司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一级（5个）：</w:t>
            </w:r>
            <w:r>
              <w:rPr>
                <w:rFonts w:ascii="宋体" w:hAnsi="Times New Roman" w:eastAsia="宋体" w:cs="Times New Roman"/>
                <w:kern w:val="2"/>
                <w:sz w:val="21"/>
                <w:szCs w:val="24"/>
                <w:lang w:val="en-US" w:eastAsia="zh-CN" w:bidi="ar-SA"/>
              </w:rPr>
              <w:t>罐区、生产车间、包装车间、</w:t>
            </w:r>
            <w:r>
              <w:rPr>
                <w:rFonts w:hint="eastAsia" w:ascii="宋体" w:hAnsi="Times New Roman" w:eastAsia="宋体" w:cs="Times New Roman"/>
                <w:kern w:val="2"/>
                <w:sz w:val="21"/>
                <w:szCs w:val="24"/>
                <w:lang w:val="en-US" w:eastAsia="zh-CN" w:bidi="ar-SA"/>
              </w:rPr>
              <w:t>六氟磷酸锂制气合成车间、六氟磷酸锂结晶车间</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四级（1个）：五氯化磷仓库</w:t>
            </w:r>
          </w:p>
        </w:tc>
        <w:tc>
          <w:tcPr>
            <w:tcW w:w="1659"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氟化工艺（</w:t>
            </w:r>
            <w:r>
              <w:rPr>
                <w:rFonts w:hint="eastAsia" w:ascii="宋体" w:hAnsi="Times New Roman" w:eastAsia="宋体" w:cs="Times New Roman"/>
                <w:kern w:val="2"/>
                <w:sz w:val="21"/>
                <w:szCs w:val="24"/>
                <w:lang w:val="en-US" w:eastAsia="zh-CN" w:bidi="ar-SA"/>
              </w:rPr>
              <w:t>2个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五氟化磷制备、六氟磷酸锂制备</w:t>
            </w:r>
          </w:p>
        </w:tc>
        <w:tc>
          <w:tcPr>
            <w:tcW w:w="1079"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氟化氢、氢氟酸、天然气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云南祥丰金麦化工有限公司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一级（1个）：氨罐区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多氟多（昆明）科技开发有限公司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一级（2个）：无水氟化氢生产装置、无水氟化氢储罐区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氟化工艺（1个）：氟化氢气体与氢氧化铝反应制备氟化铝</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氟化氢、天然气、煤气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滇中梅塞尔气体产品有限公司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中国石油天然气股份有限公司云南昆明销售分公司草禄加油站副站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云南瓮福祥丰氟硅新材料有限公司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一级（3个）：无水氟化氢储罐区、无水氟化氢生产装置区、氢氟酸生产装置区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氢氟酸储罐区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氟化氢、氢氟酸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default" w:ascii="宋体" w:hAnsi="Times New Roman" w:eastAsia="宋体" w:cs="Times New Roman"/>
                <w:b/>
                <w:bCs/>
                <w:kern w:val="2"/>
                <w:sz w:val="21"/>
                <w:szCs w:val="24"/>
                <w:lang w:val="en-US" w:eastAsia="zh-CN" w:bidi="ar-SA"/>
              </w:rPr>
              <w:t>云南祥丰石化有限公司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一级（1个）：液氨球罐区</w:t>
            </w:r>
          </w:p>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一期合成氨装置、二期合成氨装置</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合成氨工艺（1个）：合成氨装置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氨、硫化氢、甲醇、一氧化碳、氢气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default" w:ascii="宋体" w:hAnsi="Times New Roman" w:eastAsia="宋体" w:cs="Times New Roman"/>
                <w:b/>
                <w:bCs/>
                <w:kern w:val="2"/>
                <w:sz w:val="21"/>
                <w:szCs w:val="24"/>
                <w:lang w:val="en-US" w:eastAsia="zh-CN" w:bidi="ar-SA"/>
              </w:rPr>
              <w:t>云南祥丰同辉新材料科技有限公司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超纯氨生产装置</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云南裕能新能源电池材料有限公司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三级（2个）：</w:t>
            </w:r>
            <w:r>
              <w:rPr>
                <w:rFonts w:ascii="宋体" w:hAnsi="宋体" w:eastAsia="宋体" w:cs="Times New Roman"/>
                <w:kern w:val="2"/>
                <w:sz w:val="21"/>
                <w:szCs w:val="21"/>
                <w:lang w:val="en-US" w:eastAsia="zh-CN" w:bidi="ar-SA"/>
              </w:rPr>
              <w:t>双氧水</w:t>
            </w:r>
            <w:r>
              <w:rPr>
                <w:rFonts w:hint="eastAsia" w:ascii="宋体" w:hAnsi="宋体" w:eastAsia="宋体" w:cs="Times New Roman"/>
                <w:kern w:val="2"/>
                <w:sz w:val="21"/>
                <w:szCs w:val="21"/>
                <w:lang w:val="en-US" w:eastAsia="zh-CN" w:bidi="ar-SA"/>
              </w:rPr>
              <w:t>储罐</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r>
    </w:tbl>
    <w:p>
      <w:pPr>
        <w:ind w:firstLine="510"/>
      </w:pPr>
    </w:p>
    <w:p>
      <w:pPr>
        <w:ind w:firstLine="510"/>
      </w:pPr>
    </w:p>
    <w:p>
      <w:pPr>
        <w:ind w:firstLine="510"/>
        <w:sectPr>
          <w:headerReference r:id="rId12" w:type="default"/>
          <w:footerReference r:id="rId13" w:type="default"/>
          <w:pgSz w:w="11907" w:h="16840"/>
          <w:pgMar w:top="1418" w:right="1134" w:bottom="1134" w:left="1361" w:header="851" w:footer="992" w:gutter="227"/>
          <w:pgNumType w:start="1"/>
          <w:cols w:space="425" w:num="1"/>
          <w:docGrid w:type="linesAndChars" w:linePitch="381" w:charSpace="-5092"/>
        </w:sectPr>
      </w:pPr>
    </w:p>
    <w:p>
      <w:pPr>
        <w:pStyle w:val="30"/>
        <w:rPr>
          <w:rFonts w:hint="eastAsia"/>
        </w:rPr>
      </w:pPr>
      <w:bookmarkStart w:id="68" w:name="_Toc315"/>
      <w:r>
        <w:rPr>
          <w:rFonts w:hint="eastAsia"/>
        </w:rPr>
        <w:t>附件3：应急预案体系衔接</w:t>
      </w:r>
      <w:bookmarkEnd w:id="68"/>
    </w:p>
    <w:p>
      <w:pPr>
        <w:ind w:firstLine="0" w:firstLineChars="0"/>
        <w:jc w:val="center"/>
      </w:pPr>
      <w:r>
        <w:drawing>
          <wp:inline distT="0" distB="0" distL="114300" distR="114300">
            <wp:extent cx="5826760" cy="341439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5826760" cy="3414395"/>
                    </a:xfrm>
                    <a:prstGeom prst="rect">
                      <a:avLst/>
                    </a:prstGeom>
                    <a:noFill/>
                    <a:ln>
                      <a:noFill/>
                    </a:ln>
                  </pic:spPr>
                </pic:pic>
              </a:graphicData>
            </a:graphic>
          </wp:inline>
        </w:drawing>
      </w:r>
    </w:p>
    <w:p>
      <w:pPr>
        <w:ind w:firstLine="510"/>
      </w:pPr>
    </w:p>
    <w:p>
      <w:pPr>
        <w:ind w:firstLine="510"/>
      </w:pPr>
    </w:p>
    <w:p>
      <w:pPr>
        <w:ind w:firstLine="510"/>
      </w:pPr>
    </w:p>
    <w:sectPr>
      <w:pgSz w:w="11907" w:h="16840"/>
      <w:pgMar w:top="1418" w:right="1134" w:bottom="1134" w:left="1361" w:header="851" w:footer="992" w:gutter="227"/>
      <w:cols w:space="425" w:num="1"/>
      <w:docGrid w:type="linesAndChars" w:linePitch="381" w:charSpace="-50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spacing w:before="120" w:beforeLines="50" w:line="360" w:lineRule="auto"/>
      <w:ind w:firstLine="0" w:firstLineChars="0"/>
      <w:jc w:val="center"/>
      <w:rPr>
        <w:sz w:val="21"/>
        <w:szCs w:val="21"/>
      </w:rPr>
    </w:pPr>
    <w:r>
      <w:rPr>
        <w:rFonts w:hint="eastAsia"/>
        <w:sz w:val="21"/>
        <w:szCs w:val="21"/>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r>
      <w:rPr>
        <w:rFonts w:hint="eastAsia"/>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w:t>
    </w:r>
    <w:r>
      <w:rPr>
        <w:rFonts w:hint="eastAsia" w:ascii="宋体" w:hAnsi="宋体" w:cs="Times New Roman"/>
        <w:szCs w:val="21"/>
        <w:lang w:eastAsia="zh-CN"/>
      </w:rPr>
      <w:t>雷电灾害专项应急预案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w:t>
    </w:r>
    <w:r>
      <w:rPr>
        <w:rFonts w:hint="eastAsia" w:ascii="宋体" w:hAnsi="宋体" w:cs="Times New Roman"/>
        <w:szCs w:val="21"/>
        <w:lang w:eastAsia="zh-CN"/>
      </w:rPr>
      <w:t>雷电灾害专项应急预案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w:t>
    </w:r>
    <w:r>
      <w:rPr>
        <w:rFonts w:hint="eastAsia" w:ascii="宋体" w:hAnsi="宋体" w:cs="Times New Roman"/>
        <w:szCs w:val="21"/>
        <w:lang w:eastAsia="zh-CN"/>
      </w:rPr>
      <w:t>雷电灾害专项应急预案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21FD2"/>
    <w:multiLevelType w:val="multilevel"/>
    <w:tmpl w:val="45E21FD2"/>
    <w:lvl w:ilvl="0" w:tentative="0">
      <w:start w:val="1"/>
      <w:numFmt w:val="decimal"/>
      <w:lvlText w:val="（%1）"/>
      <w:lvlJc w:val="left"/>
      <w:pPr>
        <w:ind w:left="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5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7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H">
    <w15:presenceInfo w15:providerId="None" w15:userId="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255"/>
  <w:drawingGridVerticalSpacing w:val="38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2D"/>
    <w:rsid w:val="0000170F"/>
    <w:rsid w:val="00026FD1"/>
    <w:rsid w:val="00073FC4"/>
    <w:rsid w:val="00080EC9"/>
    <w:rsid w:val="000840DE"/>
    <w:rsid w:val="000E21A2"/>
    <w:rsid w:val="000E7DF7"/>
    <w:rsid w:val="001418C6"/>
    <w:rsid w:val="001471C9"/>
    <w:rsid w:val="00152DAD"/>
    <w:rsid w:val="001651D0"/>
    <w:rsid w:val="00174E3B"/>
    <w:rsid w:val="0018582E"/>
    <w:rsid w:val="00194330"/>
    <w:rsid w:val="00196DC7"/>
    <w:rsid w:val="001B1F14"/>
    <w:rsid w:val="001C5779"/>
    <w:rsid w:val="001C7601"/>
    <w:rsid w:val="001E2796"/>
    <w:rsid w:val="00200A6F"/>
    <w:rsid w:val="0021113D"/>
    <w:rsid w:val="00254CBE"/>
    <w:rsid w:val="00265D8F"/>
    <w:rsid w:val="002806E0"/>
    <w:rsid w:val="00283470"/>
    <w:rsid w:val="002A2719"/>
    <w:rsid w:val="002B082E"/>
    <w:rsid w:val="002B1268"/>
    <w:rsid w:val="002B5780"/>
    <w:rsid w:val="002F486C"/>
    <w:rsid w:val="002F61DB"/>
    <w:rsid w:val="00324686"/>
    <w:rsid w:val="00326BF6"/>
    <w:rsid w:val="00335155"/>
    <w:rsid w:val="0035169C"/>
    <w:rsid w:val="00357610"/>
    <w:rsid w:val="0039050C"/>
    <w:rsid w:val="003C3CE3"/>
    <w:rsid w:val="003D0DB7"/>
    <w:rsid w:val="003E4104"/>
    <w:rsid w:val="003F7AF6"/>
    <w:rsid w:val="0040154C"/>
    <w:rsid w:val="00412AF3"/>
    <w:rsid w:val="004433C4"/>
    <w:rsid w:val="004469B2"/>
    <w:rsid w:val="004715D4"/>
    <w:rsid w:val="004717AD"/>
    <w:rsid w:val="004730FD"/>
    <w:rsid w:val="004734E3"/>
    <w:rsid w:val="0049409F"/>
    <w:rsid w:val="004A2FB9"/>
    <w:rsid w:val="004C2987"/>
    <w:rsid w:val="004C540F"/>
    <w:rsid w:val="004D789E"/>
    <w:rsid w:val="004E1E76"/>
    <w:rsid w:val="00551EE5"/>
    <w:rsid w:val="00554C49"/>
    <w:rsid w:val="00593FC3"/>
    <w:rsid w:val="005C2F24"/>
    <w:rsid w:val="005C6AD6"/>
    <w:rsid w:val="005D688B"/>
    <w:rsid w:val="00607B32"/>
    <w:rsid w:val="00607E07"/>
    <w:rsid w:val="00616692"/>
    <w:rsid w:val="006219D3"/>
    <w:rsid w:val="00631113"/>
    <w:rsid w:val="00641ECB"/>
    <w:rsid w:val="006461C5"/>
    <w:rsid w:val="0064659F"/>
    <w:rsid w:val="00685546"/>
    <w:rsid w:val="00685A31"/>
    <w:rsid w:val="00687B1B"/>
    <w:rsid w:val="00697194"/>
    <w:rsid w:val="006A298C"/>
    <w:rsid w:val="006B7CEE"/>
    <w:rsid w:val="006C406D"/>
    <w:rsid w:val="006D1E58"/>
    <w:rsid w:val="006E1767"/>
    <w:rsid w:val="006E21F6"/>
    <w:rsid w:val="006E7E8B"/>
    <w:rsid w:val="006F5F42"/>
    <w:rsid w:val="00705203"/>
    <w:rsid w:val="00713D0D"/>
    <w:rsid w:val="00725648"/>
    <w:rsid w:val="00730E36"/>
    <w:rsid w:val="00741083"/>
    <w:rsid w:val="007428FA"/>
    <w:rsid w:val="00773E6A"/>
    <w:rsid w:val="00781B21"/>
    <w:rsid w:val="007A0C06"/>
    <w:rsid w:val="007B3EBD"/>
    <w:rsid w:val="007C47F5"/>
    <w:rsid w:val="007D760D"/>
    <w:rsid w:val="007F1678"/>
    <w:rsid w:val="007F63E7"/>
    <w:rsid w:val="008063DA"/>
    <w:rsid w:val="008101BC"/>
    <w:rsid w:val="0084615C"/>
    <w:rsid w:val="008575D4"/>
    <w:rsid w:val="008778D4"/>
    <w:rsid w:val="0088252D"/>
    <w:rsid w:val="0088588B"/>
    <w:rsid w:val="008862BC"/>
    <w:rsid w:val="008D44E3"/>
    <w:rsid w:val="008E409F"/>
    <w:rsid w:val="00901345"/>
    <w:rsid w:val="00914A67"/>
    <w:rsid w:val="00915EAF"/>
    <w:rsid w:val="00916DB9"/>
    <w:rsid w:val="0097018E"/>
    <w:rsid w:val="009714EB"/>
    <w:rsid w:val="00981D80"/>
    <w:rsid w:val="009955E4"/>
    <w:rsid w:val="009C227C"/>
    <w:rsid w:val="009C28BB"/>
    <w:rsid w:val="009D7251"/>
    <w:rsid w:val="009F19E7"/>
    <w:rsid w:val="00A02CD4"/>
    <w:rsid w:val="00A030F6"/>
    <w:rsid w:val="00A232AF"/>
    <w:rsid w:val="00A35C37"/>
    <w:rsid w:val="00A576BC"/>
    <w:rsid w:val="00A604C2"/>
    <w:rsid w:val="00A616D2"/>
    <w:rsid w:val="00A65F5F"/>
    <w:rsid w:val="00AA623B"/>
    <w:rsid w:val="00AD29C2"/>
    <w:rsid w:val="00AD46DE"/>
    <w:rsid w:val="00B13B10"/>
    <w:rsid w:val="00B207BB"/>
    <w:rsid w:val="00B216E4"/>
    <w:rsid w:val="00B45B6C"/>
    <w:rsid w:val="00B57AEF"/>
    <w:rsid w:val="00B61C5C"/>
    <w:rsid w:val="00B7187D"/>
    <w:rsid w:val="00B93383"/>
    <w:rsid w:val="00B9395F"/>
    <w:rsid w:val="00BA0ACC"/>
    <w:rsid w:val="00BC5A00"/>
    <w:rsid w:val="00BE5615"/>
    <w:rsid w:val="00BF0282"/>
    <w:rsid w:val="00BF6431"/>
    <w:rsid w:val="00C521E1"/>
    <w:rsid w:val="00C56890"/>
    <w:rsid w:val="00C7473F"/>
    <w:rsid w:val="00C846AA"/>
    <w:rsid w:val="00C9776E"/>
    <w:rsid w:val="00CA0D54"/>
    <w:rsid w:val="00CC4A20"/>
    <w:rsid w:val="00CD0E95"/>
    <w:rsid w:val="00CE353D"/>
    <w:rsid w:val="00CF4F7A"/>
    <w:rsid w:val="00D00D09"/>
    <w:rsid w:val="00D0429D"/>
    <w:rsid w:val="00D11CBB"/>
    <w:rsid w:val="00D12526"/>
    <w:rsid w:val="00D41867"/>
    <w:rsid w:val="00D5458F"/>
    <w:rsid w:val="00D67C17"/>
    <w:rsid w:val="00D80224"/>
    <w:rsid w:val="00D83F73"/>
    <w:rsid w:val="00DA6DC5"/>
    <w:rsid w:val="00DB1BA2"/>
    <w:rsid w:val="00DB4F0E"/>
    <w:rsid w:val="00DB66EC"/>
    <w:rsid w:val="00DC1412"/>
    <w:rsid w:val="00E24875"/>
    <w:rsid w:val="00E4069A"/>
    <w:rsid w:val="00E5594A"/>
    <w:rsid w:val="00E767C7"/>
    <w:rsid w:val="00E8001A"/>
    <w:rsid w:val="00E83E0A"/>
    <w:rsid w:val="00E90626"/>
    <w:rsid w:val="00E91042"/>
    <w:rsid w:val="00EB5A9D"/>
    <w:rsid w:val="00EF4A0F"/>
    <w:rsid w:val="00EF67CA"/>
    <w:rsid w:val="00EF6D87"/>
    <w:rsid w:val="00F71A91"/>
    <w:rsid w:val="00F75BA5"/>
    <w:rsid w:val="00F93F15"/>
    <w:rsid w:val="00F94D67"/>
    <w:rsid w:val="00FA6169"/>
    <w:rsid w:val="00FB51DA"/>
    <w:rsid w:val="00FD1739"/>
    <w:rsid w:val="1E070424"/>
    <w:rsid w:val="37076A9B"/>
    <w:rsid w:val="3B116FA7"/>
    <w:rsid w:val="3BD00664"/>
    <w:rsid w:val="3FAF6D79"/>
    <w:rsid w:val="4A023040"/>
    <w:rsid w:val="59B557C8"/>
    <w:rsid w:val="634332C3"/>
    <w:rsid w:val="63717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宋体"/>
      <w:iCs/>
      <w:kern w:val="2"/>
      <w:sz w:val="28"/>
      <w:lang w:val="en-US" w:eastAsia="zh-CN" w:bidi="ar-SA"/>
      <w14:ligatures w14:val="standardContextual"/>
    </w:rPr>
  </w:style>
  <w:style w:type="paragraph" w:styleId="2">
    <w:name w:val="heading 1"/>
    <w:basedOn w:val="3"/>
    <w:next w:val="4"/>
    <w:link w:val="27"/>
    <w:qFormat/>
    <w:uiPriority w:val="0"/>
    <w:pPr>
      <w:keepNext/>
      <w:keepLines/>
      <w:snapToGrid/>
      <w:spacing w:after="0"/>
      <w:contextualSpacing w:val="0"/>
      <w:outlineLvl w:val="0"/>
    </w:pPr>
    <w:rPr>
      <w:rFonts w:eastAsia="黑体" w:asciiTheme="minorHAnsi" w:hAnsiTheme="minorHAnsi" w:cstheme="minorBidi"/>
      <w:b w:val="0"/>
      <w:spacing w:val="0"/>
      <w:kern w:val="44"/>
      <w:sz w:val="32"/>
      <w:szCs w:val="44"/>
    </w:rPr>
  </w:style>
  <w:style w:type="paragraph" w:styleId="4">
    <w:name w:val="heading 2"/>
    <w:basedOn w:val="1"/>
    <w:next w:val="1"/>
    <w:link w:val="2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3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8"/>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Cs w:val="28"/>
    </w:rPr>
  </w:style>
  <w:style w:type="paragraph" w:styleId="7">
    <w:name w:val="heading 5"/>
    <w:basedOn w:val="1"/>
    <w:next w:val="1"/>
    <w:link w:val="39"/>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8">
    <w:name w:val="heading 6"/>
    <w:basedOn w:val="1"/>
    <w:next w:val="1"/>
    <w:link w:val="40"/>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4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2"/>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3"/>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28"/>
    <w:qFormat/>
    <w:uiPriority w:val="10"/>
    <w:pPr>
      <w:spacing w:after="80"/>
      <w:ind w:firstLine="0" w:firstLineChars="0"/>
      <w:contextualSpacing/>
      <w:jc w:val="center"/>
    </w:pPr>
    <w:rPr>
      <w:rFonts w:asciiTheme="majorHAnsi" w:hAnsiTheme="majorHAnsi" w:cstheme="majorBidi"/>
      <w:b/>
      <w:spacing w:val="-10"/>
      <w:kern w:val="28"/>
      <w:sz w:val="44"/>
      <w:szCs w:val="56"/>
    </w:rPr>
  </w:style>
  <w:style w:type="paragraph" w:styleId="12">
    <w:name w:val="annotation text"/>
    <w:basedOn w:val="1"/>
    <w:link w:val="54"/>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footer"/>
    <w:basedOn w:val="1"/>
    <w:link w:val="53"/>
    <w:unhideWhenUsed/>
    <w:qFormat/>
    <w:uiPriority w:val="99"/>
    <w:pPr>
      <w:tabs>
        <w:tab w:val="center" w:pos="4153"/>
        <w:tab w:val="right" w:pos="8306"/>
      </w:tabs>
      <w:spacing w:line="240" w:lineRule="auto"/>
      <w:jc w:val="left"/>
    </w:pPr>
    <w:rPr>
      <w:sz w:val="18"/>
      <w:szCs w:val="18"/>
    </w:rPr>
  </w:style>
  <w:style w:type="paragraph" w:styleId="15">
    <w:name w:val="header"/>
    <w:basedOn w:val="1"/>
    <w:link w:val="52"/>
    <w:unhideWhenUsed/>
    <w:qFormat/>
    <w:uiPriority w:val="99"/>
    <w:pPr>
      <w:tabs>
        <w:tab w:val="center" w:pos="4153"/>
        <w:tab w:val="right" w:pos="8306"/>
      </w:tabs>
      <w:spacing w:line="240" w:lineRule="auto"/>
      <w:jc w:val="center"/>
    </w:pPr>
    <w:rPr>
      <w:sz w:val="18"/>
      <w:szCs w:val="18"/>
    </w:rPr>
  </w:style>
  <w:style w:type="paragraph" w:styleId="16">
    <w:name w:val="toc 1"/>
    <w:basedOn w:val="1"/>
    <w:next w:val="1"/>
    <w:unhideWhenUsed/>
    <w:qFormat/>
    <w:uiPriority w:val="39"/>
  </w:style>
  <w:style w:type="paragraph" w:styleId="17">
    <w:name w:val="Subtitle"/>
    <w:basedOn w:val="1"/>
    <w:next w:val="1"/>
    <w:link w:val="44"/>
    <w:qFormat/>
    <w:uiPriority w:val="11"/>
    <w:pPr>
      <w:jc w:val="left"/>
      <w:outlineLvl w:val="3"/>
    </w:pPr>
    <w:rPr>
      <w:rFonts w:cstheme="majorBidi"/>
      <w:b/>
      <w:color w:val="000000" w:themeColor="text1"/>
      <w:spacing w:val="15"/>
      <w:szCs w:val="28"/>
      <w14:textFill>
        <w14:solidFill>
          <w14:schemeClr w14:val="tx1"/>
        </w14:solidFill>
      </w14:textFill>
    </w:rPr>
  </w:style>
  <w:style w:type="paragraph" w:styleId="18">
    <w:name w:val="List"/>
    <w:basedOn w:val="1"/>
    <w:unhideWhenUsed/>
    <w:qFormat/>
    <w:uiPriority w:val="99"/>
    <w:pPr>
      <w:spacing w:line="360" w:lineRule="exact"/>
      <w:ind w:firstLine="0" w:firstLineChars="0"/>
      <w:jc w:val="center"/>
    </w:pPr>
    <w:rPr>
      <w:snapToGrid w:val="0"/>
      <w:sz w:val="21"/>
      <w:szCs w:val="28"/>
      <w:lang w:val="zh-CN"/>
    </w:rPr>
  </w:style>
  <w:style w:type="paragraph" w:styleId="19">
    <w:name w:val="toc 2"/>
    <w:basedOn w:val="1"/>
    <w:next w:val="1"/>
    <w:unhideWhenUsed/>
    <w:qFormat/>
    <w:uiPriority w:val="39"/>
    <w:pPr>
      <w:tabs>
        <w:tab w:val="right" w:leader="dot" w:pos="9175"/>
      </w:tabs>
      <w:ind w:left="510" w:leftChars="200" w:firstLine="430"/>
    </w:pPr>
    <w:rPr>
      <w:sz w:val="24"/>
      <w:szCs w:val="18"/>
    </w:r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21">
    <w:name w:val="annotation subject"/>
    <w:basedOn w:val="12"/>
    <w:next w:val="12"/>
    <w:link w:val="55"/>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467886"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customStyle="1" w:styleId="27">
    <w:name w:val="标题 1 字符"/>
    <w:basedOn w:val="24"/>
    <w:link w:val="2"/>
    <w:qFormat/>
    <w:uiPriority w:val="0"/>
    <w:rPr>
      <w:rFonts w:eastAsia="黑体" w:asciiTheme="minorHAnsi" w:hAnsiTheme="minorHAnsi" w:cstheme="minorBidi"/>
      <w:kern w:val="44"/>
      <w:sz w:val="32"/>
      <w:szCs w:val="44"/>
      <w:u w:val="none"/>
    </w:rPr>
  </w:style>
  <w:style w:type="character" w:customStyle="1" w:styleId="28">
    <w:name w:val="标题 字符"/>
    <w:basedOn w:val="24"/>
    <w:link w:val="3"/>
    <w:qFormat/>
    <w:uiPriority w:val="10"/>
    <w:rPr>
      <w:rFonts w:asciiTheme="majorHAnsi" w:hAnsiTheme="majorHAnsi" w:cstheme="majorBidi"/>
      <w:b/>
      <w:spacing w:val="-10"/>
      <w:kern w:val="28"/>
      <w:sz w:val="44"/>
      <w:szCs w:val="56"/>
      <w:u w:val="none"/>
    </w:rPr>
  </w:style>
  <w:style w:type="character" w:customStyle="1" w:styleId="29">
    <w:name w:val="标题 2 字符"/>
    <w:basedOn w:val="24"/>
    <w:link w:val="4"/>
    <w:qFormat/>
    <w:uiPriority w:val="9"/>
    <w:rPr>
      <w:rFonts w:asciiTheme="majorHAnsi" w:hAnsiTheme="majorHAnsi" w:eastAsiaTheme="majorEastAsia" w:cstheme="majorBidi"/>
      <w:color w:val="104862" w:themeColor="accent1" w:themeShade="BF"/>
      <w:sz w:val="40"/>
      <w:szCs w:val="40"/>
    </w:rPr>
  </w:style>
  <w:style w:type="paragraph" w:customStyle="1" w:styleId="30">
    <w:name w:val="标题2"/>
    <w:basedOn w:val="4"/>
    <w:next w:val="1"/>
    <w:link w:val="31"/>
    <w:qFormat/>
    <w:uiPriority w:val="0"/>
    <w:pPr>
      <w:adjustRightInd/>
      <w:snapToGrid/>
      <w:spacing w:before="0" w:after="0"/>
      <w:ind w:firstLine="0" w:firstLineChars="0"/>
      <w:jc w:val="left"/>
    </w:pPr>
    <w:rPr>
      <w:rFonts w:eastAsia="楷体"/>
      <w:bCs/>
      <w:color w:val="auto"/>
      <w:sz w:val="32"/>
      <w:szCs w:val="32"/>
    </w:rPr>
  </w:style>
  <w:style w:type="character" w:customStyle="1" w:styleId="31">
    <w:name w:val="标题2 字符"/>
    <w:basedOn w:val="29"/>
    <w:link w:val="30"/>
    <w:qFormat/>
    <w:uiPriority w:val="0"/>
    <w:rPr>
      <w:rFonts w:eastAsia="楷体" w:asciiTheme="majorHAnsi" w:hAnsiTheme="majorHAnsi" w:cstheme="majorBidi"/>
      <w:bCs/>
      <w:color w:val="104862" w:themeColor="accent1" w:themeShade="BF"/>
      <w:sz w:val="32"/>
      <w:szCs w:val="32"/>
      <w:u w:val="none"/>
    </w:rPr>
  </w:style>
  <w:style w:type="paragraph" w:customStyle="1" w:styleId="32">
    <w:name w:val="标题3"/>
    <w:basedOn w:val="5"/>
    <w:next w:val="1"/>
    <w:link w:val="33"/>
    <w:qFormat/>
    <w:uiPriority w:val="0"/>
    <w:pPr>
      <w:adjustRightInd/>
      <w:snapToGrid/>
      <w:spacing w:before="0" w:after="0"/>
      <w:jc w:val="left"/>
    </w:pPr>
    <w:rPr>
      <w:rFonts w:eastAsia="黑体" w:asciiTheme="minorHAnsi" w:hAnsiTheme="minorHAnsi" w:cstheme="minorBidi"/>
      <w:bCs/>
      <w:color w:val="auto"/>
      <w:sz w:val="30"/>
    </w:rPr>
  </w:style>
  <w:style w:type="character" w:customStyle="1" w:styleId="33">
    <w:name w:val="标题3 字符"/>
    <w:basedOn w:val="34"/>
    <w:link w:val="32"/>
    <w:qFormat/>
    <w:uiPriority w:val="0"/>
    <w:rPr>
      <w:rFonts w:eastAsia="黑体" w:asciiTheme="minorHAnsi" w:hAnsiTheme="minorHAnsi" w:cstheme="minorBidi"/>
      <w:bCs/>
      <w:color w:val="104862" w:themeColor="accent1" w:themeShade="BF"/>
      <w:sz w:val="30"/>
      <w:szCs w:val="32"/>
      <w:u w:val="none"/>
    </w:rPr>
  </w:style>
  <w:style w:type="character" w:customStyle="1" w:styleId="34">
    <w:name w:val="标题 3 字符"/>
    <w:basedOn w:val="24"/>
    <w:link w:val="5"/>
    <w:semiHidden/>
    <w:qFormat/>
    <w:uiPriority w:val="9"/>
    <w:rPr>
      <w:rFonts w:asciiTheme="majorHAnsi" w:hAnsiTheme="majorHAnsi" w:eastAsiaTheme="majorEastAsia" w:cstheme="majorBidi"/>
      <w:color w:val="104862" w:themeColor="accent1" w:themeShade="BF"/>
      <w:sz w:val="32"/>
      <w:szCs w:val="32"/>
    </w:rPr>
  </w:style>
  <w:style w:type="paragraph" w:styleId="35">
    <w:name w:val="No Spacing"/>
    <w:basedOn w:val="1"/>
    <w:qFormat/>
    <w:uiPriority w:val="1"/>
    <w:pPr>
      <w:adjustRightInd/>
      <w:snapToGrid/>
      <w:jc w:val="center"/>
    </w:pPr>
    <w:rPr>
      <w:b/>
      <w:sz w:val="24"/>
    </w:rPr>
  </w:style>
  <w:style w:type="paragraph" w:customStyle="1" w:styleId="36">
    <w:name w:val="样式1"/>
    <w:basedOn w:val="1"/>
    <w:link w:val="37"/>
    <w:qFormat/>
    <w:uiPriority w:val="0"/>
    <w:pPr>
      <w:snapToGrid/>
      <w:spacing w:line="240" w:lineRule="auto"/>
      <w:ind w:firstLine="0" w:firstLineChars="0"/>
    </w:pPr>
    <w:rPr>
      <w:kern w:val="0"/>
      <w:sz w:val="21"/>
    </w:rPr>
  </w:style>
  <w:style w:type="character" w:customStyle="1" w:styleId="37">
    <w:name w:val="样式1 字符"/>
    <w:basedOn w:val="24"/>
    <w:link w:val="36"/>
    <w:qFormat/>
    <w:uiPriority w:val="0"/>
    <w:rPr>
      <w:rFonts w:ascii="Times New Roman" w:hAnsi="Times New Roman" w:eastAsia="宋体" w:cs="Times New Roman"/>
      <w:kern w:val="0"/>
      <w:szCs w:val="20"/>
    </w:rPr>
  </w:style>
  <w:style w:type="character" w:customStyle="1" w:styleId="38">
    <w:name w:val="标题 4 字符"/>
    <w:basedOn w:val="24"/>
    <w:link w:val="6"/>
    <w:semiHidden/>
    <w:qFormat/>
    <w:uiPriority w:val="9"/>
    <w:rPr>
      <w:rFonts w:asciiTheme="minorHAnsi" w:hAnsiTheme="minorHAnsi" w:eastAsiaTheme="minorEastAsia" w:cstheme="majorBidi"/>
      <w:color w:val="104862" w:themeColor="accent1" w:themeShade="BF"/>
      <w:sz w:val="28"/>
      <w:szCs w:val="28"/>
      <w:u w:val="none"/>
    </w:rPr>
  </w:style>
  <w:style w:type="character" w:customStyle="1" w:styleId="39">
    <w:name w:val="标题 5 字符"/>
    <w:basedOn w:val="24"/>
    <w:link w:val="7"/>
    <w:semiHidden/>
    <w:qFormat/>
    <w:uiPriority w:val="9"/>
    <w:rPr>
      <w:rFonts w:asciiTheme="minorHAnsi" w:hAnsiTheme="minorHAnsi" w:eastAsiaTheme="minorEastAsia" w:cstheme="majorBidi"/>
      <w:color w:val="104862" w:themeColor="accent1" w:themeShade="BF"/>
      <w:sz w:val="24"/>
      <w:szCs w:val="24"/>
      <w:u w:val="none"/>
    </w:rPr>
  </w:style>
  <w:style w:type="character" w:customStyle="1" w:styleId="40">
    <w:name w:val="标题 6 字符"/>
    <w:basedOn w:val="24"/>
    <w:link w:val="8"/>
    <w:semiHidden/>
    <w:qFormat/>
    <w:uiPriority w:val="9"/>
    <w:rPr>
      <w:rFonts w:asciiTheme="minorHAnsi" w:hAnsiTheme="minorHAnsi" w:eastAsiaTheme="minorEastAsia" w:cstheme="majorBidi"/>
      <w:b/>
      <w:bCs/>
      <w:color w:val="104862" w:themeColor="accent1" w:themeShade="BF"/>
      <w:sz w:val="28"/>
      <w:u w:val="none"/>
    </w:rPr>
  </w:style>
  <w:style w:type="character" w:customStyle="1" w:styleId="41">
    <w:name w:val="标题 7 字符"/>
    <w:basedOn w:val="24"/>
    <w:link w:val="9"/>
    <w:semiHidden/>
    <w:qFormat/>
    <w:uiPriority w:val="9"/>
    <w:rPr>
      <w:rFonts w:asciiTheme="minorHAnsi" w:hAnsiTheme="minorHAnsi" w:eastAsiaTheme="minorEastAsia" w:cstheme="majorBidi"/>
      <w:b/>
      <w:bCs/>
      <w:color w:val="595959" w:themeColor="text1" w:themeTint="A6"/>
      <w:sz w:val="28"/>
      <w:u w:val="none"/>
      <w14:textFill>
        <w14:solidFill>
          <w14:schemeClr w14:val="tx1">
            <w14:lumMod w14:val="65000"/>
            <w14:lumOff w14:val="35000"/>
          </w14:schemeClr>
        </w14:solidFill>
      </w14:textFill>
    </w:rPr>
  </w:style>
  <w:style w:type="character" w:customStyle="1" w:styleId="42">
    <w:name w:val="标题 8 字符"/>
    <w:basedOn w:val="24"/>
    <w:link w:val="10"/>
    <w:semiHidden/>
    <w:qFormat/>
    <w:uiPriority w:val="9"/>
    <w:rPr>
      <w:rFonts w:asciiTheme="minorHAnsi" w:hAnsiTheme="minorHAnsi" w:eastAsiaTheme="min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3">
    <w:name w:val="标题 9 字符"/>
    <w:basedOn w:val="24"/>
    <w:link w:val="11"/>
    <w:semiHidden/>
    <w:qFormat/>
    <w:uiPriority w:val="9"/>
    <w:rPr>
      <w:rFonts w:asciiTheme="minorHAnsi" w:hAnsiTheme="minorHAnsi" w:eastAsiaTheme="maj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4">
    <w:name w:val="副标题 字符"/>
    <w:basedOn w:val="24"/>
    <w:link w:val="17"/>
    <w:qFormat/>
    <w:uiPriority w:val="11"/>
    <w:rPr>
      <w:rFonts w:cstheme="majorBidi"/>
      <w:b/>
      <w:color w:val="000000" w:themeColor="text1"/>
      <w:spacing w:val="15"/>
      <w:sz w:val="28"/>
      <w:szCs w:val="28"/>
      <w:u w:val="none"/>
      <w14:textFill>
        <w14:solidFill>
          <w14:schemeClr w14:val="tx1"/>
        </w14:solidFill>
      </w14:textFill>
    </w:rPr>
  </w:style>
  <w:style w:type="paragraph" w:styleId="45">
    <w:name w:val="Quote"/>
    <w:basedOn w:val="1"/>
    <w:next w:val="1"/>
    <w:link w:val="46"/>
    <w:qFormat/>
    <w:uiPriority w:val="29"/>
    <w:pPr>
      <w:spacing w:before="160" w:after="160"/>
      <w:jc w:val="center"/>
    </w:pPr>
    <w:rPr>
      <w:i/>
      <w:iCs w:val="0"/>
      <w:color w:val="404040" w:themeColor="text1" w:themeTint="BF"/>
      <w14:textFill>
        <w14:solidFill>
          <w14:schemeClr w14:val="tx1">
            <w14:lumMod w14:val="75000"/>
            <w14:lumOff w14:val="25000"/>
          </w14:schemeClr>
        </w14:solidFill>
      </w14:textFill>
    </w:rPr>
  </w:style>
  <w:style w:type="character" w:customStyle="1" w:styleId="46">
    <w:name w:val="引用 字符"/>
    <w:basedOn w:val="24"/>
    <w:link w:val="45"/>
    <w:qFormat/>
    <w:uiPriority w:val="29"/>
    <w:rPr>
      <w:i/>
      <w:color w:val="404040" w:themeColor="text1" w:themeTint="BF"/>
      <w:sz w:val="28"/>
      <w:u w:val="none"/>
      <w14:textFill>
        <w14:solidFill>
          <w14:schemeClr w14:val="tx1">
            <w14:lumMod w14:val="75000"/>
            <w14:lumOff w14:val="25000"/>
          </w14:schemeClr>
        </w14:solidFill>
      </w14:textFill>
    </w:rPr>
  </w:style>
  <w:style w:type="paragraph" w:styleId="47">
    <w:name w:val="List Paragraph"/>
    <w:basedOn w:val="1"/>
    <w:qFormat/>
    <w:uiPriority w:val="1"/>
    <w:pPr>
      <w:ind w:left="720"/>
      <w:contextualSpacing/>
    </w:pPr>
  </w:style>
  <w:style w:type="character" w:customStyle="1" w:styleId="48">
    <w:name w:val="明显强调1"/>
    <w:basedOn w:val="24"/>
    <w:qFormat/>
    <w:uiPriority w:val="21"/>
    <w:rPr>
      <w:i/>
      <w:color w:val="104862" w:themeColor="accent1" w:themeShade="BF"/>
    </w:rPr>
  </w:style>
  <w:style w:type="paragraph" w:styleId="49">
    <w:name w:val="Intense Quote"/>
    <w:basedOn w:val="1"/>
    <w:next w:val="1"/>
    <w:link w:val="5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val="0"/>
      <w:color w:val="104862" w:themeColor="accent1" w:themeShade="BF"/>
    </w:rPr>
  </w:style>
  <w:style w:type="character" w:customStyle="1" w:styleId="50">
    <w:name w:val="明显引用 字符"/>
    <w:basedOn w:val="24"/>
    <w:link w:val="49"/>
    <w:qFormat/>
    <w:uiPriority w:val="30"/>
    <w:rPr>
      <w:i/>
      <w:color w:val="104862" w:themeColor="accent1" w:themeShade="BF"/>
      <w:sz w:val="28"/>
      <w:u w:val="none"/>
    </w:rPr>
  </w:style>
  <w:style w:type="character" w:customStyle="1" w:styleId="51">
    <w:name w:val="明显参考1"/>
    <w:basedOn w:val="24"/>
    <w:qFormat/>
    <w:uiPriority w:val="32"/>
    <w:rPr>
      <w:b/>
      <w:bCs/>
      <w:smallCaps/>
      <w:color w:val="104862" w:themeColor="accent1" w:themeShade="BF"/>
      <w:spacing w:val="5"/>
    </w:rPr>
  </w:style>
  <w:style w:type="character" w:customStyle="1" w:styleId="52">
    <w:name w:val="页眉 字符"/>
    <w:basedOn w:val="24"/>
    <w:link w:val="15"/>
    <w:qFormat/>
    <w:uiPriority w:val="99"/>
    <w:rPr>
      <w:sz w:val="18"/>
      <w:szCs w:val="18"/>
      <w:u w:val="none"/>
    </w:rPr>
  </w:style>
  <w:style w:type="character" w:customStyle="1" w:styleId="53">
    <w:name w:val="页脚 字符"/>
    <w:basedOn w:val="24"/>
    <w:link w:val="14"/>
    <w:qFormat/>
    <w:uiPriority w:val="99"/>
    <w:rPr>
      <w:sz w:val="18"/>
      <w:szCs w:val="18"/>
      <w:u w:val="none"/>
    </w:rPr>
  </w:style>
  <w:style w:type="character" w:customStyle="1" w:styleId="54">
    <w:name w:val="批注文字 字符"/>
    <w:basedOn w:val="24"/>
    <w:link w:val="12"/>
    <w:qFormat/>
    <w:uiPriority w:val="99"/>
    <w:rPr>
      <w:sz w:val="28"/>
      <w:u w:val="none"/>
    </w:rPr>
  </w:style>
  <w:style w:type="character" w:customStyle="1" w:styleId="55">
    <w:name w:val="批注主题 字符"/>
    <w:basedOn w:val="54"/>
    <w:link w:val="21"/>
    <w:semiHidden/>
    <w:qFormat/>
    <w:uiPriority w:val="99"/>
    <w:rPr>
      <w:b/>
      <w:bCs/>
      <w:sz w:val="28"/>
      <w:u w:val="none"/>
    </w:rPr>
  </w:style>
  <w:style w:type="paragraph" w:customStyle="1" w:styleId="56">
    <w:name w:val="TOC 标题1"/>
    <w:basedOn w:val="2"/>
    <w:next w:val="1"/>
    <w:unhideWhenUsed/>
    <w:qFormat/>
    <w:uiPriority w:val="39"/>
    <w:pPr>
      <w:widowControl/>
      <w:adjustRightInd/>
      <w:spacing w:before="240" w:line="259" w:lineRule="auto"/>
      <w:jc w:val="left"/>
      <w:outlineLvl w:val="9"/>
    </w:pPr>
    <w:rPr>
      <w:rFonts w:asciiTheme="majorHAnsi" w:hAnsiTheme="majorHAnsi" w:eastAsiaTheme="majorEastAsia" w:cstheme="majorBidi"/>
      <w:iCs w:val="0"/>
      <w:color w:val="104862" w:themeColor="accent1" w:themeShade="BF"/>
      <w:kern w:val="0"/>
      <w:szCs w:val="32"/>
      <w14:ligatures w14:val="none"/>
    </w:rPr>
  </w:style>
  <w:style w:type="table" w:customStyle="1" w:styleId="57">
    <w:name w:val="TableGrid"/>
    <w:qFormat/>
    <w:uiPriority w:val="0"/>
    <w:rPr>
      <w:rFonts w:asciiTheme="minorHAnsi" w:hAnsiTheme="minorHAnsi" w:eastAsiaTheme="minorEastAsia" w:cstheme="minorBidi"/>
      <w:sz w:val="22"/>
      <w:szCs w:val="24"/>
    </w:rPr>
    <w:tblPr>
      <w:tblCellMar>
        <w:top w:w="0" w:type="dxa"/>
        <w:left w:w="0" w:type="dxa"/>
        <w:bottom w:w="0" w:type="dxa"/>
        <w:right w:w="0" w:type="dxa"/>
      </w:tblCellMar>
    </w:tblPr>
  </w:style>
  <w:style w:type="table" w:customStyle="1" w:styleId="58">
    <w:name w:val="网格型2"/>
    <w:basedOn w:val="22"/>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59">
    <w:name w:val="不明显强调1"/>
    <w:basedOn w:val="24"/>
    <w:qFormat/>
    <w:uiPriority w:val="19"/>
    <w:rPr>
      <w:i/>
      <w:color w:val="404040" w:themeColor="text1" w:themeTint="BF"/>
      <w14:textFill>
        <w14:solidFill>
          <w14:schemeClr w14:val="tx1">
            <w14:lumMod w14:val="75000"/>
            <w14:lumOff w14:val="25000"/>
          </w14:schemeClr>
        </w14:solidFill>
      </w14:textFill>
    </w:rPr>
  </w:style>
  <w:style w:type="paragraph" w:customStyle="1" w:styleId="60">
    <w:name w:val="Revision"/>
    <w:hidden/>
    <w:unhideWhenUsed/>
    <w:qFormat/>
    <w:uiPriority w:val="99"/>
    <w:rPr>
      <w:rFonts w:ascii="Times New Roman" w:hAnsi="Times New Roman" w:eastAsia="宋体" w:cs="宋体"/>
      <w:iCs/>
      <w:kern w:val="2"/>
      <w:sz w:val="28"/>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8E4EF-274A-45A1-BEB4-4DD3478342D5}">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3596</Words>
  <Characters>3810</Characters>
  <Lines>103</Lines>
  <Paragraphs>29</Paragraphs>
  <TotalTime>0</TotalTime>
  <ScaleCrop>false</ScaleCrop>
  <LinksUpToDate>false</LinksUpToDate>
  <CharactersWithSpaces>3923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2025-06-23T05:56:00Z</dcterms:created>
  <dc:creator>Be1032</dc:creator>
  <cp:lastModifiedBy>Administrator</cp:lastModifiedBy>
  <dcterms:modified xsi:type="dcterms:W3CDTF">2026-01-28T02:15:06Z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eyJoZGlkIjoiYzk1NGRlNjFlN2U4YTBhZDgzNTM5ZWNjNjdkNGIwMzYiLCJ1c2VySWQiOiIxMDU3MDgyNDMxIn0=</vt:lpwstr>
  </property>
  <property fmtid="{D5CDD505-2E9C-101B-9397-08002B2CF9AE}" pid="3" name="KSOProductBuildVer">
    <vt:lpwstr>2052-11.8.6.9023</vt:lpwstr>
  </property>
  <property fmtid="{D5CDD505-2E9C-101B-9397-08002B2CF9AE}" pid="4" name="ICV">
    <vt:lpwstr>43BEAC3A14654E708000F4E37ED18FCA_12</vt:lpwstr>
  </property>
</Properties>
</file>