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100A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ajorEastAsia" w:hAnsiTheme="majorEastAsia" w:eastAsiaTheme="majorEastAsia"/>
          <w:color w:val="FF0000"/>
          <w:sz w:val="52"/>
          <w:szCs w:val="52"/>
        </w:rPr>
      </w:pPr>
    </w:p>
    <w:p w14:paraId="0845E70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Theme="majorEastAsia" w:hAnsiTheme="majorEastAsia" w:eastAsiaTheme="majorEastAsia"/>
          <w:color w:val="FF0000"/>
          <w:sz w:val="52"/>
          <w:szCs w:val="52"/>
        </w:rPr>
      </w:pPr>
    </w:p>
    <w:p w14:paraId="4750EC07">
      <w:pPr>
        <w:jc w:val="center"/>
        <w:rPr>
          <w:rFonts w:asciiTheme="majorEastAsia" w:hAnsiTheme="majorEastAsia" w:eastAsiaTheme="majorEastAsia"/>
          <w:color w:val="FF0000"/>
          <w:sz w:val="52"/>
          <w:szCs w:val="52"/>
        </w:rPr>
      </w:pPr>
      <w:r>
        <w:rPr>
          <w:rFonts w:asciiTheme="majorEastAsia" w:hAnsiTheme="majorEastAsia" w:eastAsiaTheme="majorEastAsia"/>
          <w:color w:val="FF0000"/>
          <w:sz w:val="52"/>
          <w:szCs w:val="52"/>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362585</wp:posOffset>
                </wp:positionV>
                <wp:extent cx="5695315" cy="1418590"/>
                <wp:effectExtent l="0" t="0" r="0" b="0"/>
                <wp:wrapNone/>
                <wp:docPr id="1" name="文本框 4"/>
                <wp:cNvGraphicFramePr/>
                <a:graphic xmlns:a="http://schemas.openxmlformats.org/drawingml/2006/main">
                  <a:graphicData uri="http://schemas.microsoft.com/office/word/2010/wordprocessingShape">
                    <wps:wsp>
                      <wps:cNvSpPr txBox="1"/>
                      <wps:spPr>
                        <a:xfrm>
                          <a:off x="0" y="0"/>
                          <a:ext cx="5695315" cy="1418590"/>
                        </a:xfrm>
                        <a:prstGeom prst="rect">
                          <a:avLst/>
                        </a:prstGeom>
                        <a:solidFill>
                          <a:srgbClr val="FFFFFF"/>
                        </a:solidFill>
                        <a:ln w="9525">
                          <a:noFill/>
                        </a:ln>
                      </wps:spPr>
                      <wps:txbx>
                        <w:txbxContent>
                          <w:p w14:paraId="1276CA6F">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方正小标宋简体" w:hAnsi="方正小标宋简体" w:eastAsia="方正小标宋简体" w:cs="方正小标宋简体"/>
                                <w:color w:val="FF0000"/>
                                <w:sz w:val="52"/>
                                <w:szCs w:val="52"/>
                              </w:rPr>
                            </w:pPr>
                            <w:r>
                              <w:rPr>
                                <w:rFonts w:hint="eastAsia" w:ascii="方正小标宋简体" w:hAnsi="方正小标宋简体" w:eastAsia="方正小标宋简体" w:cs="方正小标宋简体"/>
                                <w:color w:val="FF0000"/>
                                <w:sz w:val="96"/>
                                <w:szCs w:val="96"/>
                                <w:lang w:eastAsia="zh-CN"/>
                              </w:rPr>
                              <w:t>安宁市</w:t>
                            </w:r>
                            <w:r>
                              <w:rPr>
                                <w:rFonts w:hint="eastAsia" w:ascii="方正小标宋简体" w:hAnsi="方正小标宋简体" w:eastAsia="方正小标宋简体" w:cs="方正小标宋简体"/>
                                <w:color w:val="FF0000"/>
                                <w:sz w:val="96"/>
                                <w:szCs w:val="96"/>
                              </w:rPr>
                              <w:t>林业和草原局</w:t>
                            </w:r>
                          </w:p>
                          <w:p w14:paraId="50ECBDFF">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方正小标宋简体" w:hAnsi="方正小标宋简体" w:eastAsia="方正小标宋简体" w:cs="方正小标宋简体"/>
                                <w:color w:val="FF0000"/>
                                <w:sz w:val="44"/>
                                <w:szCs w:val="44"/>
                              </w:rPr>
                            </w:pPr>
                            <w:r>
                              <w:rPr>
                                <w:rFonts w:hint="eastAsia" w:ascii="方正小标宋简体" w:hAnsi="方正小标宋简体" w:eastAsia="方正小标宋简体" w:cs="方正小标宋简体"/>
                                <w:color w:val="FF0000"/>
                                <w:sz w:val="84"/>
                                <w:szCs w:val="84"/>
                              </w:rPr>
                              <w:t>准予行政许可决定书</w:t>
                            </w:r>
                          </w:p>
                        </w:txbxContent>
                      </wps:txbx>
                      <wps:bodyPr vert="horz" anchor="t" anchorCtr="0" upright="1"/>
                    </wps:wsp>
                  </a:graphicData>
                </a:graphic>
              </wp:anchor>
            </w:drawing>
          </mc:Choice>
          <mc:Fallback>
            <w:pict>
              <v:shape id="文本框 4" o:spid="_x0000_s1026" o:spt="202" type="#_x0000_t202" style="position:absolute;left:0pt;margin-left:-0.75pt;margin-top:28.55pt;height:111.7pt;width:448.45pt;z-index:251660288;mso-width-relative:page;mso-height-relative:page;" fillcolor="#FFFFFF" filled="t" stroked="f" coordsize="21600,21600" o:gfxdata="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KylW9XYAAAACQEAAA8A&#10;AAAAAAAAAQAgAAAAIgAAAGRycy9kb3ducmV2LnhtbFBLAQIUABQAAAAIAIdO4kB8zRYT3gEAAKYD&#10;AAAOAAAAAAAAAAEAIAAAACcBAABkcnMvZTJvRG9jLnhtbFBLBQYAAAAABgAGAFkBAAB3BQAAAAA=&#10;">
                <v:fill on="t" focussize="0,0"/>
                <v:stroke on="f"/>
                <v:imagedata o:title=""/>
                <o:lock v:ext="edit" aspectratio="f"/>
                <v:textbox>
                  <w:txbxContent>
                    <w:p w14:paraId="1276CA6F">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方正小标宋简体" w:hAnsi="方正小标宋简体" w:eastAsia="方正小标宋简体" w:cs="方正小标宋简体"/>
                          <w:color w:val="FF0000"/>
                          <w:sz w:val="52"/>
                          <w:szCs w:val="52"/>
                        </w:rPr>
                      </w:pPr>
                      <w:r>
                        <w:rPr>
                          <w:rFonts w:hint="eastAsia" w:ascii="方正小标宋简体" w:hAnsi="方正小标宋简体" w:eastAsia="方正小标宋简体" w:cs="方正小标宋简体"/>
                          <w:color w:val="FF0000"/>
                          <w:sz w:val="96"/>
                          <w:szCs w:val="96"/>
                          <w:lang w:eastAsia="zh-CN"/>
                        </w:rPr>
                        <w:t>安宁市</w:t>
                      </w:r>
                      <w:r>
                        <w:rPr>
                          <w:rFonts w:hint="eastAsia" w:ascii="方正小标宋简体" w:hAnsi="方正小标宋简体" w:eastAsia="方正小标宋简体" w:cs="方正小标宋简体"/>
                          <w:color w:val="FF0000"/>
                          <w:sz w:val="96"/>
                          <w:szCs w:val="96"/>
                        </w:rPr>
                        <w:t>林业和草原局</w:t>
                      </w:r>
                    </w:p>
                    <w:p w14:paraId="50ECBDFF">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方正小标宋简体" w:hAnsi="方正小标宋简体" w:eastAsia="方正小标宋简体" w:cs="方正小标宋简体"/>
                          <w:color w:val="FF0000"/>
                          <w:sz w:val="44"/>
                          <w:szCs w:val="44"/>
                        </w:rPr>
                      </w:pPr>
                      <w:r>
                        <w:rPr>
                          <w:rFonts w:hint="eastAsia" w:ascii="方正小标宋简体" w:hAnsi="方正小标宋简体" w:eastAsia="方正小标宋简体" w:cs="方正小标宋简体"/>
                          <w:color w:val="FF0000"/>
                          <w:sz w:val="84"/>
                          <w:szCs w:val="84"/>
                        </w:rPr>
                        <w:t>准予行政许可决定书</w:t>
                      </w:r>
                    </w:p>
                  </w:txbxContent>
                </v:textbox>
              </v:shape>
            </w:pict>
          </mc:Fallback>
        </mc:AlternateContent>
      </w:r>
    </w:p>
    <w:p w14:paraId="490E1101">
      <w:pPr>
        <w:jc w:val="center"/>
        <w:rPr>
          <w:rFonts w:asciiTheme="majorEastAsia" w:hAnsiTheme="majorEastAsia" w:eastAsiaTheme="majorEastAsia"/>
          <w:color w:val="FF0000"/>
          <w:sz w:val="52"/>
          <w:szCs w:val="52"/>
        </w:rPr>
      </w:pPr>
    </w:p>
    <w:p w14:paraId="24772088">
      <w:pPr>
        <w:rPr>
          <w:rFonts w:asciiTheme="majorEastAsia" w:hAnsiTheme="majorEastAsia" w:eastAsiaTheme="majorEastAsia"/>
          <w:color w:val="FF0000"/>
          <w:sz w:val="52"/>
          <w:szCs w:val="52"/>
          <w:u w:val="none"/>
        </w:rPr>
      </w:pPr>
      <w:r>
        <w:rPr>
          <w:rFonts w:hint="eastAsia" w:asciiTheme="majorEastAsia" w:hAnsiTheme="majorEastAsia" w:eastAsiaTheme="majorEastAsia"/>
          <w:color w:val="FF0000"/>
          <w:sz w:val="52"/>
          <w:szCs w:val="52"/>
          <w:u w:val="none"/>
        </w:rPr>
        <w:t xml:space="preserve">                                </w:t>
      </w:r>
    </w:p>
    <w:p w14:paraId="6C80BE18">
      <w:pPr>
        <w:jc w:val="center"/>
        <w:rPr>
          <w:rFonts w:ascii="仿宋_GB2312" w:eastAsia="仿宋_GB2312" w:cs="AdobeFanHeitiStd-Bold"/>
          <w:kern w:val="0"/>
          <w:sz w:val="32"/>
          <w:szCs w:val="32"/>
        </w:rPr>
      </w:pPr>
      <w:r>
        <w:rPr>
          <w:rFonts w:hint="default" w:ascii="Times New Roman" w:hAnsi="Times New Roman" w:cs="Times New Roman"/>
          <w:color w:val="000000"/>
        </w:rPr>
        <mc:AlternateContent>
          <mc:Choice Requires="wps">
            <w:drawing>
              <wp:anchor distT="0" distB="0" distL="114300" distR="114300" simplePos="0" relativeHeight="251663360" behindDoc="0" locked="0" layoutInCell="1" allowOverlap="1">
                <wp:simplePos x="0" y="0"/>
                <wp:positionH relativeFrom="column">
                  <wp:posOffset>1270</wp:posOffset>
                </wp:positionH>
                <wp:positionV relativeFrom="paragraph">
                  <wp:posOffset>182245</wp:posOffset>
                </wp:positionV>
                <wp:extent cx="5615940" cy="19685"/>
                <wp:effectExtent l="0" t="0" r="0" b="0"/>
                <wp:wrapNone/>
                <wp:docPr id="5" name="直线 8"/>
                <wp:cNvGraphicFramePr/>
                <a:graphic xmlns:a="http://schemas.openxmlformats.org/drawingml/2006/main">
                  <a:graphicData uri="http://schemas.microsoft.com/office/word/2010/wordprocessingShape">
                    <wps:wsp>
                      <wps:cNvCnPr/>
                      <wps:spPr>
                        <a:xfrm>
                          <a:off x="0" y="0"/>
                          <a:ext cx="5615940" cy="19685"/>
                        </a:xfrm>
                        <a:prstGeom prst="line">
                          <a:avLst/>
                        </a:prstGeom>
                        <a:ln w="41275" cap="flat" cmpd="sng">
                          <a:solidFill>
                            <a:srgbClr val="FF0000"/>
                          </a:solidFill>
                          <a:prstDash val="solid"/>
                          <a:headEnd type="none" w="med" len="med"/>
                          <a:tailEnd type="none" w="med" len="med"/>
                        </a:ln>
                      </wps:spPr>
                      <wps:bodyPr upright="1"/>
                    </wps:wsp>
                  </a:graphicData>
                </a:graphic>
              </wp:anchor>
            </w:drawing>
          </mc:Choice>
          <mc:Fallback>
            <w:pict>
              <v:line id="直线 8" o:spid="_x0000_s1026" o:spt="20" style="position:absolute;left:0pt;margin-left:0.1pt;margin-top:14.35pt;height:1.55pt;width:442.2pt;z-index:251663360;mso-width-relative:page;mso-height-relative:page;" filled="f" stroked="t" coordsize="21600,21600" o:gfxdata="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IuoKfXAAAABgEAAA8AAAAAAAAAAQAgAAAAIgAAAGRycy9kb3ducmV2LnhtbFBLAQIUABQAAAAI&#10;AIdO4kDbYiJr7gEAAOADAAAOAAAAAAAAAAEAIAAAACYBAABkcnMvZTJvRG9jLnhtbFBLBQYAAAAA&#10;BgAGAFkBAACGBQAAAAA=&#10;">
                <v:fill on="f" focussize="0,0"/>
                <v:stroke weight="3.25pt" color="#FF0000" joinstyle="round"/>
                <v:imagedata o:title=""/>
                <o:lock v:ext="edit" aspectratio="f"/>
              </v:line>
            </w:pict>
          </mc:Fallback>
        </mc:AlternateContent>
      </w:r>
      <w:r>
        <w:rPr>
          <w:rFonts w:hint="eastAsia" w:ascii="仿宋_GB2312" w:eastAsia="仿宋_GB2312" w:cs="AdobeFanHeitiStd-Bold"/>
          <w:kern w:val="0"/>
          <w:sz w:val="32"/>
          <w:szCs w:val="32"/>
        </w:rPr>
        <w:t xml:space="preserve">                            </w:t>
      </w:r>
    </w:p>
    <w:p w14:paraId="2E550E36">
      <w:pPr>
        <w:keepNext w:val="0"/>
        <w:keepLines w:val="0"/>
        <w:pageBreakBefore w:val="0"/>
        <w:widowControl w:val="0"/>
        <w:kinsoku/>
        <w:wordWrap/>
        <w:overflowPunct/>
        <w:topLinePunct w:val="0"/>
        <w:autoSpaceDE/>
        <w:autoSpaceDN/>
        <w:bidi w:val="0"/>
        <w:adjustRightInd/>
        <w:snapToGrid/>
        <w:spacing w:line="140" w:lineRule="exact"/>
        <w:jc w:val="center"/>
        <w:textAlignment w:val="auto"/>
        <w:rPr>
          <w:rFonts w:hint="eastAsia" w:ascii="仿宋_GB2312" w:eastAsia="仿宋_GB2312" w:cs="AdobeFanHeitiStd-Bold"/>
          <w:kern w:val="0"/>
          <w:sz w:val="32"/>
          <w:szCs w:val="32"/>
        </w:rPr>
      </w:pPr>
    </w:p>
    <w:p w14:paraId="3ACEBDBC">
      <w:pPr>
        <w:jc w:val="center"/>
        <w:rPr>
          <w:rFonts w:ascii="仿宋_GB2312" w:hAnsi="仿宋_GB2312" w:eastAsia="仿宋_GB2312"/>
          <w:sz w:val="32"/>
          <w:szCs w:val="32"/>
        </w:rPr>
      </w:pPr>
      <w:r>
        <w:rPr>
          <w:rFonts w:hint="eastAsia" w:ascii="仿宋_GB2312" w:eastAsia="仿宋_GB2312" w:cs="AdobeFanHeitiStd-Bold"/>
          <w:kern w:val="0"/>
          <w:sz w:val="32"/>
          <w:szCs w:val="32"/>
        </w:rPr>
        <w:t xml:space="preserve">                            </w:t>
      </w:r>
      <w:r>
        <w:rPr>
          <w:rFonts w:hint="eastAsia" w:ascii="仿宋_GB2312" w:eastAsia="仿宋_GB2312" w:cs="AdobeFanHeitiStd-Bold"/>
          <w:kern w:val="0"/>
          <w:sz w:val="32"/>
          <w:szCs w:val="32"/>
          <w:lang w:val="en-US" w:eastAsia="zh-CN"/>
        </w:rPr>
        <w:t xml:space="preserve">    </w:t>
      </w:r>
      <w:bookmarkStart w:id="0" w:name="OLE_LINK1"/>
      <w:r>
        <w:rPr>
          <w:rFonts w:hint="eastAsia" w:ascii="仿宋_GB2312" w:eastAsia="仿宋_GB2312" w:cs="AdobeFanHeitiStd-Bold"/>
          <w:kern w:val="0"/>
          <w:sz w:val="32"/>
          <w:szCs w:val="32"/>
          <w:lang w:eastAsia="zh-CN"/>
        </w:rPr>
        <w:t>安林采许准</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rPr>
        <w:t>〕</w:t>
      </w:r>
      <w:bookmarkEnd w:id="0"/>
      <w:r>
        <w:rPr>
          <w:rFonts w:hint="eastAsia"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号</w:t>
      </w:r>
    </w:p>
    <w:p w14:paraId="3BCB4DE7">
      <w:pPr>
        <w:jc w:val="center"/>
        <w:rPr>
          <w:rFonts w:ascii="仿宋_GB2312" w:eastAsia="仿宋_GB2312" w:cs="AdobeFanHeitiStd-Bold"/>
          <w:kern w:val="0"/>
          <w:sz w:val="32"/>
          <w:szCs w:val="32"/>
        </w:rPr>
      </w:pPr>
    </w:p>
    <w:p w14:paraId="294B1EC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kern w:val="0"/>
          <w:sz w:val="44"/>
          <w:szCs w:val="44"/>
          <w:lang w:eastAsia="zh-CN"/>
        </w:rPr>
      </w:pPr>
      <w:r>
        <w:rPr>
          <w:rFonts w:hint="eastAsia" w:ascii="方正小标宋简体" w:hAnsi="方正小标宋简体" w:eastAsia="方正小标宋简体" w:cs="方正小标宋简体"/>
          <w:kern w:val="0"/>
          <w:sz w:val="44"/>
          <w:szCs w:val="44"/>
          <w:lang w:eastAsia="zh-CN"/>
        </w:rPr>
        <w:t>草田坝至易门箐森林应急防火通道项目林木</w:t>
      </w:r>
    </w:p>
    <w:p w14:paraId="6298909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spacing w:val="-6"/>
          <w:kern w:val="0"/>
          <w:sz w:val="44"/>
          <w:szCs w:val="44"/>
          <w:lang w:eastAsia="zh-CN"/>
        </w:rPr>
      </w:pPr>
      <w:r>
        <w:rPr>
          <w:rFonts w:hint="eastAsia" w:ascii="方正小标宋简体" w:hAnsi="方正小标宋简体" w:eastAsia="方正小标宋简体" w:cs="方正小标宋简体"/>
          <w:kern w:val="0"/>
          <w:sz w:val="44"/>
          <w:szCs w:val="44"/>
          <w:lang w:eastAsia="zh-CN"/>
        </w:rPr>
        <w:t>采伐的行政许可决定</w:t>
      </w:r>
    </w:p>
    <w:p w14:paraId="00E855D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jc w:val="center"/>
        <w:textAlignment w:val="auto"/>
        <w:rPr>
          <w:rFonts w:hint="eastAsia" w:ascii="方正小标宋简体" w:hAnsi="方正小标宋简体" w:eastAsia="方正小标宋简体" w:cs="方正小标宋简体"/>
          <w:kern w:val="0"/>
          <w:sz w:val="44"/>
          <w:szCs w:val="44"/>
          <w:lang w:eastAsia="zh-CN"/>
        </w:rPr>
      </w:pPr>
    </w:p>
    <w:p w14:paraId="6FBEA82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eastAsia="zh-CN"/>
        </w:rPr>
        <w:t>安宁市森林和草原防灭火监测中心：</w:t>
      </w:r>
    </w:p>
    <w:p w14:paraId="794250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color w:val="auto"/>
          <w:kern w:val="0"/>
          <w:sz w:val="32"/>
          <w:szCs w:val="32"/>
          <w:lang w:eastAsia="zh-CN"/>
        </w:rPr>
        <w:t>你单位关于安宁市森林和草原防灭火监测中心林木采伐的申请材料收悉。</w:t>
      </w:r>
      <w:r>
        <w:rPr>
          <w:rFonts w:hint="default" w:ascii="Times New Roman" w:hAnsi="Times New Roman" w:eastAsia="仿宋_GB2312" w:cs="Times New Roman"/>
          <w:kern w:val="0"/>
          <w:sz w:val="32"/>
          <w:szCs w:val="32"/>
          <w:lang w:eastAsia="zh-CN"/>
        </w:rPr>
        <w:t>根据《中华人民共和国森林法》《中华人民共和国森林法实施条例》</w:t>
      </w:r>
      <w:bookmarkStart w:id="1" w:name="_GoBack"/>
      <w:bookmarkEnd w:id="1"/>
      <w:r>
        <w:rPr>
          <w:rFonts w:hint="default" w:ascii="Times New Roman" w:hAnsi="Times New Roman" w:eastAsia="仿宋_GB2312" w:cs="Times New Roman"/>
          <w:kern w:val="0"/>
          <w:sz w:val="32"/>
          <w:szCs w:val="32"/>
          <w:lang w:eastAsia="zh-CN"/>
        </w:rPr>
        <w:t>和《云南省森林条例》等规定，现批复如下：</w:t>
      </w:r>
    </w:p>
    <w:p w14:paraId="0B6212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eastAsia="zh-CN"/>
        </w:rPr>
      </w:pPr>
      <w:r>
        <w:rPr>
          <w:rFonts w:hint="eastAsia" w:ascii="黑体" w:hAnsi="黑体" w:eastAsia="黑体" w:cs="黑体"/>
          <w:kern w:val="0"/>
          <w:sz w:val="32"/>
          <w:szCs w:val="32"/>
          <w:lang w:eastAsia="zh-CN"/>
        </w:rPr>
        <w:t>一、</w:t>
      </w:r>
      <w:r>
        <w:rPr>
          <w:rFonts w:hint="default" w:ascii="Times New Roman" w:hAnsi="Times New Roman" w:eastAsia="仿宋_GB2312" w:cs="Times New Roman"/>
          <w:kern w:val="0"/>
          <w:sz w:val="32"/>
          <w:szCs w:val="32"/>
          <w:lang w:eastAsia="zh-CN"/>
        </w:rPr>
        <w:t>2026年</w:t>
      </w:r>
      <w:r>
        <w:rPr>
          <w:rFonts w:hint="eastAsia"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lang w:eastAsia="zh-CN"/>
        </w:rPr>
        <w:t>月</w:t>
      </w:r>
      <w:r>
        <w:rPr>
          <w:rFonts w:hint="eastAsia" w:ascii="Times New Roman" w:hAnsi="Times New Roman" w:eastAsia="仿宋_GB2312" w:cs="Times New Roman"/>
          <w:kern w:val="0"/>
          <w:sz w:val="32"/>
          <w:szCs w:val="32"/>
          <w:lang w:val="en-US" w:eastAsia="zh-CN"/>
        </w:rPr>
        <w:t>30</w:t>
      </w:r>
      <w:r>
        <w:rPr>
          <w:rFonts w:hint="default" w:ascii="Times New Roman" w:hAnsi="Times New Roman" w:eastAsia="仿宋_GB2312" w:cs="Times New Roman"/>
          <w:kern w:val="0"/>
          <w:sz w:val="32"/>
          <w:szCs w:val="32"/>
          <w:lang w:eastAsia="zh-CN"/>
        </w:rPr>
        <w:t>日，</w:t>
      </w:r>
      <w:r>
        <w:rPr>
          <w:rFonts w:hint="eastAsia" w:ascii="Times New Roman" w:hAnsi="Times New Roman" w:eastAsia="仿宋_GB2312" w:cs="Times New Roman"/>
          <w:color w:val="auto"/>
          <w:kern w:val="0"/>
          <w:sz w:val="32"/>
          <w:szCs w:val="32"/>
          <w:lang w:eastAsia="zh-CN"/>
        </w:rPr>
        <w:t>安宁市</w:t>
      </w:r>
      <w:r>
        <w:rPr>
          <w:rFonts w:hint="default" w:ascii="Times New Roman" w:hAnsi="Times New Roman" w:eastAsia="仿宋_GB2312" w:cs="Times New Roman"/>
          <w:color w:val="auto"/>
          <w:kern w:val="0"/>
          <w:sz w:val="32"/>
          <w:szCs w:val="32"/>
          <w:lang w:eastAsia="zh-CN"/>
        </w:rPr>
        <w:t>林业和草原局以</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kern w:val="0"/>
          <w:sz w:val="32"/>
          <w:szCs w:val="32"/>
          <w:highlight w:val="none"/>
          <w:lang w:eastAsia="zh-CN"/>
        </w:rPr>
        <w:t>安宁市林业和草原局关于准予草田坝至易门箐森林应急防火通道项目使用林地的行政许可决定</w:t>
      </w:r>
      <w:r>
        <w:rPr>
          <w:rFonts w:hint="default" w:ascii="Times New Roman" w:hAnsi="Times New Roman" w:eastAsia="仿宋_GB2312" w:cs="Times New Roman"/>
          <w:kern w:val="0"/>
          <w:sz w:val="32"/>
          <w:szCs w:val="32"/>
          <w:lang w:eastAsia="zh-CN"/>
        </w:rPr>
        <w:t>》安宁林草决〔2026〕004号</w:t>
      </w:r>
      <w:r>
        <w:rPr>
          <w:rFonts w:hint="eastAsia" w:ascii="Times New Roman" w:hAnsi="Times New Roman" w:eastAsia="仿宋_GB2312" w:cs="Times New Roman"/>
          <w:kern w:val="0"/>
          <w:sz w:val="32"/>
          <w:szCs w:val="32"/>
          <w:lang w:eastAsia="zh-CN"/>
        </w:rPr>
        <w:t>（草田坝至易门箐森林应急防火通道项目）</w:t>
      </w:r>
      <w:r>
        <w:rPr>
          <w:rFonts w:hint="default" w:ascii="Times New Roman" w:hAnsi="Times New Roman" w:eastAsia="仿宋_GB2312" w:cs="Times New Roman"/>
          <w:kern w:val="0"/>
          <w:sz w:val="32"/>
          <w:szCs w:val="32"/>
          <w:lang w:eastAsia="zh-CN"/>
        </w:rPr>
        <w:t>，同意草田坝至易门箐森林应急防火通道项目使用安宁市八街街道办事处二街村民委员会草田坝村民小组、红石村民小组、饶管营村民小组、右所村民小组、樟富营村民二组、樟富营村民一组，凤仪村民委员会凤仪上村村民小组、凤仪下村村民小组、小后冲村民小组，㭸杉村民委员会双龙村民小组、杨兴小村村民小组集体林地17.1914公顷。其中：使用防护林林地11.3657公顷，用材林林地5.1284公顷，其他林地0.6973公顷。所批准的安宁市森林和草原防灭火监测中心</w:t>
      </w:r>
      <w:r>
        <w:rPr>
          <w:rFonts w:hint="eastAsia" w:ascii="Times New Roman" w:hAnsi="Times New Roman" w:eastAsia="仿宋_GB2312" w:cs="Times New Roman"/>
          <w:kern w:val="0"/>
          <w:sz w:val="32"/>
          <w:szCs w:val="32"/>
          <w:lang w:eastAsia="zh-CN"/>
        </w:rPr>
        <w:t>使用</w:t>
      </w:r>
      <w:r>
        <w:rPr>
          <w:rFonts w:hint="default" w:ascii="Times New Roman" w:hAnsi="Times New Roman" w:eastAsia="仿宋_GB2312" w:cs="Times New Roman"/>
          <w:kern w:val="0"/>
          <w:sz w:val="32"/>
          <w:szCs w:val="32"/>
          <w:lang w:eastAsia="zh-CN"/>
        </w:rPr>
        <w:t>林地上涉及采伐面积</w:t>
      </w:r>
      <w:r>
        <w:rPr>
          <w:rFonts w:hint="default" w:ascii="Times New Roman" w:hAnsi="Times New Roman" w:eastAsia="仿宋_GB2312" w:cs="Times New Roman"/>
          <w:kern w:val="0"/>
          <w:sz w:val="32"/>
          <w:szCs w:val="32"/>
          <w:lang w:val="en-US" w:eastAsia="zh-CN"/>
        </w:rPr>
        <w:t>16.4941</w:t>
      </w:r>
      <w:r>
        <w:rPr>
          <w:rFonts w:hint="default" w:ascii="Times New Roman" w:hAnsi="Times New Roman" w:eastAsia="仿宋_GB2312" w:cs="Times New Roman"/>
          <w:kern w:val="0"/>
          <w:sz w:val="32"/>
          <w:szCs w:val="32"/>
          <w:lang w:eastAsia="zh-CN"/>
        </w:rPr>
        <w:t>公顷，林木株数</w:t>
      </w:r>
      <w:r>
        <w:rPr>
          <w:rFonts w:hint="default" w:ascii="Times New Roman" w:hAnsi="Times New Roman" w:eastAsia="仿宋_GB2312" w:cs="Times New Roman"/>
          <w:kern w:val="0"/>
          <w:sz w:val="32"/>
          <w:szCs w:val="32"/>
          <w:lang w:val="en-US" w:eastAsia="zh-CN"/>
        </w:rPr>
        <w:t>27047</w:t>
      </w:r>
      <w:r>
        <w:rPr>
          <w:rFonts w:hint="default" w:ascii="Times New Roman" w:hAnsi="Times New Roman" w:eastAsia="仿宋_GB2312" w:cs="Times New Roman"/>
          <w:kern w:val="0"/>
          <w:sz w:val="32"/>
          <w:szCs w:val="32"/>
          <w:lang w:eastAsia="zh-CN"/>
        </w:rPr>
        <w:t>株、折合林木蓄积</w:t>
      </w:r>
      <w:r>
        <w:rPr>
          <w:rFonts w:hint="eastAsia" w:ascii="Times New Roman" w:hAnsi="Times New Roman" w:eastAsia="仿宋_GB2312" w:cs="Times New Roman"/>
          <w:kern w:val="0"/>
          <w:sz w:val="32"/>
          <w:szCs w:val="32"/>
          <w:lang w:val="en-US" w:eastAsia="zh-CN"/>
        </w:rPr>
        <w:t>566.5</w:t>
      </w:r>
      <w:r>
        <w:rPr>
          <w:rFonts w:hint="default" w:ascii="Times New Roman" w:hAnsi="Times New Roman" w:eastAsia="仿宋_GB2312" w:cs="Times New Roman"/>
          <w:kern w:val="0"/>
          <w:sz w:val="32"/>
          <w:szCs w:val="32"/>
          <w:lang w:eastAsia="zh-CN"/>
        </w:rPr>
        <w:t>立方米。为确保项目顺利建设，同意你单位对上述林木进行采伐。批准采伐的小班（地块）</w:t>
      </w:r>
      <w:r>
        <w:rPr>
          <w:rFonts w:hint="eastAsia" w:ascii="Times New Roman" w:hAnsi="Times New Roman" w:eastAsia="仿宋_GB2312" w:cs="Times New Roman"/>
          <w:kern w:val="0"/>
          <w:sz w:val="32"/>
          <w:szCs w:val="32"/>
          <w:lang w:val="en-US" w:eastAsia="zh-CN"/>
        </w:rPr>
        <w:t>454</w:t>
      </w:r>
      <w:r>
        <w:rPr>
          <w:rFonts w:hint="default" w:ascii="Times New Roman" w:hAnsi="Times New Roman" w:eastAsia="仿宋_GB2312" w:cs="Times New Roman"/>
          <w:kern w:val="0"/>
          <w:sz w:val="32"/>
          <w:szCs w:val="32"/>
          <w:lang w:eastAsia="zh-CN"/>
        </w:rPr>
        <w:t>个，林分起源包括人工</w:t>
      </w:r>
      <w:r>
        <w:rPr>
          <w:rFonts w:hint="eastAsia" w:ascii="Times New Roman" w:hAnsi="Times New Roman" w:eastAsia="仿宋_GB2312" w:cs="Times New Roman"/>
          <w:kern w:val="0"/>
          <w:sz w:val="32"/>
          <w:szCs w:val="32"/>
          <w:lang w:val="en-US" w:eastAsia="zh-CN"/>
        </w:rPr>
        <w:t>7538</w:t>
      </w:r>
      <w:r>
        <w:rPr>
          <w:rFonts w:hint="default" w:ascii="Times New Roman" w:hAnsi="Times New Roman" w:eastAsia="仿宋_GB2312" w:cs="Times New Roman"/>
          <w:kern w:val="0"/>
          <w:sz w:val="32"/>
          <w:szCs w:val="32"/>
          <w:lang w:eastAsia="zh-CN"/>
        </w:rPr>
        <w:t>株、天然</w:t>
      </w:r>
      <w:r>
        <w:rPr>
          <w:rFonts w:hint="eastAsia" w:ascii="Times New Roman" w:hAnsi="Times New Roman" w:eastAsia="仿宋_GB2312" w:cs="Times New Roman"/>
          <w:kern w:val="0"/>
          <w:sz w:val="32"/>
          <w:szCs w:val="32"/>
          <w:lang w:val="en-US" w:eastAsia="zh-CN"/>
        </w:rPr>
        <w:t>19509</w:t>
      </w:r>
      <w:r>
        <w:rPr>
          <w:rFonts w:hint="default" w:ascii="Times New Roman" w:hAnsi="Times New Roman" w:eastAsia="仿宋_GB2312" w:cs="Times New Roman"/>
          <w:kern w:val="0"/>
          <w:sz w:val="32"/>
          <w:szCs w:val="32"/>
          <w:lang w:eastAsia="zh-CN"/>
        </w:rPr>
        <w:t>株，林木权属为</w:t>
      </w:r>
      <w:r>
        <w:rPr>
          <w:rFonts w:hint="default" w:ascii="Times New Roman" w:hAnsi="Times New Roman" w:eastAsia="仿宋_GB2312" w:cs="Times New Roman"/>
          <w:kern w:val="0"/>
          <w:sz w:val="32"/>
          <w:szCs w:val="32"/>
          <w:lang w:val="en-US" w:eastAsia="zh-CN" w:bidi="ar-SA"/>
        </w:rPr>
        <w:t>红石村民小组、右所村民小组、樟富营村民二组、樟富营村民一组、凤仪上村村民小组、凤仪下村村民小组、小后冲村民小组、双龙村民小组、杨兴小村村民小组、韩春秀</w:t>
      </w:r>
      <w:r>
        <w:rPr>
          <w:rFonts w:hint="eastAsia" w:ascii="Times New Roman" w:hAnsi="Times New Roman"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王燕惠继承，已出具情况说明</w:t>
      </w:r>
      <w:r>
        <w:rPr>
          <w:rFonts w:hint="eastAsia" w:ascii="Times New Roman" w:hAnsi="Times New Roman"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、龙国安</w:t>
      </w:r>
      <w:r>
        <w:rPr>
          <w:rFonts w:hint="eastAsia" w:ascii="Times New Roman" w:hAnsi="Times New Roman"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龙族礼继承，已出具情况说明</w:t>
      </w:r>
      <w:r>
        <w:rPr>
          <w:rFonts w:hint="eastAsia" w:ascii="Times New Roman" w:hAnsi="Times New Roman"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、龙族忠、罗胜忠、潘俊荣、潘树祥、潘学文</w:t>
      </w:r>
      <w:r>
        <w:rPr>
          <w:rFonts w:hint="eastAsia" w:ascii="Times New Roman" w:hAnsi="Times New Roman"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潘荣华继承，已出具情况说明</w:t>
      </w:r>
      <w:r>
        <w:rPr>
          <w:rFonts w:hint="eastAsia" w:ascii="Times New Roman" w:hAnsi="Times New Roman"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、王志美、吴荣清、杨才友、张会学、张志华、饶世元</w:t>
      </w:r>
      <w:r>
        <w:rPr>
          <w:rFonts w:hint="eastAsia" w:ascii="Times New Roman" w:hAnsi="Times New Roman"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陈志代签，已出具情况说明</w:t>
      </w:r>
      <w:r>
        <w:rPr>
          <w:rFonts w:hint="eastAsia" w:ascii="Times New Roman" w:hAnsi="Times New Roman"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、代国喜、吴永勤</w:t>
      </w:r>
      <w:r>
        <w:rPr>
          <w:rFonts w:hint="eastAsia" w:ascii="Times New Roman" w:hAnsi="Times New Roman"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吴绍兴继承，已出具情况说明</w:t>
      </w:r>
      <w:r>
        <w:rPr>
          <w:rFonts w:hint="eastAsia" w:ascii="Times New Roman" w:hAnsi="Times New Roman"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、余开寿、吴开六（吴春友继承，已出具情况说明)、李祥周、张春留、李德才、李发先、李绍勤、李祥周、王朝文、赵加亮（赵文生继承，已出具情况说明)、王世兴</w:t>
      </w:r>
      <w:r>
        <w:rPr>
          <w:rFonts w:hint="eastAsia" w:ascii="Times New Roman" w:hAnsi="Times New Roman" w:eastAsia="仿宋_GB2312" w:cs="Times New Roman"/>
          <w:kern w:val="0"/>
          <w:sz w:val="32"/>
          <w:szCs w:val="32"/>
          <w:lang w:eastAsia="zh-CN"/>
        </w:rPr>
        <w:t>个人</w:t>
      </w:r>
      <w:r>
        <w:rPr>
          <w:rFonts w:hint="default" w:ascii="Times New Roman" w:hAnsi="Times New Roman" w:eastAsia="仿宋_GB2312" w:cs="Times New Roman"/>
          <w:kern w:val="0"/>
          <w:sz w:val="32"/>
          <w:szCs w:val="32"/>
          <w:lang w:eastAsia="zh-CN"/>
        </w:rPr>
        <w:t>，采伐树种主要为桉树、</w:t>
      </w:r>
      <w:r>
        <w:rPr>
          <w:rFonts w:hint="eastAsia" w:ascii="Times New Roman" w:hAnsi="Times New Roman" w:eastAsia="仿宋_GB2312" w:cs="Times New Roman"/>
          <w:kern w:val="0"/>
          <w:sz w:val="32"/>
          <w:szCs w:val="32"/>
          <w:lang w:eastAsia="zh-CN"/>
        </w:rPr>
        <w:t>柏木</w:t>
      </w:r>
      <w:r>
        <w:rPr>
          <w:rFonts w:hint="default"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eastAsia="zh-CN"/>
        </w:rPr>
        <w:t>地盘松</w:t>
      </w:r>
      <w:r>
        <w:rPr>
          <w:rFonts w:hint="default"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eastAsia="zh-CN"/>
        </w:rPr>
        <w:t>栎类、其他阔叶、圣诞树、油杉、云南松、杂灌</w:t>
      </w:r>
      <w:r>
        <w:rPr>
          <w:rFonts w:hint="default" w:ascii="Times New Roman" w:hAnsi="Times New Roman" w:eastAsia="仿宋_GB2312" w:cs="Times New Roman"/>
          <w:kern w:val="0"/>
          <w:sz w:val="32"/>
          <w:szCs w:val="32"/>
          <w:lang w:eastAsia="zh-CN"/>
        </w:rPr>
        <w:t>，采伐类型为其他采伐，采伐方式为皆伐，采伐地点为项目建设区，采伐年度为2026年。</w:t>
      </w:r>
    </w:p>
    <w:p w14:paraId="56722D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val="en-US" w:eastAsia="zh-CN"/>
        </w:rPr>
      </w:pPr>
      <w:r>
        <w:rPr>
          <w:rFonts w:hint="eastAsia" w:ascii="黑体" w:hAnsi="黑体" w:eastAsia="黑体" w:cs="黑体"/>
          <w:kern w:val="0"/>
          <w:sz w:val="32"/>
          <w:szCs w:val="32"/>
          <w:lang w:eastAsia="zh-CN"/>
        </w:rPr>
        <w:t>二、</w:t>
      </w:r>
      <w:r>
        <w:rPr>
          <w:rFonts w:hint="default" w:ascii="Times New Roman" w:hAnsi="Times New Roman" w:eastAsia="仿宋_GB2312" w:cs="Times New Roman"/>
          <w:kern w:val="0"/>
          <w:sz w:val="32"/>
          <w:szCs w:val="32"/>
          <w:lang w:eastAsia="zh-CN"/>
        </w:rPr>
        <w:t>你单位要严格按照林木采伐作业设计和采伐许可证的规定进行采伐。采伐活动须在当地林草行政主管部门的监管下开展</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eastAsia="zh-CN"/>
        </w:rPr>
        <w:t>严禁超范围、超限额采伐林木。</w:t>
      </w:r>
    </w:p>
    <w:p w14:paraId="00DFA83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kern w:val="0"/>
          <w:sz w:val="32"/>
          <w:szCs w:val="32"/>
          <w:lang w:eastAsia="zh-CN"/>
        </w:rPr>
      </w:pPr>
    </w:p>
    <w:p w14:paraId="57FC44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lang w:eastAsia="zh-CN"/>
        </w:rPr>
        <w:t>附件：</w:t>
      </w:r>
      <w:r>
        <w:rPr>
          <w:rFonts w:hint="default" w:ascii="Times New Roman" w:hAnsi="Times New Roman" w:eastAsia="仿宋_GB2312" w:cs="Times New Roman"/>
          <w:bCs/>
          <w:sz w:val="32"/>
          <w:szCs w:val="32"/>
          <w:lang w:val="en-US" w:eastAsia="zh-CN"/>
        </w:rPr>
        <w:t>1.</w:t>
      </w:r>
      <w:r>
        <w:rPr>
          <w:rFonts w:hint="eastAsia" w:ascii="Times New Roman" w:hAnsi="Times New Roman" w:eastAsia="仿宋_GB2312" w:cs="Times New Roman"/>
          <w:bCs/>
          <w:sz w:val="32"/>
          <w:szCs w:val="32"/>
          <w:lang w:val="en-US" w:eastAsia="zh-CN"/>
        </w:rPr>
        <w:t xml:space="preserve"> </w:t>
      </w:r>
      <w:r>
        <w:rPr>
          <w:rFonts w:hint="default" w:ascii="Times New Roman" w:hAnsi="Times New Roman" w:eastAsia="仿宋_GB2312" w:cs="Times New Roman"/>
          <w:bCs/>
          <w:sz w:val="32"/>
          <w:szCs w:val="32"/>
          <w:lang w:eastAsia="zh-CN"/>
        </w:rPr>
        <w:t>林木采伐许可证</w:t>
      </w:r>
    </w:p>
    <w:p w14:paraId="3AF52E0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bCs/>
          <w:sz w:val="32"/>
          <w:szCs w:val="32"/>
          <w:lang w:val="en-US" w:eastAsia="zh-CN"/>
        </w:rPr>
        <w:t>伐区小班调查设计汇总表</w:t>
      </w:r>
    </w:p>
    <w:p w14:paraId="56E6F093">
      <w:pPr>
        <w:keepNext w:val="0"/>
        <w:keepLines w:val="0"/>
        <w:pageBreakBefore w:val="0"/>
        <w:widowControl w:val="0"/>
        <w:kinsoku/>
        <w:wordWrap/>
        <w:overflowPunct/>
        <w:topLinePunct w:val="0"/>
        <w:autoSpaceDE/>
        <w:autoSpaceDN/>
        <w:bidi w:val="0"/>
        <w:adjustRightInd/>
        <w:snapToGrid/>
        <w:spacing w:line="560" w:lineRule="exact"/>
        <w:ind w:firstLine="5440" w:firstLineChars="1700"/>
        <w:textAlignment w:val="auto"/>
        <w:rPr>
          <w:rFonts w:hint="default" w:ascii="Times New Roman" w:hAnsi="Times New Roman" w:eastAsia="仿宋_GB2312" w:cs="Times New Roman"/>
          <w:kern w:val="0"/>
          <w:sz w:val="32"/>
          <w:szCs w:val="32"/>
          <w:lang w:val="en-US" w:eastAsia="zh-CN"/>
        </w:rPr>
      </w:pPr>
    </w:p>
    <w:p w14:paraId="373AFA54">
      <w:pPr>
        <w:keepNext w:val="0"/>
        <w:keepLines w:val="0"/>
        <w:pageBreakBefore w:val="0"/>
        <w:widowControl w:val="0"/>
        <w:kinsoku/>
        <w:wordWrap/>
        <w:overflowPunct/>
        <w:topLinePunct w:val="0"/>
        <w:autoSpaceDE/>
        <w:autoSpaceDN/>
        <w:bidi w:val="0"/>
        <w:adjustRightInd/>
        <w:snapToGrid/>
        <w:spacing w:line="560" w:lineRule="exact"/>
        <w:ind w:firstLine="5440" w:firstLineChars="1700"/>
        <w:textAlignment w:val="auto"/>
        <w:rPr>
          <w:rFonts w:hint="default" w:ascii="Times New Roman" w:hAnsi="Times New Roman" w:eastAsia="仿宋_GB2312" w:cs="Times New Roman"/>
          <w:kern w:val="0"/>
          <w:sz w:val="32"/>
          <w:szCs w:val="32"/>
          <w:lang w:val="en-US" w:eastAsia="zh-CN"/>
        </w:rPr>
      </w:pPr>
    </w:p>
    <w:p w14:paraId="0400E416">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2026</w:t>
      </w:r>
      <w:r>
        <w:rPr>
          <w:rFonts w:hint="default" w:ascii="Times New Roman" w:hAnsi="Times New Roman" w:eastAsia="仿宋_GB2312" w:cs="Times New Roman"/>
          <w:kern w:val="0"/>
          <w:sz w:val="32"/>
          <w:szCs w:val="32"/>
          <w:lang w:eastAsia="zh-CN"/>
        </w:rPr>
        <w:t>年</w:t>
      </w:r>
      <w:r>
        <w:rPr>
          <w:rFonts w:hint="eastAsia"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lang w:eastAsia="zh-CN"/>
        </w:rPr>
        <w:t>月</w:t>
      </w:r>
      <w:r>
        <w:rPr>
          <w:rFonts w:hint="eastAsia" w:ascii="Times New Roman" w:hAnsi="Times New Roman" w:eastAsia="仿宋_GB2312" w:cs="Times New Roman"/>
          <w:kern w:val="0"/>
          <w:sz w:val="32"/>
          <w:szCs w:val="32"/>
          <w:lang w:val="en-US" w:eastAsia="zh-CN"/>
        </w:rPr>
        <w:t>14</w:t>
      </w:r>
      <w:r>
        <w:rPr>
          <w:rFonts w:hint="default" w:ascii="Times New Roman" w:hAnsi="Times New Roman" w:eastAsia="仿宋_GB2312" w:cs="Times New Roman"/>
          <w:kern w:val="0"/>
          <w:sz w:val="32"/>
          <w:szCs w:val="32"/>
          <w:lang w:eastAsia="zh-CN"/>
        </w:rPr>
        <w:t>日</w:t>
      </w:r>
    </w:p>
    <w:p w14:paraId="69676E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eastAsia="zh-CN"/>
        </w:rPr>
        <w:t>（此件公开发布）</w:t>
      </w:r>
    </w:p>
    <w:p w14:paraId="079287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eastAsia="zh-CN"/>
        </w:rPr>
      </w:pPr>
    </w:p>
    <w:p w14:paraId="0B86EE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eastAsia="zh-CN"/>
        </w:rPr>
      </w:pPr>
    </w:p>
    <w:p w14:paraId="7C9964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eastAsia="zh-CN"/>
        </w:rPr>
      </w:pPr>
    </w:p>
    <w:p w14:paraId="06EC91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eastAsia="zh-CN"/>
        </w:rPr>
      </w:pPr>
    </w:p>
    <w:p w14:paraId="3373E2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eastAsia="zh-CN"/>
        </w:rPr>
      </w:pPr>
    </w:p>
    <w:p w14:paraId="488D32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eastAsia="zh-CN"/>
        </w:rPr>
      </w:pPr>
    </w:p>
    <w:p w14:paraId="2AB733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eastAsia="zh-CN"/>
        </w:rPr>
      </w:pPr>
    </w:p>
    <w:p w14:paraId="1FD9E6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eastAsia="zh-CN"/>
        </w:rPr>
      </w:pPr>
    </w:p>
    <w:p w14:paraId="10BA0E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eastAsia="zh-CN"/>
        </w:rPr>
      </w:pPr>
    </w:p>
    <w:p w14:paraId="0B0417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eastAsia="zh-CN"/>
        </w:rPr>
      </w:pPr>
    </w:p>
    <w:p w14:paraId="42F672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eastAsia="zh-CN"/>
        </w:rPr>
      </w:pPr>
    </w:p>
    <w:p w14:paraId="2398F4D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lang w:eastAsia="zh-CN"/>
        </w:rPr>
        <w:t>此页无正文。</w:t>
      </w:r>
    </w:p>
    <w:p w14:paraId="229B7BF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0"/>
          <w:sz w:val="32"/>
          <w:szCs w:val="32"/>
          <w:lang w:eastAsia="zh-CN"/>
        </w:rPr>
      </w:pPr>
    </w:p>
    <w:p w14:paraId="1D168A2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0"/>
          <w:sz w:val="32"/>
          <w:szCs w:val="32"/>
          <w:lang w:eastAsia="zh-CN"/>
        </w:rPr>
      </w:pPr>
    </w:p>
    <w:p w14:paraId="084610E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0"/>
          <w:sz w:val="32"/>
          <w:szCs w:val="32"/>
          <w:lang w:eastAsia="zh-CN"/>
        </w:rPr>
      </w:pPr>
    </w:p>
    <w:p w14:paraId="2600376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0"/>
          <w:sz w:val="32"/>
          <w:szCs w:val="32"/>
          <w:lang w:eastAsia="zh-CN"/>
        </w:rPr>
      </w:pPr>
    </w:p>
    <w:p w14:paraId="28B1647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0"/>
          <w:sz w:val="32"/>
          <w:szCs w:val="32"/>
          <w:lang w:eastAsia="zh-CN"/>
        </w:rPr>
      </w:pPr>
    </w:p>
    <w:p w14:paraId="03CE0FE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0"/>
          <w:sz w:val="32"/>
          <w:szCs w:val="32"/>
          <w:lang w:eastAsia="zh-CN"/>
        </w:rPr>
      </w:pPr>
    </w:p>
    <w:p w14:paraId="0FD4140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0"/>
          <w:sz w:val="32"/>
          <w:szCs w:val="32"/>
          <w:lang w:eastAsia="zh-CN"/>
        </w:rPr>
      </w:pPr>
    </w:p>
    <w:p w14:paraId="358DE82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0"/>
          <w:sz w:val="32"/>
          <w:szCs w:val="32"/>
          <w:lang w:eastAsia="zh-CN"/>
        </w:rPr>
      </w:pPr>
    </w:p>
    <w:p w14:paraId="13ECACA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0"/>
          <w:sz w:val="32"/>
          <w:szCs w:val="32"/>
          <w:lang w:eastAsia="zh-CN"/>
        </w:rPr>
      </w:pPr>
    </w:p>
    <w:p w14:paraId="53F547A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0"/>
          <w:sz w:val="32"/>
          <w:szCs w:val="32"/>
          <w:lang w:eastAsia="zh-CN"/>
        </w:rPr>
      </w:pPr>
    </w:p>
    <w:p w14:paraId="7882E40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0"/>
          <w:sz w:val="32"/>
          <w:szCs w:val="32"/>
          <w:lang w:eastAsia="zh-CN"/>
        </w:rPr>
      </w:pPr>
    </w:p>
    <w:p w14:paraId="60F517D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0"/>
          <w:sz w:val="32"/>
          <w:szCs w:val="32"/>
          <w:lang w:eastAsia="zh-CN"/>
        </w:rPr>
      </w:pPr>
    </w:p>
    <w:p w14:paraId="5639A37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0"/>
          <w:sz w:val="32"/>
          <w:szCs w:val="32"/>
          <w:lang w:eastAsia="zh-CN"/>
        </w:rPr>
      </w:pPr>
    </w:p>
    <w:p w14:paraId="2A12592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0"/>
          <w:sz w:val="32"/>
          <w:szCs w:val="32"/>
          <w:lang w:eastAsia="zh-CN"/>
        </w:rPr>
      </w:pPr>
    </w:p>
    <w:p w14:paraId="5133248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0"/>
          <w:sz w:val="32"/>
          <w:szCs w:val="32"/>
          <w:lang w:eastAsia="zh-CN"/>
        </w:rPr>
      </w:pPr>
    </w:p>
    <w:p w14:paraId="6216E1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0"/>
          <w:sz w:val="32"/>
          <w:szCs w:val="32"/>
          <w:lang w:eastAsia="zh-CN"/>
        </w:rPr>
      </w:pPr>
    </w:p>
    <w:p w14:paraId="2FC5B09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0"/>
          <w:sz w:val="32"/>
          <w:szCs w:val="32"/>
          <w:lang w:eastAsia="zh-CN"/>
        </w:rPr>
      </w:pPr>
    </w:p>
    <w:p w14:paraId="08A10A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0"/>
          <w:sz w:val="32"/>
          <w:szCs w:val="32"/>
          <w:lang w:eastAsia="zh-CN"/>
        </w:rPr>
      </w:pPr>
    </w:p>
    <w:p w14:paraId="24FAF24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kern w:val="0"/>
          <w:sz w:val="32"/>
          <w:szCs w:val="32"/>
          <w:lang w:eastAsia="zh-CN"/>
        </w:rPr>
      </w:pPr>
    </w:p>
    <w:p w14:paraId="61DFDC00">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kern w:val="0"/>
          <w:sz w:val="32"/>
          <w:szCs w:val="32"/>
          <w:lang w:eastAsia="zh-CN"/>
        </w:rPr>
      </w:pPr>
    </w:p>
    <w:p w14:paraId="6AD74679">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_GB2312" w:eastAsia="仿宋_GB2312" w:hAnsiTheme="majorEastAsia"/>
          <w:color w:val="FF0000"/>
          <w:sz w:val="28"/>
          <w:szCs w:val="28"/>
          <w:u w:val="none"/>
        </w:rPr>
      </w:pPr>
      <w:r>
        <w:rPr>
          <w:rFonts w:hint="default" w:ascii="Times New Roman" w:hAnsi="Times New Roman" w:eastAsia="仿宋_GB2312" w:cs="Times New Roman"/>
          <w:color w:val="000000"/>
          <w:spacing w:val="0"/>
          <w:sz w:val="28"/>
          <w:szCs w:val="28"/>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373380</wp:posOffset>
                </wp:positionV>
                <wp:extent cx="5628640" cy="3175"/>
                <wp:effectExtent l="0" t="0" r="0" b="0"/>
                <wp:wrapNone/>
                <wp:docPr id="2" name="Line 5"/>
                <wp:cNvGraphicFramePr/>
                <a:graphic xmlns:a="http://schemas.openxmlformats.org/drawingml/2006/main">
                  <a:graphicData uri="http://schemas.microsoft.com/office/word/2010/wordprocessingShape">
                    <wps:wsp>
                      <wps:cNvCnPr/>
                      <wps:spPr>
                        <a:xfrm flipV="1">
                          <a:off x="0" y="0"/>
                          <a:ext cx="5628640" cy="3175"/>
                        </a:xfrm>
                        <a:prstGeom prst="line">
                          <a:avLst/>
                        </a:prstGeom>
                        <a:ln w="12599" cap="flat" cmpd="sng">
                          <a:solidFill>
                            <a:srgbClr val="000000"/>
                          </a:solidFill>
                          <a:prstDash val="solid"/>
                          <a:headEnd type="none" w="med" len="med"/>
                          <a:tailEnd type="none" w="med" len="med"/>
                        </a:ln>
                      </wps:spPr>
                      <wps:bodyPr upright="1"/>
                    </wps:wsp>
                  </a:graphicData>
                </a:graphic>
              </wp:anchor>
            </w:drawing>
          </mc:Choice>
          <mc:Fallback>
            <w:pict>
              <v:line id="Line 5" o:spid="_x0000_s1026" o:spt="20" style="position:absolute;left:0pt;flip:y;margin-left:-0.75pt;margin-top:29.4pt;height:0.25pt;width:443.2pt;z-index:251661312;mso-width-relative:page;mso-height-relative:page;" filled="f" stroked="t" coordsize="21600,21600" o:gfxdata="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g5pg1gAA&#10;AAgBAAAPAAAAAAAAAAEAIAAAACIAAABkcnMvZG93bnJldi54bWxQSwECFAAUAAAACACHTuJAlRO4&#10;K+cBAADnAwAADgAAAAAAAAABACAAAAAlAQAAZHJzL2Uyb0RvYy54bWxQSwUGAAAAAAYABgBZAQAA&#10;fgUAAAAA&#10;">
                <v:fill on="f" focussize="0,0"/>
                <v:stroke weight="0.992047244094488pt" color="#000000" joinstyle="round"/>
                <v:imagedata o:title=""/>
                <o:lock v:ext="edit" aspectratio="f"/>
              </v:line>
            </w:pict>
          </mc:Fallback>
        </mc:AlternateContent>
      </w:r>
      <w:r>
        <w:rPr>
          <w:rFonts w:hint="default" w:ascii="Times New Roman" w:hAnsi="Times New Roman" w:eastAsia="仿宋_GB2312" w:cs="Times New Roman"/>
          <w:color w:val="000000"/>
          <w:spacing w:val="0"/>
          <w:sz w:val="28"/>
          <w:szCs w:val="28"/>
        </w:rPr>
        <mc:AlternateContent>
          <mc:Choice Requires="wps">
            <w:drawing>
              <wp:anchor distT="0" distB="0" distL="114300" distR="114300" simplePos="0" relativeHeight="251662336" behindDoc="0" locked="0" layoutInCell="1" allowOverlap="1">
                <wp:simplePos x="0" y="0"/>
                <wp:positionH relativeFrom="column">
                  <wp:posOffset>10160</wp:posOffset>
                </wp:positionH>
                <wp:positionV relativeFrom="paragraph">
                  <wp:posOffset>15240</wp:posOffset>
                </wp:positionV>
                <wp:extent cx="5618480" cy="4445"/>
                <wp:effectExtent l="0" t="0" r="0" b="0"/>
                <wp:wrapNone/>
                <wp:docPr id="3" name="Line 4"/>
                <wp:cNvGraphicFramePr/>
                <a:graphic xmlns:a="http://schemas.openxmlformats.org/drawingml/2006/main">
                  <a:graphicData uri="http://schemas.microsoft.com/office/word/2010/wordprocessingShape">
                    <wps:wsp>
                      <wps:cNvCnPr/>
                      <wps:spPr>
                        <a:xfrm flipV="1">
                          <a:off x="0" y="0"/>
                          <a:ext cx="5618480" cy="4445"/>
                        </a:xfrm>
                        <a:prstGeom prst="line">
                          <a:avLst/>
                        </a:prstGeom>
                        <a:ln w="8999" cap="flat" cmpd="sng">
                          <a:solidFill>
                            <a:srgbClr val="000000"/>
                          </a:solidFill>
                          <a:prstDash val="solid"/>
                          <a:headEnd type="none" w="med" len="med"/>
                          <a:tailEnd type="none" w="med" len="med"/>
                        </a:ln>
                      </wps:spPr>
                      <wps:bodyPr upright="1"/>
                    </wps:wsp>
                  </a:graphicData>
                </a:graphic>
              </wp:anchor>
            </w:drawing>
          </mc:Choice>
          <mc:Fallback>
            <w:pict>
              <v:line id="Line 4" o:spid="_x0000_s1026" o:spt="20" style="position:absolute;left:0pt;flip:y;margin-left:0.8pt;margin-top:1.2pt;height:0.35pt;width:442.4pt;z-index:251662336;mso-width-relative:page;mso-height-relative:page;" filled="f" stroked="t" coordsize="21600,21600" o:gfxdata="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EFHZtQAAAAFAQAA&#10;DwAAAAAAAAABACAAAAAiAAAAZHJzL2Rvd25yZXYueG1sUEsBAhQAFAAAAAgAh07iQNRGFhzkAQAA&#10;5gMAAA4AAAAAAAAAAQAgAAAAIwEAAGRycy9lMm9Eb2MueG1sUEsFBgAAAAAGAAYAWQEAAHkFAAAA&#10;AA==&#10;">
                <v:fill on="f" focussize="0,0"/>
                <v:stroke weight="0.708582677165354pt" color="#000000" joinstyle="round"/>
                <v:imagedata o:title=""/>
                <o:lock v:ext="edit" aspectratio="f"/>
              </v:line>
            </w:pict>
          </mc:Fallback>
        </mc:AlternateContent>
      </w:r>
      <w:r>
        <w:rPr>
          <w:rFonts w:hint="default" w:ascii="Times New Roman" w:hAnsi="Times New Roman" w:eastAsia="仿宋_GB2312" w:cs="Times New Roman"/>
          <w:color w:val="000000"/>
          <w:spacing w:val="0"/>
          <w:sz w:val="28"/>
          <w:szCs w:val="28"/>
        </w:rPr>
        <w:t xml:space="preserve">  安宁市林业和草原局办公室　　　　　　 </w:t>
      </w:r>
      <w:r>
        <w:rPr>
          <w:rFonts w:hint="eastAsia" w:ascii="Times New Roman" w:hAnsi="Times New Roman" w:eastAsia="仿宋_GB2312" w:cs="Times New Roman"/>
          <w:color w:val="000000"/>
          <w:spacing w:val="0"/>
          <w:sz w:val="28"/>
          <w:szCs w:val="28"/>
          <w:lang w:val="en-US" w:eastAsia="zh-CN"/>
        </w:rPr>
        <w:t xml:space="preserve">   2026</w:t>
      </w:r>
      <w:r>
        <w:rPr>
          <w:rFonts w:hint="default" w:ascii="Times New Roman" w:hAnsi="Times New Roman" w:eastAsia="仿宋_GB2312" w:cs="Times New Roman"/>
          <w:color w:val="000000"/>
          <w:spacing w:val="0"/>
          <w:sz w:val="28"/>
          <w:szCs w:val="28"/>
        </w:rPr>
        <w:t>年</w:t>
      </w:r>
      <w:r>
        <w:rPr>
          <w:rFonts w:hint="eastAsia" w:ascii="Times New Roman" w:hAnsi="Times New Roman" w:eastAsia="仿宋_GB2312" w:cs="Times New Roman"/>
          <w:color w:val="000000"/>
          <w:spacing w:val="0"/>
          <w:sz w:val="28"/>
          <w:szCs w:val="28"/>
          <w:lang w:val="en-US" w:eastAsia="zh-CN"/>
        </w:rPr>
        <w:t>5</w:t>
      </w:r>
      <w:r>
        <w:rPr>
          <w:rFonts w:hint="default" w:ascii="Times New Roman" w:hAnsi="Times New Roman" w:eastAsia="仿宋_GB2312" w:cs="Times New Roman"/>
          <w:color w:val="000000"/>
          <w:spacing w:val="0"/>
          <w:sz w:val="28"/>
          <w:szCs w:val="28"/>
        </w:rPr>
        <w:t>月</w:t>
      </w:r>
      <w:r>
        <w:rPr>
          <w:rFonts w:hint="eastAsia" w:ascii="Times New Roman" w:hAnsi="Times New Roman" w:eastAsia="仿宋_GB2312" w:cs="Times New Roman"/>
          <w:color w:val="000000"/>
          <w:spacing w:val="0"/>
          <w:sz w:val="28"/>
          <w:szCs w:val="28"/>
          <w:lang w:val="en-US" w:eastAsia="zh-CN"/>
        </w:rPr>
        <w:t>14</w:t>
      </w:r>
      <w:r>
        <w:rPr>
          <w:rFonts w:hint="default" w:ascii="Times New Roman" w:hAnsi="Times New Roman" w:eastAsia="仿宋_GB2312" w:cs="Times New Roman"/>
          <w:color w:val="000000"/>
          <w:spacing w:val="0"/>
          <w:sz w:val="28"/>
          <w:szCs w:val="28"/>
        </w:rPr>
        <w:t>日印发</w:t>
      </w:r>
      <w:r>
        <w:rPr>
          <w:rFonts w:hint="default" w:ascii="Times New Roman" w:hAnsi="Times New Roman" w:eastAsia="仿宋_GB2312" w:cs="Times New Roman"/>
          <w:color w:val="000000"/>
          <w:spacing w:val="0"/>
          <w:sz w:val="28"/>
          <w:szCs w:val="28"/>
          <w:lang w:val="en-US" w:eastAsia="zh-CN"/>
        </w:rPr>
        <w:t xml:space="preserve">  </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dobeFanHeitiStd-Bold">
    <w:altName w:val="MingLiU"/>
    <w:panose1 w:val="00000000000000000000"/>
    <w:charset w:val="88"/>
    <w:family w:val="auto"/>
    <w:pitch w:val="default"/>
    <w:sig w:usb0="00000000" w:usb1="00000000" w:usb2="00000010" w:usb3="00000000" w:csb0="00100000" w:csb1="00000000"/>
  </w:font>
  <w:font w:name="MingLiU">
    <w:panose1 w:val="02020509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648E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-407035</wp:posOffset>
              </wp:positionV>
              <wp:extent cx="1007745"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00774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FB17FC">
                          <w:pPr>
                            <w:pStyle w:val="4"/>
                            <w:ind w:firstLine="280" w:firstLineChars="10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2.05pt;height:144pt;width:79.35pt;mso-position-horizontal:outside;mso-position-horizontal-relative:margin;z-index:251659264;mso-width-relative:page;mso-height-relative:page;" filled="f" stroked="f" coordsize="21600,21600" o:gfxdata="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5gDQ52AAAAAgBAAAPAAAAAAAAAAEAIAAAACIAAABkcnMvZG93&#10;bnJldi54bWxQSwECFAAUAAAACACHTuJAzvYjaDkCAABjBAAADgAAAAAAAAABACAAAAAnAQAAZHJz&#10;L2Uyb0RvYy54bWxQSwUGAAAAAAYABgBZAQAA0gUAAAAA&#10;">
              <v:fill on="f" focussize="0,0"/>
              <v:stroke on="f" weight="0.5pt"/>
              <v:imagedata o:title=""/>
              <o:lock v:ext="edit" aspectratio="f"/>
              <v:textbox inset="0mm,0mm,0mm,0mm" style="mso-fit-shape-to-text:t;">
                <w:txbxContent>
                  <w:p w14:paraId="30FB17FC">
                    <w:pPr>
                      <w:pStyle w:val="4"/>
                      <w:ind w:firstLine="280" w:firstLineChars="10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D5420"/>
    <w:multiLevelType w:val="singleLevel"/>
    <w:tmpl w:val="028D5420"/>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0MWQzYjhmNGIxYWZiZjEzOWU0ODYwZjIyOTI4NDQifQ=="/>
  </w:docVars>
  <w:rsids>
    <w:rsidRoot w:val="00EA1C87"/>
    <w:rsid w:val="00001DBF"/>
    <w:rsid w:val="00054F60"/>
    <w:rsid w:val="00055BB3"/>
    <w:rsid w:val="00075A64"/>
    <w:rsid w:val="00083593"/>
    <w:rsid w:val="00093AA9"/>
    <w:rsid w:val="000E76D4"/>
    <w:rsid w:val="00127D69"/>
    <w:rsid w:val="00182B6E"/>
    <w:rsid w:val="001C40DB"/>
    <w:rsid w:val="001C4B93"/>
    <w:rsid w:val="002B35B1"/>
    <w:rsid w:val="002B542D"/>
    <w:rsid w:val="00307B78"/>
    <w:rsid w:val="003A47BC"/>
    <w:rsid w:val="003D1C2A"/>
    <w:rsid w:val="00414125"/>
    <w:rsid w:val="00432C34"/>
    <w:rsid w:val="004F4237"/>
    <w:rsid w:val="004F536C"/>
    <w:rsid w:val="00535490"/>
    <w:rsid w:val="00552FA2"/>
    <w:rsid w:val="005653D7"/>
    <w:rsid w:val="005C42CC"/>
    <w:rsid w:val="00651677"/>
    <w:rsid w:val="006A719A"/>
    <w:rsid w:val="007D654A"/>
    <w:rsid w:val="00827A75"/>
    <w:rsid w:val="00877FCB"/>
    <w:rsid w:val="008B268F"/>
    <w:rsid w:val="008B56F9"/>
    <w:rsid w:val="008B73FC"/>
    <w:rsid w:val="008C3F78"/>
    <w:rsid w:val="008F445C"/>
    <w:rsid w:val="00901946"/>
    <w:rsid w:val="0092770C"/>
    <w:rsid w:val="009F40AC"/>
    <w:rsid w:val="00A96059"/>
    <w:rsid w:val="00AB20AD"/>
    <w:rsid w:val="00B135E5"/>
    <w:rsid w:val="00B5683D"/>
    <w:rsid w:val="00B76CEC"/>
    <w:rsid w:val="00B92F0A"/>
    <w:rsid w:val="00C11E3D"/>
    <w:rsid w:val="00C32F58"/>
    <w:rsid w:val="00C70247"/>
    <w:rsid w:val="00C76E70"/>
    <w:rsid w:val="00CB036A"/>
    <w:rsid w:val="00CF6A89"/>
    <w:rsid w:val="00D16301"/>
    <w:rsid w:val="00DA4B10"/>
    <w:rsid w:val="00DA7391"/>
    <w:rsid w:val="00DB5561"/>
    <w:rsid w:val="00DE7366"/>
    <w:rsid w:val="00DF23FE"/>
    <w:rsid w:val="00E34C0D"/>
    <w:rsid w:val="00EA1C87"/>
    <w:rsid w:val="00F7562F"/>
    <w:rsid w:val="00FB1BD3"/>
    <w:rsid w:val="00FD1654"/>
    <w:rsid w:val="00FE0EA4"/>
    <w:rsid w:val="00FF0D5D"/>
    <w:rsid w:val="0153219B"/>
    <w:rsid w:val="028353C8"/>
    <w:rsid w:val="045E4A8E"/>
    <w:rsid w:val="04F26D93"/>
    <w:rsid w:val="095A4F28"/>
    <w:rsid w:val="0BF92845"/>
    <w:rsid w:val="0BFF4C4E"/>
    <w:rsid w:val="0E7D456E"/>
    <w:rsid w:val="1B612C38"/>
    <w:rsid w:val="1BFFEC2B"/>
    <w:rsid w:val="1D542721"/>
    <w:rsid w:val="1E177362"/>
    <w:rsid w:val="22DB4CE2"/>
    <w:rsid w:val="293D6190"/>
    <w:rsid w:val="2A8D447D"/>
    <w:rsid w:val="2E3737E1"/>
    <w:rsid w:val="2F675A9B"/>
    <w:rsid w:val="30441BE8"/>
    <w:rsid w:val="33266B84"/>
    <w:rsid w:val="334601B5"/>
    <w:rsid w:val="36205808"/>
    <w:rsid w:val="37FC3081"/>
    <w:rsid w:val="39491C1A"/>
    <w:rsid w:val="39494A4E"/>
    <w:rsid w:val="3B646368"/>
    <w:rsid w:val="3BCD58CB"/>
    <w:rsid w:val="3CA953F8"/>
    <w:rsid w:val="3CCF1C67"/>
    <w:rsid w:val="463F57AB"/>
    <w:rsid w:val="56682FDE"/>
    <w:rsid w:val="58415926"/>
    <w:rsid w:val="585C1E35"/>
    <w:rsid w:val="5FB07492"/>
    <w:rsid w:val="642A6EEB"/>
    <w:rsid w:val="67831456"/>
    <w:rsid w:val="6C4C0E99"/>
    <w:rsid w:val="6E6D73AA"/>
    <w:rsid w:val="747E7D09"/>
    <w:rsid w:val="7B6F33D7"/>
    <w:rsid w:val="F5CD380B"/>
    <w:rsid w:val="F7315177"/>
    <w:rsid w:val="F7FFC7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Balloon Text"/>
    <w:basedOn w:val="1"/>
    <w:link w:val="13"/>
    <w:semiHidden/>
    <w:unhideWhenUsed/>
    <w:qFormat/>
    <w:uiPriority w:val="99"/>
    <w:rPr>
      <w:sz w:val="18"/>
      <w:szCs w:val="18"/>
    </w:r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List Paragraph"/>
    <w:basedOn w:val="1"/>
    <w:qFormat/>
    <w:uiPriority w:val="34"/>
    <w:pPr>
      <w:ind w:firstLine="420" w:firstLineChars="200"/>
    </w:pPr>
  </w:style>
  <w:style w:type="character" w:customStyle="1" w:styleId="10">
    <w:name w:val="日期 Char"/>
    <w:basedOn w:val="8"/>
    <w:link w:val="2"/>
    <w:semiHidden/>
    <w:qFormat/>
    <w:uiPriority w:val="99"/>
  </w:style>
  <w:style w:type="character" w:customStyle="1" w:styleId="11">
    <w:name w:val="页眉 Char"/>
    <w:basedOn w:val="8"/>
    <w:link w:val="5"/>
    <w:semiHidden/>
    <w:qFormat/>
    <w:uiPriority w:val="99"/>
    <w:rPr>
      <w:sz w:val="18"/>
      <w:szCs w:val="18"/>
    </w:rPr>
  </w:style>
  <w:style w:type="character" w:customStyle="1" w:styleId="12">
    <w:name w:val="页脚 Char"/>
    <w:basedOn w:val="8"/>
    <w:link w:val="4"/>
    <w:semiHidden/>
    <w:qFormat/>
    <w:uiPriority w:val="99"/>
    <w:rPr>
      <w:sz w:val="18"/>
      <w:szCs w:val="18"/>
    </w:rPr>
  </w:style>
  <w:style w:type="character" w:customStyle="1" w:styleId="13">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642</Words>
  <Characters>677</Characters>
  <Lines>4</Lines>
  <Paragraphs>1</Paragraphs>
  <TotalTime>3</TotalTime>
  <ScaleCrop>false</ScaleCrop>
  <LinksUpToDate>false</LinksUpToDate>
  <CharactersWithSpaces>788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2021-04-08T19:30:00Z</dcterms:created>
  <dc:creator>acer</dc:creator>
  <cp:lastModifiedBy>李雪</cp:lastModifiedBy>
  <dcterms:modified xsi:type="dcterms:W3CDTF">2026-05-13T08:19:24Z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346896C700694055891928DCA52363F6_13</vt:lpwstr>
  </property>
</Properties>
</file>