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94349">
      <w:pPr>
        <w:rPr>
          <w:rFonts w:hint="default" w:ascii="Times New Roman" w:hAnsi="Times New Roman" w:eastAsia="仿宋_GB2312" w:cs="Times New Roman"/>
          <w:color w:val="0000FF"/>
          <w:sz w:val="36"/>
          <w:szCs w:val="36"/>
        </w:rPr>
      </w:pPr>
      <w:bookmarkStart w:id="26" w:name="_GoBack"/>
      <w:bookmarkStart w:id="0" w:name="_Hlk57883707"/>
    </w:p>
    <w:p w14:paraId="15136FFF">
      <w:pPr>
        <w:rPr>
          <w:rFonts w:hint="default" w:ascii="Times New Roman" w:hAnsi="Times New Roman" w:eastAsia="仿宋_GB2312" w:cs="Times New Roman"/>
          <w:color w:val="auto"/>
          <w:sz w:val="36"/>
          <w:szCs w:val="36"/>
        </w:rPr>
      </w:pPr>
    </w:p>
    <w:p w14:paraId="1F77AF0B">
      <w:pPr>
        <w:rPr>
          <w:rFonts w:hint="default" w:ascii="Times New Roman" w:hAnsi="Times New Roman" w:eastAsia="仿宋_GB2312" w:cs="Times New Roman"/>
          <w:color w:val="auto"/>
          <w:sz w:val="36"/>
          <w:szCs w:val="36"/>
        </w:rPr>
      </w:pPr>
    </w:p>
    <w:p w14:paraId="62594E31">
      <w:pPr>
        <w:rPr>
          <w:rFonts w:hint="default" w:ascii="Times New Roman" w:hAnsi="Times New Roman" w:eastAsia="仿宋_GB2312" w:cs="Times New Roman"/>
          <w:color w:val="auto"/>
          <w:sz w:val="36"/>
          <w:szCs w:val="36"/>
        </w:rPr>
      </w:pPr>
    </w:p>
    <w:bookmarkEnd w:id="0"/>
    <w:p w14:paraId="66B0C7C4">
      <w:pPr>
        <w:adjustRightInd w:val="0"/>
        <w:snapToGrid w:val="0"/>
        <w:jc w:val="center"/>
        <w:outlineLvl w:val="0"/>
        <w:rPr>
          <w:rFonts w:hint="default" w:ascii="Times New Roman" w:hAnsi="Times New Roman" w:eastAsia="方正小标宋_GBK" w:cs="Times New Roman"/>
          <w:bCs/>
          <w:color w:val="auto"/>
          <w:sz w:val="72"/>
          <w:szCs w:val="72"/>
        </w:rPr>
      </w:pPr>
      <w:bookmarkStart w:id="1" w:name="_Toc659"/>
      <w:r>
        <w:rPr>
          <w:rFonts w:hint="default" w:ascii="Times New Roman" w:hAnsi="Times New Roman" w:eastAsia="方正小标宋_GBK" w:cs="Times New Roman"/>
          <w:bCs/>
          <w:color w:val="auto"/>
          <w:sz w:val="72"/>
          <w:szCs w:val="72"/>
        </w:rPr>
        <w:t>建设项目环境影响报告表</w:t>
      </w:r>
      <w:bookmarkEnd w:id="1"/>
    </w:p>
    <w:p w14:paraId="43CB21CC">
      <w:pPr>
        <w:adjustRightInd w:val="0"/>
        <w:snapToGrid w:val="0"/>
        <w:spacing w:before="192" w:beforeLines="80"/>
        <w:jc w:val="center"/>
        <w:rPr>
          <w:rFonts w:hint="default" w:ascii="Times New Roman" w:hAnsi="Times New Roman" w:eastAsia="楷体_GB2312" w:cs="Times New Roman"/>
          <w:bCs/>
          <w:color w:val="auto"/>
          <w:sz w:val="48"/>
          <w:szCs w:val="48"/>
        </w:rPr>
      </w:pPr>
      <w:r>
        <w:rPr>
          <w:rFonts w:hint="eastAsia" w:eastAsia="楷体_GB2312" w:cs="Times New Roman"/>
          <w:bCs/>
          <w:color w:val="auto"/>
          <w:sz w:val="48"/>
          <w:szCs w:val="48"/>
          <w:lang w:eastAsia="zh-CN"/>
        </w:rPr>
        <w:t>（</w:t>
      </w:r>
      <w:r>
        <w:rPr>
          <w:rFonts w:hint="default" w:ascii="Times New Roman" w:hAnsi="Times New Roman" w:eastAsia="楷体_GB2312" w:cs="Times New Roman"/>
          <w:bCs/>
          <w:color w:val="auto"/>
          <w:sz w:val="48"/>
          <w:szCs w:val="48"/>
        </w:rPr>
        <w:t>生态影响类）</w:t>
      </w:r>
    </w:p>
    <w:p w14:paraId="3A554B43">
      <w:pPr>
        <w:adjustRightInd w:val="0"/>
        <w:snapToGrid w:val="0"/>
        <w:spacing w:line="288" w:lineRule="auto"/>
        <w:jc w:val="center"/>
        <w:outlineLvl w:val="0"/>
        <w:rPr>
          <w:rFonts w:hint="default" w:ascii="Times New Roman" w:hAnsi="Times New Roman" w:eastAsia="华文仿宋" w:cs="Times New Roman"/>
          <w:color w:val="auto"/>
          <w:kern w:val="44"/>
          <w:sz w:val="44"/>
          <w:szCs w:val="44"/>
        </w:rPr>
      </w:pPr>
      <w:bookmarkStart w:id="2" w:name="_Hlk57883728"/>
    </w:p>
    <w:p w14:paraId="3AF51A22">
      <w:pPr>
        <w:jc w:val="center"/>
        <w:rPr>
          <w:rFonts w:hint="default" w:ascii="Times New Roman" w:hAnsi="Times New Roman" w:eastAsia="仿宋" w:cs="Times New Roman"/>
          <w:color w:val="auto"/>
          <w:sz w:val="52"/>
          <w:szCs w:val="52"/>
        </w:rPr>
      </w:pPr>
    </w:p>
    <w:p w14:paraId="7A8B7553">
      <w:pPr>
        <w:ind w:firstLine="1040"/>
        <w:rPr>
          <w:rFonts w:hint="default" w:ascii="Times New Roman" w:hAnsi="Times New Roman" w:eastAsia="仿宋" w:cs="Times New Roman"/>
          <w:color w:val="auto"/>
          <w:sz w:val="44"/>
          <w:szCs w:val="44"/>
        </w:rPr>
      </w:pPr>
    </w:p>
    <w:p w14:paraId="5DDB1946">
      <w:pPr>
        <w:pStyle w:val="25"/>
        <w:rPr>
          <w:rFonts w:hint="default"/>
          <w:color w:val="auto"/>
        </w:rPr>
      </w:pPr>
    </w:p>
    <w:p w14:paraId="120BDDFC">
      <w:pPr>
        <w:ind w:firstLine="1040"/>
        <w:rPr>
          <w:rFonts w:hint="default" w:ascii="Times New Roman" w:hAnsi="Times New Roman" w:eastAsia="仿宋" w:cs="Times New Roman"/>
          <w:color w:val="auto"/>
          <w:sz w:val="44"/>
          <w:szCs w:val="44"/>
        </w:rPr>
      </w:pPr>
    </w:p>
    <w:p w14:paraId="4602EBC0">
      <w:pPr>
        <w:ind w:firstLine="1040"/>
        <w:rPr>
          <w:rFonts w:hint="default" w:ascii="Times New Roman" w:hAnsi="Times New Roman" w:eastAsia="仿宋" w:cs="Times New Roman"/>
          <w:color w:val="auto"/>
          <w:sz w:val="44"/>
          <w:szCs w:val="44"/>
        </w:rPr>
      </w:pPr>
    </w:p>
    <w:p w14:paraId="5E58C9D4">
      <w:pPr>
        <w:ind w:firstLine="1040"/>
        <w:rPr>
          <w:rFonts w:hint="default" w:ascii="Times New Roman" w:hAnsi="Times New Roman" w:eastAsia="仿宋" w:cs="Times New Roman"/>
          <w:color w:val="auto"/>
          <w:sz w:val="44"/>
          <w:szCs w:val="44"/>
        </w:rPr>
      </w:pPr>
    </w:p>
    <w:bookmarkEnd w:id="2"/>
    <w:p w14:paraId="1D393F73">
      <w:pPr>
        <w:keepNext w:val="0"/>
        <w:keepLines w:val="0"/>
        <w:pageBreakBefore w:val="0"/>
        <w:widowControl w:val="0"/>
        <w:kinsoku/>
        <w:wordWrap/>
        <w:overflowPunct/>
        <w:topLinePunct w:val="0"/>
        <w:autoSpaceDE/>
        <w:autoSpaceDN/>
        <w:bidi w:val="0"/>
        <w:adjustRightInd w:val="0"/>
        <w:snapToGrid w:val="0"/>
        <w:spacing w:line="360" w:lineRule="auto"/>
        <w:ind w:firstLine="1037"/>
        <w:textAlignment w:val="auto"/>
        <w:rPr>
          <w:rFonts w:hint="default" w:ascii="Times New Roman" w:hAnsi="Times New Roman" w:eastAsia="仿宋_GB2312" w:cs="Times New Roman"/>
          <w:color w:val="auto"/>
          <w:sz w:val="36"/>
          <w:szCs w:val="36"/>
          <w:u w:val="single"/>
        </w:rPr>
      </w:pPr>
      <w:r>
        <w:rPr>
          <w:rFonts w:hint="default" w:ascii="Times New Roman" w:hAnsi="Times New Roman" w:eastAsia="仿宋_GB2312" w:cs="Times New Roman"/>
          <w:color w:val="auto"/>
          <w:sz w:val="36"/>
          <w:szCs w:val="36"/>
        </w:rPr>
        <w:t>项目名称：</w:t>
      </w:r>
      <w:r>
        <w:rPr>
          <w:rFonts w:hint="eastAsia" w:eastAsia="仿宋_GB2312" w:cs="Times New Roman"/>
          <w:color w:val="auto"/>
          <w:sz w:val="36"/>
          <w:szCs w:val="36"/>
          <w:u w:val="single"/>
          <w:lang w:val="en-US" w:eastAsia="zh-CN"/>
        </w:rPr>
        <w:t>安宁市小型引调水工程项目</w:t>
      </w:r>
      <w:r>
        <w:rPr>
          <w:rFonts w:hint="default" w:ascii="Times New Roman" w:hAnsi="Times New Roman" w:eastAsia="仿宋_GB2312" w:cs="Times New Roman"/>
          <w:color w:val="auto"/>
          <w:sz w:val="36"/>
          <w:szCs w:val="36"/>
          <w:u w:val="single"/>
          <w:lang w:val="en-US" w:eastAsia="zh-CN"/>
        </w:rPr>
        <w:t xml:space="preserve"> </w:t>
      </w:r>
      <w:r>
        <w:rPr>
          <w:rFonts w:hint="eastAsia" w:eastAsia="仿宋_GB2312" w:cs="Times New Roman"/>
          <w:color w:val="auto"/>
          <w:sz w:val="36"/>
          <w:szCs w:val="36"/>
          <w:u w:val="single"/>
          <w:lang w:val="en-US" w:eastAsia="zh-CN"/>
        </w:rPr>
        <w:t xml:space="preserve">      </w:t>
      </w:r>
      <w:r>
        <w:rPr>
          <w:rFonts w:hint="default" w:ascii="Times New Roman" w:hAnsi="Times New Roman" w:eastAsia="仿宋_GB2312" w:cs="Times New Roman"/>
          <w:color w:val="auto"/>
          <w:sz w:val="36"/>
          <w:szCs w:val="36"/>
          <w:u w:val="single"/>
          <w:lang w:val="en-US" w:eastAsia="zh-CN"/>
        </w:rPr>
        <w:t xml:space="preserve"> </w:t>
      </w:r>
      <w:r>
        <w:rPr>
          <w:rFonts w:hint="default" w:ascii="Times New Roman" w:hAnsi="Times New Roman" w:eastAsia="仿宋_GB2312" w:cs="Times New Roman"/>
          <w:color w:val="auto"/>
          <w:sz w:val="36"/>
          <w:szCs w:val="36"/>
          <w:u w:val="single"/>
        </w:rPr>
        <w:t xml:space="preserve"> </w:t>
      </w:r>
    </w:p>
    <w:p w14:paraId="5B9EAE8B">
      <w:pPr>
        <w:keepNext w:val="0"/>
        <w:keepLines w:val="0"/>
        <w:pageBreakBefore w:val="0"/>
        <w:widowControl w:val="0"/>
        <w:kinsoku/>
        <w:wordWrap/>
        <w:overflowPunct/>
        <w:topLinePunct w:val="0"/>
        <w:autoSpaceDE/>
        <w:autoSpaceDN/>
        <w:bidi w:val="0"/>
        <w:adjustRightInd w:val="0"/>
        <w:snapToGrid w:val="0"/>
        <w:spacing w:line="360" w:lineRule="auto"/>
        <w:ind w:firstLine="1037"/>
        <w:textAlignment w:val="auto"/>
        <w:rPr>
          <w:rFonts w:hint="default" w:ascii="Times New Roman" w:hAnsi="Times New Roman" w:eastAsia="仿宋_GB2312" w:cs="Times New Roman"/>
          <w:color w:val="auto"/>
          <w:sz w:val="36"/>
          <w:szCs w:val="36"/>
          <w:u w:val="single"/>
        </w:rPr>
      </w:pPr>
      <w:r>
        <w:rPr>
          <w:rFonts w:hint="default" w:ascii="Times New Roman" w:hAnsi="Times New Roman" w:eastAsia="仿宋_GB2312" w:cs="Times New Roman"/>
          <w:color w:val="auto"/>
          <w:sz w:val="36"/>
          <w:szCs w:val="36"/>
        </w:rPr>
        <w:t>建设单位</w:t>
      </w:r>
      <w:r>
        <w:rPr>
          <w:rFonts w:hint="eastAsia" w:eastAsia="仿宋_GB2312" w:cs="Times New Roman"/>
          <w:color w:val="auto"/>
          <w:sz w:val="36"/>
          <w:szCs w:val="36"/>
          <w:lang w:eastAsia="zh-CN"/>
        </w:rPr>
        <w:t>（</w:t>
      </w:r>
      <w:r>
        <w:rPr>
          <w:rFonts w:hint="default" w:ascii="Times New Roman" w:hAnsi="Times New Roman" w:eastAsia="仿宋_GB2312" w:cs="Times New Roman"/>
          <w:color w:val="auto"/>
          <w:sz w:val="36"/>
          <w:szCs w:val="36"/>
        </w:rPr>
        <w:t>盖章）：</w:t>
      </w:r>
      <w:r>
        <w:rPr>
          <w:rFonts w:hint="default" w:ascii="Times New Roman" w:hAnsi="Times New Roman" w:eastAsia="仿宋_GB2312" w:cs="Times New Roman"/>
          <w:color w:val="auto"/>
          <w:sz w:val="36"/>
          <w:szCs w:val="36"/>
          <w:u w:val="single"/>
          <w:lang w:val="en-US" w:eastAsia="zh-CN"/>
        </w:rPr>
        <w:t>安宁市水务局</w:t>
      </w:r>
      <w:r>
        <w:rPr>
          <w:rFonts w:hint="default" w:ascii="Times New Roman" w:hAnsi="Times New Roman" w:eastAsia="仿宋_GB2312" w:cs="Times New Roman"/>
          <w:color w:val="auto"/>
          <w:sz w:val="36"/>
          <w:szCs w:val="36"/>
          <w:u w:val="single"/>
        </w:rPr>
        <w:t xml:space="preserve">              </w:t>
      </w:r>
    </w:p>
    <w:p w14:paraId="31D3DAFD">
      <w:pPr>
        <w:keepNext w:val="0"/>
        <w:keepLines w:val="0"/>
        <w:pageBreakBefore w:val="0"/>
        <w:widowControl w:val="0"/>
        <w:kinsoku/>
        <w:wordWrap/>
        <w:overflowPunct/>
        <w:topLinePunct w:val="0"/>
        <w:autoSpaceDE/>
        <w:autoSpaceDN/>
        <w:bidi w:val="0"/>
        <w:adjustRightInd w:val="0"/>
        <w:snapToGrid w:val="0"/>
        <w:spacing w:line="360" w:lineRule="auto"/>
        <w:ind w:firstLine="1037"/>
        <w:textAlignment w:val="auto"/>
        <w:rPr>
          <w:rFonts w:hint="default" w:ascii="Times New Roman" w:hAnsi="Times New Roman" w:eastAsia="仿宋_GB2312" w:cs="Times New Roman"/>
          <w:color w:val="auto"/>
          <w:sz w:val="36"/>
          <w:szCs w:val="36"/>
          <w:u w:val="single"/>
        </w:rPr>
      </w:pPr>
      <w:r>
        <w:rPr>
          <w:rFonts w:hint="default" w:ascii="Times New Roman" w:hAnsi="Times New Roman" w:eastAsia="仿宋_GB2312" w:cs="Times New Roman"/>
          <w:color w:val="auto"/>
          <w:sz w:val="36"/>
          <w:szCs w:val="36"/>
        </w:rPr>
        <w:t>编制日期：</w:t>
      </w:r>
      <w:r>
        <w:rPr>
          <w:rFonts w:hint="default" w:ascii="Times New Roman" w:hAnsi="Times New Roman" w:eastAsia="仿宋_GB2312" w:cs="Times New Roman"/>
          <w:color w:val="auto"/>
          <w:sz w:val="36"/>
          <w:szCs w:val="36"/>
          <w:u w:val="single"/>
          <w:lang w:val="en-US" w:eastAsia="zh-CN"/>
        </w:rPr>
        <w:t>202</w:t>
      </w:r>
      <w:r>
        <w:rPr>
          <w:rFonts w:hint="eastAsia" w:eastAsia="仿宋_GB2312" w:cs="Times New Roman"/>
          <w:color w:val="auto"/>
          <w:sz w:val="36"/>
          <w:szCs w:val="36"/>
          <w:u w:val="single"/>
          <w:lang w:val="en-US" w:eastAsia="zh-CN"/>
        </w:rPr>
        <w:t>6</w:t>
      </w:r>
      <w:r>
        <w:rPr>
          <w:rFonts w:hint="default" w:ascii="Times New Roman" w:hAnsi="Times New Roman" w:eastAsia="仿宋_GB2312" w:cs="Times New Roman"/>
          <w:color w:val="auto"/>
          <w:sz w:val="36"/>
          <w:szCs w:val="36"/>
          <w:u w:val="single"/>
          <w:lang w:val="en-US" w:eastAsia="zh-CN"/>
        </w:rPr>
        <w:t>年</w:t>
      </w:r>
      <w:r>
        <w:rPr>
          <w:rFonts w:hint="eastAsia" w:eastAsia="仿宋_GB2312" w:cs="Times New Roman"/>
          <w:color w:val="auto"/>
          <w:sz w:val="36"/>
          <w:szCs w:val="36"/>
          <w:u w:val="single"/>
          <w:lang w:val="en-US" w:eastAsia="zh-CN"/>
        </w:rPr>
        <w:t>07</w:t>
      </w:r>
      <w:r>
        <w:rPr>
          <w:rFonts w:hint="default" w:ascii="Times New Roman" w:hAnsi="Times New Roman" w:eastAsia="仿宋_GB2312" w:cs="Times New Roman"/>
          <w:color w:val="auto"/>
          <w:sz w:val="36"/>
          <w:szCs w:val="36"/>
          <w:u w:val="single"/>
          <w:lang w:val="en-US" w:eastAsia="zh-CN"/>
        </w:rPr>
        <w:t xml:space="preserve">月      </w:t>
      </w:r>
      <w:r>
        <w:rPr>
          <w:rFonts w:hint="default" w:ascii="Times New Roman" w:hAnsi="Times New Roman" w:eastAsia="仿宋_GB2312" w:cs="Times New Roman"/>
          <w:color w:val="auto"/>
          <w:sz w:val="36"/>
          <w:szCs w:val="36"/>
          <w:u w:val="single"/>
        </w:rPr>
        <w:t xml:space="preserve">                 </w:t>
      </w:r>
    </w:p>
    <w:p w14:paraId="45AE5559">
      <w:pPr>
        <w:adjustRightInd w:val="0"/>
        <w:snapToGrid w:val="0"/>
        <w:spacing w:line="288" w:lineRule="auto"/>
        <w:ind w:firstLine="1040"/>
        <w:rPr>
          <w:rFonts w:hint="default" w:ascii="Times New Roman" w:hAnsi="Times New Roman" w:eastAsia="仿宋_GB2312" w:cs="Times New Roman"/>
          <w:color w:val="auto"/>
          <w:sz w:val="36"/>
          <w:szCs w:val="36"/>
          <w:u w:val="single"/>
        </w:rPr>
      </w:pPr>
    </w:p>
    <w:p w14:paraId="79F0A372">
      <w:pPr>
        <w:adjustRightInd w:val="0"/>
        <w:snapToGrid w:val="0"/>
        <w:spacing w:line="288" w:lineRule="auto"/>
        <w:ind w:firstLine="1040"/>
        <w:rPr>
          <w:rFonts w:hint="default" w:ascii="Times New Roman" w:hAnsi="Times New Roman" w:eastAsia="仿宋_GB2312" w:cs="Times New Roman"/>
          <w:color w:val="auto"/>
          <w:sz w:val="36"/>
          <w:szCs w:val="36"/>
        </w:rPr>
      </w:pPr>
    </w:p>
    <w:p w14:paraId="03559041">
      <w:pPr>
        <w:adjustRightInd w:val="0"/>
        <w:snapToGrid w:val="0"/>
        <w:spacing w:line="288" w:lineRule="auto"/>
        <w:ind w:firstLine="1040"/>
        <w:rPr>
          <w:rFonts w:hint="default" w:ascii="Times New Roman" w:hAnsi="Times New Roman" w:eastAsia="仿宋_GB2312" w:cs="Times New Roman"/>
          <w:color w:val="auto"/>
          <w:sz w:val="21"/>
          <w:szCs w:val="21"/>
        </w:rPr>
      </w:pPr>
    </w:p>
    <w:p w14:paraId="6D8EDFF6">
      <w:pPr>
        <w:pStyle w:val="25"/>
        <w:rPr>
          <w:rFonts w:hint="default" w:ascii="Times New Roman" w:hAnsi="Times New Roman" w:eastAsia="仿宋_GB2312" w:cs="Times New Roman"/>
          <w:color w:val="auto"/>
          <w:sz w:val="21"/>
          <w:szCs w:val="21"/>
        </w:rPr>
      </w:pPr>
    </w:p>
    <w:p w14:paraId="4EF7A77B">
      <w:pPr>
        <w:pStyle w:val="25"/>
        <w:rPr>
          <w:rFonts w:hint="default" w:ascii="Times New Roman" w:hAnsi="Times New Roman" w:eastAsia="仿宋_GB2312" w:cs="Times New Roman"/>
          <w:color w:val="auto"/>
          <w:sz w:val="21"/>
          <w:szCs w:val="21"/>
        </w:rPr>
      </w:pPr>
    </w:p>
    <w:p w14:paraId="3F13742D">
      <w:pPr>
        <w:pStyle w:val="25"/>
        <w:rPr>
          <w:rFonts w:hint="default" w:ascii="Times New Roman" w:hAnsi="Times New Roman" w:cs="Times New Roman"/>
          <w:color w:val="auto"/>
          <w:sz w:val="21"/>
          <w:szCs w:val="21"/>
        </w:rPr>
      </w:pPr>
    </w:p>
    <w:p w14:paraId="2E690FC3">
      <w:pPr>
        <w:pStyle w:val="24"/>
        <w:rPr>
          <w:rFonts w:hint="default"/>
          <w:color w:val="auto"/>
        </w:rPr>
      </w:pPr>
    </w:p>
    <w:p w14:paraId="3D21E1EB">
      <w:pPr>
        <w:adjustRightInd w:val="0"/>
        <w:snapToGrid w:val="0"/>
        <w:spacing w:line="288" w:lineRule="auto"/>
        <w:ind w:firstLine="1040"/>
        <w:rPr>
          <w:rFonts w:hint="default" w:ascii="Times New Roman" w:hAnsi="Times New Roman" w:eastAsia="仿宋_GB2312" w:cs="Times New Roman"/>
          <w:color w:val="auto"/>
          <w:sz w:val="21"/>
          <w:szCs w:val="21"/>
        </w:rPr>
      </w:pPr>
    </w:p>
    <w:p w14:paraId="5B24BAD7">
      <w:pPr>
        <w:adjustRightInd w:val="0"/>
        <w:snapToGrid w:val="0"/>
        <w:spacing w:line="288" w:lineRule="auto"/>
        <w:ind w:firstLine="1040"/>
        <w:rPr>
          <w:rFonts w:hint="default" w:ascii="Times New Roman" w:hAnsi="Times New Roman" w:eastAsia="仿宋_GB2312" w:cs="Times New Roman"/>
          <w:color w:val="auto"/>
          <w:sz w:val="36"/>
          <w:szCs w:val="36"/>
        </w:rPr>
      </w:pPr>
    </w:p>
    <w:p w14:paraId="30474381">
      <w:pPr>
        <w:adjustRightInd w:val="0"/>
        <w:snapToGrid w:val="0"/>
        <w:spacing w:line="288" w:lineRule="auto"/>
        <w:jc w:val="center"/>
        <w:rPr>
          <w:rFonts w:hint="default" w:ascii="Times New Roman" w:hAnsi="Times New Roman" w:eastAsia="楷体_GB2312" w:cs="Times New Roman"/>
          <w:color w:val="auto"/>
          <w:sz w:val="36"/>
          <w:szCs w:val="36"/>
        </w:rPr>
      </w:pPr>
      <w:r>
        <w:rPr>
          <w:rFonts w:hint="default" w:ascii="Times New Roman" w:hAnsi="Times New Roman" w:eastAsia="楷体_GB2312" w:cs="Times New Roman"/>
          <w:color w:val="auto"/>
          <w:sz w:val="36"/>
          <w:szCs w:val="36"/>
        </w:rPr>
        <w:t>中华人民共和国生态环境部制</w:t>
      </w:r>
    </w:p>
    <w:p w14:paraId="68C71997">
      <w:pPr>
        <w:adjustRightInd w:val="0"/>
        <w:snapToGrid w:val="0"/>
        <w:spacing w:line="288" w:lineRule="auto"/>
        <w:rPr>
          <w:rFonts w:hint="default" w:ascii="Times New Roman" w:hAnsi="Times New Roman" w:eastAsia="仿宋_GB2312" w:cs="Times New Roman"/>
          <w:color w:val="0000FF"/>
          <w:sz w:val="36"/>
          <w:szCs w:val="36"/>
        </w:rPr>
        <w:sectPr>
          <w:footerReference r:id="rId3" w:type="default"/>
          <w:pgSz w:w="11906" w:h="16838"/>
          <w:pgMar w:top="1134" w:right="1134" w:bottom="1134" w:left="1701" w:header="851" w:footer="1077" w:gutter="0"/>
          <w:pgNumType w:start="21"/>
          <w:cols w:space="720" w:num="1"/>
          <w:docGrid w:linePitch="312" w:charSpace="0"/>
        </w:sectPr>
      </w:pPr>
    </w:p>
    <w:p w14:paraId="2A562ABA">
      <w:pPr>
        <w:pStyle w:val="25"/>
        <w:ind w:left="0" w:leftChars="0" w:firstLine="0" w:firstLineChars="0"/>
        <w:jc w:val="center"/>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目    录</w:t>
      </w:r>
    </w:p>
    <w:p w14:paraId="5DF6E916">
      <w:pPr>
        <w:pStyle w:val="19"/>
        <w:tabs>
          <w:tab w:val="right" w:leader="dot" w:pos="8844"/>
        </w:tabs>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8"/>
          <w:szCs w:val="28"/>
          <w:lang w:val="en-US" w:eastAsia="zh-CN"/>
        </w:rPr>
        <w:fldChar w:fldCharType="begin"/>
      </w:r>
      <w:r>
        <w:rPr>
          <w:rFonts w:hint="default" w:ascii="Times New Roman" w:hAnsi="Times New Roman" w:eastAsia="宋体" w:cs="Times New Roman"/>
          <w:b/>
          <w:bCs/>
          <w:color w:val="auto"/>
          <w:sz w:val="28"/>
          <w:szCs w:val="28"/>
          <w:lang w:val="en-US" w:eastAsia="zh-CN"/>
        </w:rPr>
        <w:instrText xml:space="preserve">TOC \o "1-1" \h \u </w:instrText>
      </w:r>
      <w:r>
        <w:rPr>
          <w:rFonts w:hint="default" w:ascii="Times New Roman" w:hAnsi="Times New Roman" w:eastAsia="宋体" w:cs="Times New Roman"/>
          <w:b/>
          <w:bCs/>
          <w:color w:val="auto"/>
          <w:sz w:val="28"/>
          <w:szCs w:val="28"/>
          <w:lang w:val="en-US" w:eastAsia="zh-CN"/>
        </w:rPr>
        <w:fldChar w:fldCharType="separate"/>
      </w:r>
      <w:r>
        <w:rPr>
          <w:rFonts w:hint="default" w:ascii="Times New Roman" w:hAnsi="Times New Roman" w:eastAsia="宋体" w:cs="Times New Roman"/>
          <w:b/>
          <w:bCs/>
          <w:color w:val="auto"/>
          <w:sz w:val="24"/>
          <w:szCs w:val="24"/>
          <w:lang w:val="en-US" w:eastAsia="zh-CN"/>
        </w:rPr>
        <w:fldChar w:fldCharType="begin"/>
      </w:r>
      <w:r>
        <w:rPr>
          <w:rFonts w:hint="default" w:ascii="Times New Roman" w:hAnsi="Times New Roman" w:eastAsia="宋体" w:cs="Times New Roman"/>
          <w:b/>
          <w:bCs/>
          <w:color w:val="auto"/>
          <w:sz w:val="24"/>
          <w:szCs w:val="24"/>
          <w:lang w:val="en-US" w:eastAsia="zh-CN"/>
        </w:rPr>
        <w:instrText xml:space="preserve"> HYPERLINK \l _Toc14315 </w:instrText>
      </w:r>
      <w:r>
        <w:rPr>
          <w:rFonts w:hint="default" w:ascii="Times New Roman" w:hAnsi="Times New Roman" w:eastAsia="宋体" w:cs="Times New Roman"/>
          <w:b/>
          <w:bCs/>
          <w:color w:val="auto"/>
          <w:sz w:val="24"/>
          <w:szCs w:val="24"/>
          <w:lang w:val="en-US" w:eastAsia="zh-CN"/>
        </w:rPr>
        <w:fldChar w:fldCharType="separate"/>
      </w:r>
      <w:r>
        <w:rPr>
          <w:rFonts w:hint="default" w:ascii="Times New Roman" w:hAnsi="Times New Roman" w:eastAsia="宋体" w:cs="Times New Roman"/>
          <w:b/>
          <w:bCs/>
          <w:snapToGrid w:val="0"/>
          <w:color w:val="auto"/>
          <w:sz w:val="24"/>
          <w:szCs w:val="24"/>
        </w:rPr>
        <w:t>一、建设项目基本情况</w:t>
      </w:r>
      <w:r>
        <w:rPr>
          <w:rFonts w:hint="default" w:ascii="Times New Roman" w:hAnsi="Times New Roman" w:eastAsia="宋体" w:cs="Times New Roman"/>
          <w:b/>
          <w:bCs/>
          <w:color w:val="auto"/>
          <w:sz w:val="24"/>
          <w:szCs w:val="24"/>
        </w:rPr>
        <w:tab/>
      </w: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PAGEREF _Toc14315 \h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24"/>
        </w:rPr>
        <w:t>1</w:t>
      </w:r>
      <w:r>
        <w:rPr>
          <w:rFonts w:hint="default" w:ascii="Times New Roman" w:hAnsi="Times New Roman" w:eastAsia="宋体" w:cs="Times New Roman"/>
          <w:b/>
          <w:bCs/>
          <w:color w:val="auto"/>
          <w:sz w:val="24"/>
          <w:szCs w:val="24"/>
        </w:rPr>
        <w:fldChar w:fldCharType="end"/>
      </w:r>
      <w:r>
        <w:rPr>
          <w:rFonts w:hint="default" w:ascii="Times New Roman" w:hAnsi="Times New Roman" w:eastAsia="宋体" w:cs="Times New Roman"/>
          <w:b/>
          <w:bCs/>
          <w:color w:val="auto"/>
          <w:sz w:val="24"/>
          <w:szCs w:val="24"/>
          <w:lang w:val="en-US" w:eastAsia="zh-CN"/>
        </w:rPr>
        <w:fldChar w:fldCharType="end"/>
      </w:r>
    </w:p>
    <w:p w14:paraId="14041153">
      <w:pPr>
        <w:pStyle w:val="19"/>
        <w:tabs>
          <w:tab w:val="right" w:leader="dot" w:pos="8844"/>
        </w:tabs>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fldChar w:fldCharType="begin"/>
      </w:r>
      <w:r>
        <w:rPr>
          <w:rFonts w:hint="default" w:ascii="Times New Roman" w:hAnsi="Times New Roman" w:eastAsia="宋体" w:cs="Times New Roman"/>
          <w:b/>
          <w:bCs/>
          <w:color w:val="auto"/>
          <w:sz w:val="24"/>
          <w:szCs w:val="24"/>
          <w:lang w:val="en-US" w:eastAsia="zh-CN"/>
        </w:rPr>
        <w:instrText xml:space="preserve"> HYPERLINK \l _Toc19770 </w:instrText>
      </w:r>
      <w:r>
        <w:rPr>
          <w:rFonts w:hint="default" w:ascii="Times New Roman" w:hAnsi="Times New Roman" w:eastAsia="宋体" w:cs="Times New Roman"/>
          <w:b/>
          <w:bCs/>
          <w:color w:val="auto"/>
          <w:sz w:val="24"/>
          <w:szCs w:val="24"/>
          <w:lang w:val="en-US" w:eastAsia="zh-CN"/>
        </w:rPr>
        <w:fldChar w:fldCharType="separate"/>
      </w:r>
      <w:r>
        <w:rPr>
          <w:rFonts w:hint="default" w:ascii="Times New Roman" w:hAnsi="Times New Roman" w:eastAsia="宋体" w:cs="Times New Roman"/>
          <w:b/>
          <w:bCs/>
          <w:snapToGrid w:val="0"/>
          <w:color w:val="auto"/>
          <w:sz w:val="24"/>
          <w:szCs w:val="24"/>
        </w:rPr>
        <w:t>二、建设内容</w:t>
      </w:r>
      <w:r>
        <w:rPr>
          <w:rFonts w:hint="default" w:ascii="Times New Roman" w:hAnsi="Times New Roman" w:eastAsia="宋体" w:cs="Times New Roman"/>
          <w:b/>
          <w:bCs/>
          <w:color w:val="auto"/>
          <w:sz w:val="24"/>
          <w:szCs w:val="24"/>
        </w:rPr>
        <w:tab/>
      </w: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PAGEREF _Toc19770 \h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24"/>
        </w:rPr>
        <w:t>23</w:t>
      </w:r>
      <w:r>
        <w:rPr>
          <w:rFonts w:hint="default" w:ascii="Times New Roman" w:hAnsi="Times New Roman" w:eastAsia="宋体" w:cs="Times New Roman"/>
          <w:b/>
          <w:bCs/>
          <w:color w:val="auto"/>
          <w:sz w:val="24"/>
          <w:szCs w:val="24"/>
        </w:rPr>
        <w:fldChar w:fldCharType="end"/>
      </w:r>
      <w:r>
        <w:rPr>
          <w:rFonts w:hint="default" w:ascii="Times New Roman" w:hAnsi="Times New Roman" w:eastAsia="宋体" w:cs="Times New Roman"/>
          <w:b/>
          <w:bCs/>
          <w:color w:val="auto"/>
          <w:sz w:val="24"/>
          <w:szCs w:val="24"/>
          <w:lang w:val="en-US" w:eastAsia="zh-CN"/>
        </w:rPr>
        <w:fldChar w:fldCharType="end"/>
      </w:r>
    </w:p>
    <w:p w14:paraId="3C3B95FD">
      <w:pPr>
        <w:pStyle w:val="19"/>
        <w:tabs>
          <w:tab w:val="right" w:leader="dot" w:pos="8844"/>
        </w:tabs>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fldChar w:fldCharType="begin"/>
      </w:r>
      <w:r>
        <w:rPr>
          <w:rFonts w:hint="default" w:ascii="Times New Roman" w:hAnsi="Times New Roman" w:eastAsia="宋体" w:cs="Times New Roman"/>
          <w:b/>
          <w:bCs/>
          <w:color w:val="auto"/>
          <w:sz w:val="24"/>
          <w:szCs w:val="24"/>
          <w:lang w:val="en-US" w:eastAsia="zh-CN"/>
        </w:rPr>
        <w:instrText xml:space="preserve"> HYPERLINK \l _Toc1019 </w:instrText>
      </w:r>
      <w:r>
        <w:rPr>
          <w:rFonts w:hint="default" w:ascii="Times New Roman" w:hAnsi="Times New Roman" w:eastAsia="宋体" w:cs="Times New Roman"/>
          <w:b/>
          <w:bCs/>
          <w:color w:val="auto"/>
          <w:sz w:val="24"/>
          <w:szCs w:val="24"/>
          <w:lang w:val="en-US" w:eastAsia="zh-CN"/>
        </w:rPr>
        <w:fldChar w:fldCharType="separate"/>
      </w:r>
      <w:r>
        <w:rPr>
          <w:rFonts w:hint="default" w:ascii="Times New Roman" w:hAnsi="Times New Roman" w:eastAsia="宋体" w:cs="Times New Roman"/>
          <w:b/>
          <w:bCs/>
          <w:snapToGrid w:val="0"/>
          <w:color w:val="auto"/>
          <w:sz w:val="24"/>
          <w:szCs w:val="24"/>
        </w:rPr>
        <w:t>三、生态环境现状、保护目标及评价标准</w:t>
      </w:r>
      <w:r>
        <w:rPr>
          <w:rFonts w:hint="default" w:ascii="Times New Roman" w:hAnsi="Times New Roman" w:eastAsia="宋体" w:cs="Times New Roman"/>
          <w:b/>
          <w:bCs/>
          <w:color w:val="auto"/>
          <w:sz w:val="24"/>
          <w:szCs w:val="24"/>
        </w:rPr>
        <w:tab/>
      </w: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PAGEREF _Toc1019 \h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24"/>
        </w:rPr>
        <w:t>38</w:t>
      </w:r>
      <w:r>
        <w:rPr>
          <w:rFonts w:hint="default" w:ascii="Times New Roman" w:hAnsi="Times New Roman" w:eastAsia="宋体" w:cs="Times New Roman"/>
          <w:b/>
          <w:bCs/>
          <w:color w:val="auto"/>
          <w:sz w:val="24"/>
          <w:szCs w:val="24"/>
        </w:rPr>
        <w:fldChar w:fldCharType="end"/>
      </w:r>
      <w:r>
        <w:rPr>
          <w:rFonts w:hint="default" w:ascii="Times New Roman" w:hAnsi="Times New Roman" w:eastAsia="宋体" w:cs="Times New Roman"/>
          <w:b/>
          <w:bCs/>
          <w:color w:val="auto"/>
          <w:sz w:val="24"/>
          <w:szCs w:val="24"/>
          <w:lang w:val="en-US" w:eastAsia="zh-CN"/>
        </w:rPr>
        <w:fldChar w:fldCharType="end"/>
      </w:r>
    </w:p>
    <w:p w14:paraId="6F4564B5">
      <w:pPr>
        <w:pStyle w:val="19"/>
        <w:tabs>
          <w:tab w:val="right" w:leader="dot" w:pos="8844"/>
        </w:tabs>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fldChar w:fldCharType="begin"/>
      </w:r>
      <w:r>
        <w:rPr>
          <w:rFonts w:hint="default" w:ascii="Times New Roman" w:hAnsi="Times New Roman" w:eastAsia="宋体" w:cs="Times New Roman"/>
          <w:b/>
          <w:bCs/>
          <w:color w:val="auto"/>
          <w:sz w:val="24"/>
          <w:szCs w:val="24"/>
          <w:lang w:val="en-US" w:eastAsia="zh-CN"/>
        </w:rPr>
        <w:instrText xml:space="preserve"> HYPERLINK \l _Toc30621 </w:instrText>
      </w:r>
      <w:r>
        <w:rPr>
          <w:rFonts w:hint="default" w:ascii="Times New Roman" w:hAnsi="Times New Roman" w:eastAsia="宋体" w:cs="Times New Roman"/>
          <w:b/>
          <w:bCs/>
          <w:color w:val="auto"/>
          <w:sz w:val="24"/>
          <w:szCs w:val="24"/>
          <w:lang w:val="en-US" w:eastAsia="zh-CN"/>
        </w:rPr>
        <w:fldChar w:fldCharType="separate"/>
      </w:r>
      <w:r>
        <w:rPr>
          <w:rFonts w:hint="default" w:ascii="Times New Roman" w:hAnsi="Times New Roman" w:eastAsia="宋体" w:cs="Times New Roman"/>
          <w:b/>
          <w:bCs/>
          <w:snapToGrid w:val="0"/>
          <w:color w:val="auto"/>
          <w:sz w:val="24"/>
          <w:szCs w:val="24"/>
        </w:rPr>
        <w:t>四、生态环境影响分析</w:t>
      </w:r>
      <w:r>
        <w:rPr>
          <w:rFonts w:hint="default" w:ascii="Times New Roman" w:hAnsi="Times New Roman" w:eastAsia="宋体" w:cs="Times New Roman"/>
          <w:b/>
          <w:bCs/>
          <w:color w:val="auto"/>
          <w:sz w:val="24"/>
          <w:szCs w:val="24"/>
        </w:rPr>
        <w:tab/>
      </w: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PAGEREF _Toc30621 \h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24"/>
        </w:rPr>
        <w:t>62</w:t>
      </w:r>
      <w:r>
        <w:rPr>
          <w:rFonts w:hint="default" w:ascii="Times New Roman" w:hAnsi="Times New Roman" w:eastAsia="宋体" w:cs="Times New Roman"/>
          <w:b/>
          <w:bCs/>
          <w:color w:val="auto"/>
          <w:sz w:val="24"/>
          <w:szCs w:val="24"/>
        </w:rPr>
        <w:fldChar w:fldCharType="end"/>
      </w:r>
      <w:r>
        <w:rPr>
          <w:rFonts w:hint="default" w:ascii="Times New Roman" w:hAnsi="Times New Roman" w:eastAsia="宋体" w:cs="Times New Roman"/>
          <w:b/>
          <w:bCs/>
          <w:color w:val="auto"/>
          <w:sz w:val="24"/>
          <w:szCs w:val="24"/>
          <w:lang w:val="en-US" w:eastAsia="zh-CN"/>
        </w:rPr>
        <w:fldChar w:fldCharType="end"/>
      </w:r>
    </w:p>
    <w:p w14:paraId="53EB45CA">
      <w:pPr>
        <w:pStyle w:val="19"/>
        <w:tabs>
          <w:tab w:val="right" w:leader="dot" w:pos="8844"/>
        </w:tabs>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fldChar w:fldCharType="begin"/>
      </w:r>
      <w:r>
        <w:rPr>
          <w:rFonts w:hint="default" w:ascii="Times New Roman" w:hAnsi="Times New Roman" w:eastAsia="宋体" w:cs="Times New Roman"/>
          <w:b/>
          <w:bCs/>
          <w:color w:val="auto"/>
          <w:sz w:val="24"/>
          <w:szCs w:val="24"/>
          <w:lang w:val="en-US" w:eastAsia="zh-CN"/>
        </w:rPr>
        <w:instrText xml:space="preserve"> HYPERLINK \l _Toc8504 </w:instrText>
      </w:r>
      <w:r>
        <w:rPr>
          <w:rFonts w:hint="default" w:ascii="Times New Roman" w:hAnsi="Times New Roman" w:eastAsia="宋体" w:cs="Times New Roman"/>
          <w:b/>
          <w:bCs/>
          <w:color w:val="auto"/>
          <w:sz w:val="24"/>
          <w:szCs w:val="24"/>
          <w:lang w:val="en-US" w:eastAsia="zh-CN"/>
        </w:rPr>
        <w:fldChar w:fldCharType="separate"/>
      </w:r>
      <w:r>
        <w:rPr>
          <w:rFonts w:hint="default" w:ascii="Times New Roman" w:hAnsi="Times New Roman" w:eastAsia="宋体" w:cs="Times New Roman"/>
          <w:b/>
          <w:bCs/>
          <w:snapToGrid w:val="0"/>
          <w:color w:val="auto"/>
          <w:sz w:val="24"/>
          <w:szCs w:val="24"/>
        </w:rPr>
        <w:t>五、主要生态环境保护措施</w:t>
      </w:r>
      <w:r>
        <w:rPr>
          <w:rFonts w:hint="default" w:ascii="Times New Roman" w:hAnsi="Times New Roman" w:eastAsia="宋体" w:cs="Times New Roman"/>
          <w:b/>
          <w:bCs/>
          <w:color w:val="auto"/>
          <w:sz w:val="24"/>
          <w:szCs w:val="24"/>
        </w:rPr>
        <w:tab/>
      </w: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PAGEREF _Toc8504 \h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24"/>
        </w:rPr>
        <w:t>85</w:t>
      </w:r>
      <w:r>
        <w:rPr>
          <w:rFonts w:hint="default" w:ascii="Times New Roman" w:hAnsi="Times New Roman" w:eastAsia="宋体" w:cs="Times New Roman"/>
          <w:b/>
          <w:bCs/>
          <w:color w:val="auto"/>
          <w:sz w:val="24"/>
          <w:szCs w:val="24"/>
        </w:rPr>
        <w:fldChar w:fldCharType="end"/>
      </w:r>
      <w:r>
        <w:rPr>
          <w:rFonts w:hint="default" w:ascii="Times New Roman" w:hAnsi="Times New Roman" w:eastAsia="宋体" w:cs="Times New Roman"/>
          <w:b/>
          <w:bCs/>
          <w:color w:val="auto"/>
          <w:sz w:val="24"/>
          <w:szCs w:val="24"/>
          <w:lang w:val="en-US" w:eastAsia="zh-CN"/>
        </w:rPr>
        <w:fldChar w:fldCharType="end"/>
      </w:r>
    </w:p>
    <w:p w14:paraId="33ADDA33">
      <w:pPr>
        <w:pStyle w:val="19"/>
        <w:tabs>
          <w:tab w:val="right" w:leader="dot" w:pos="8844"/>
        </w:tabs>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fldChar w:fldCharType="begin"/>
      </w:r>
      <w:r>
        <w:rPr>
          <w:rFonts w:hint="default" w:ascii="Times New Roman" w:hAnsi="Times New Roman" w:eastAsia="宋体" w:cs="Times New Roman"/>
          <w:b/>
          <w:bCs/>
          <w:color w:val="auto"/>
          <w:sz w:val="24"/>
          <w:szCs w:val="24"/>
          <w:lang w:val="en-US" w:eastAsia="zh-CN"/>
        </w:rPr>
        <w:instrText xml:space="preserve"> HYPERLINK \l _Toc29269 </w:instrText>
      </w:r>
      <w:r>
        <w:rPr>
          <w:rFonts w:hint="default" w:ascii="Times New Roman" w:hAnsi="Times New Roman" w:eastAsia="宋体" w:cs="Times New Roman"/>
          <w:b/>
          <w:bCs/>
          <w:color w:val="auto"/>
          <w:sz w:val="24"/>
          <w:szCs w:val="24"/>
          <w:lang w:val="en-US" w:eastAsia="zh-CN"/>
        </w:rPr>
        <w:fldChar w:fldCharType="separate"/>
      </w:r>
      <w:r>
        <w:rPr>
          <w:rFonts w:hint="default" w:ascii="Times New Roman" w:hAnsi="Times New Roman" w:eastAsia="宋体" w:cs="Times New Roman"/>
          <w:b/>
          <w:bCs/>
          <w:snapToGrid w:val="0"/>
          <w:color w:val="auto"/>
          <w:sz w:val="24"/>
          <w:szCs w:val="24"/>
        </w:rPr>
        <w:t>六、生态环境保护措施监督检查清单</w:t>
      </w:r>
      <w:r>
        <w:rPr>
          <w:rFonts w:hint="default" w:ascii="Times New Roman" w:hAnsi="Times New Roman" w:eastAsia="宋体" w:cs="Times New Roman"/>
          <w:b/>
          <w:bCs/>
          <w:color w:val="auto"/>
          <w:sz w:val="24"/>
          <w:szCs w:val="24"/>
        </w:rPr>
        <w:tab/>
      </w: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PAGEREF _Toc29269 \h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24"/>
        </w:rPr>
        <w:t>102</w:t>
      </w:r>
      <w:r>
        <w:rPr>
          <w:rFonts w:hint="default" w:ascii="Times New Roman" w:hAnsi="Times New Roman" w:eastAsia="宋体" w:cs="Times New Roman"/>
          <w:b/>
          <w:bCs/>
          <w:color w:val="auto"/>
          <w:sz w:val="24"/>
          <w:szCs w:val="24"/>
        </w:rPr>
        <w:fldChar w:fldCharType="end"/>
      </w:r>
      <w:r>
        <w:rPr>
          <w:rFonts w:hint="default" w:ascii="Times New Roman" w:hAnsi="Times New Roman" w:eastAsia="宋体" w:cs="Times New Roman"/>
          <w:b/>
          <w:bCs/>
          <w:color w:val="auto"/>
          <w:sz w:val="24"/>
          <w:szCs w:val="24"/>
          <w:lang w:val="en-US" w:eastAsia="zh-CN"/>
        </w:rPr>
        <w:fldChar w:fldCharType="end"/>
      </w:r>
    </w:p>
    <w:p w14:paraId="08D3A28B">
      <w:pPr>
        <w:pStyle w:val="19"/>
        <w:tabs>
          <w:tab w:val="right" w:leader="dot" w:pos="8844"/>
        </w:tabs>
        <w:spacing w:line="360" w:lineRule="auto"/>
        <w:jc w:val="center"/>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4"/>
          <w:szCs w:val="24"/>
          <w:lang w:val="en-US" w:eastAsia="zh-CN"/>
        </w:rPr>
        <w:fldChar w:fldCharType="begin"/>
      </w:r>
      <w:r>
        <w:rPr>
          <w:rFonts w:hint="default" w:ascii="Times New Roman" w:hAnsi="Times New Roman" w:eastAsia="宋体" w:cs="Times New Roman"/>
          <w:b/>
          <w:bCs/>
          <w:color w:val="auto"/>
          <w:sz w:val="24"/>
          <w:szCs w:val="24"/>
          <w:lang w:val="en-US" w:eastAsia="zh-CN"/>
        </w:rPr>
        <w:instrText xml:space="preserve"> HYPERLINK \l _Toc19567 </w:instrText>
      </w:r>
      <w:r>
        <w:rPr>
          <w:rFonts w:hint="default" w:ascii="Times New Roman" w:hAnsi="Times New Roman" w:eastAsia="宋体" w:cs="Times New Roman"/>
          <w:b/>
          <w:bCs/>
          <w:color w:val="auto"/>
          <w:sz w:val="24"/>
          <w:szCs w:val="24"/>
          <w:lang w:val="en-US" w:eastAsia="zh-CN"/>
        </w:rPr>
        <w:fldChar w:fldCharType="separate"/>
      </w:r>
      <w:r>
        <w:rPr>
          <w:rFonts w:hint="default" w:ascii="Times New Roman" w:hAnsi="Times New Roman" w:eastAsia="宋体" w:cs="Times New Roman"/>
          <w:b/>
          <w:bCs/>
          <w:snapToGrid w:val="0"/>
          <w:color w:val="auto"/>
          <w:sz w:val="24"/>
          <w:szCs w:val="24"/>
        </w:rPr>
        <w:t>七、结论</w:t>
      </w:r>
      <w:r>
        <w:rPr>
          <w:rFonts w:hint="default" w:ascii="Times New Roman" w:hAnsi="Times New Roman" w:eastAsia="宋体" w:cs="Times New Roman"/>
          <w:b/>
          <w:bCs/>
          <w:color w:val="auto"/>
          <w:sz w:val="24"/>
          <w:szCs w:val="24"/>
        </w:rPr>
        <w:tab/>
      </w: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PAGEREF _Toc19567 \h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24"/>
        </w:rPr>
        <w:t>105</w:t>
      </w:r>
      <w:r>
        <w:rPr>
          <w:rFonts w:hint="default" w:ascii="Times New Roman" w:hAnsi="Times New Roman" w:eastAsia="宋体" w:cs="Times New Roman"/>
          <w:b/>
          <w:bCs/>
          <w:color w:val="auto"/>
          <w:sz w:val="24"/>
          <w:szCs w:val="24"/>
        </w:rPr>
        <w:fldChar w:fldCharType="end"/>
      </w:r>
      <w:r>
        <w:rPr>
          <w:rFonts w:hint="default" w:ascii="Times New Roman" w:hAnsi="Times New Roman" w:eastAsia="宋体" w:cs="Times New Roman"/>
          <w:b/>
          <w:bCs/>
          <w:color w:val="auto"/>
          <w:sz w:val="24"/>
          <w:szCs w:val="24"/>
          <w:lang w:val="en-US" w:eastAsia="zh-CN"/>
        </w:rPr>
        <w:fldChar w:fldCharType="end"/>
      </w:r>
    </w:p>
    <w:p w14:paraId="68542CDD">
      <w:pPr>
        <w:pStyle w:val="25"/>
        <w:ind w:left="0" w:leftChars="0" w:firstLine="0" w:firstLineChars="0"/>
        <w:jc w:val="both"/>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fldChar w:fldCharType="end"/>
      </w:r>
    </w:p>
    <w:p w14:paraId="67458045">
      <w:pPr>
        <w:pStyle w:val="25"/>
        <w:ind w:left="0" w:leftChars="0" w:firstLine="0" w:firstLineChars="0"/>
        <w:jc w:val="both"/>
        <w:rPr>
          <w:rFonts w:hint="default" w:ascii="Times New Roman" w:hAnsi="Times New Roman" w:eastAsia="宋体" w:cs="Times New Roman"/>
          <w:b/>
          <w:bCs/>
          <w:color w:val="auto"/>
          <w:sz w:val="28"/>
          <w:szCs w:val="28"/>
          <w:lang w:val="en-US" w:eastAsia="zh-CN"/>
        </w:rPr>
      </w:pPr>
    </w:p>
    <w:p w14:paraId="7EB23D41">
      <w:pPr>
        <w:pStyle w:val="25"/>
        <w:ind w:left="0" w:leftChars="0" w:firstLine="0" w:firstLineChars="0"/>
        <w:jc w:val="both"/>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附图：</w:t>
      </w:r>
    </w:p>
    <w:p w14:paraId="6026704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项目地理位置图；</w:t>
      </w:r>
    </w:p>
    <w:p w14:paraId="00F3694E">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项目区域水系图；</w:t>
      </w:r>
    </w:p>
    <w:p w14:paraId="3335ACFC">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引水工程管线与《车木河水库饮用水源地保护区》区划关系图；</w:t>
      </w:r>
    </w:p>
    <w:p w14:paraId="56C015D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总平面布置图；</w:t>
      </w:r>
    </w:p>
    <w:p w14:paraId="57D1023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环境质量现状监测布点图；</w:t>
      </w:r>
    </w:p>
    <w:p w14:paraId="7AC2EF61">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云南省生态功能类型图</w:t>
      </w:r>
      <w:r>
        <w:rPr>
          <w:rFonts w:hint="eastAsia" w:ascii="Times New Roman" w:hAnsi="Times New Roman" w:eastAsia="宋体" w:cs="Times New Roman"/>
          <w:b w:val="0"/>
          <w:bCs w:val="0"/>
          <w:color w:val="auto"/>
          <w:sz w:val="24"/>
          <w:szCs w:val="24"/>
          <w:lang w:val="en-US" w:eastAsia="zh-CN"/>
        </w:rPr>
        <w:t>；</w:t>
      </w:r>
    </w:p>
    <w:p w14:paraId="63293E6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云南省主体功能区划图</w:t>
      </w:r>
      <w:r>
        <w:rPr>
          <w:rFonts w:hint="eastAsia" w:ascii="Times New Roman" w:hAnsi="Times New Roman" w:eastAsia="宋体" w:cs="Times New Roman"/>
          <w:b w:val="0"/>
          <w:bCs w:val="0"/>
          <w:color w:val="auto"/>
          <w:sz w:val="24"/>
          <w:szCs w:val="24"/>
          <w:lang w:val="en-US" w:eastAsia="zh-CN"/>
        </w:rPr>
        <w:t>；</w:t>
      </w:r>
    </w:p>
    <w:p w14:paraId="0B6A2996">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项目</w:t>
      </w:r>
      <w:r>
        <w:rPr>
          <w:rFonts w:hint="eastAsia" w:ascii="Times New Roman" w:hAnsi="Times New Roman" w:eastAsia="宋体" w:cs="Times New Roman"/>
          <w:b w:val="0"/>
          <w:bCs w:val="0"/>
          <w:color w:val="auto"/>
          <w:sz w:val="24"/>
          <w:szCs w:val="24"/>
          <w:lang w:val="en-US" w:eastAsia="zh-CN"/>
        </w:rPr>
        <w:t>评价区土地利用类型图；</w:t>
      </w:r>
    </w:p>
    <w:p w14:paraId="1BE041F5">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项目</w:t>
      </w:r>
      <w:r>
        <w:rPr>
          <w:rFonts w:hint="eastAsia" w:ascii="Times New Roman" w:hAnsi="Times New Roman" w:eastAsia="宋体" w:cs="Times New Roman"/>
          <w:b w:val="0"/>
          <w:bCs w:val="0"/>
          <w:color w:val="auto"/>
          <w:sz w:val="24"/>
          <w:szCs w:val="24"/>
          <w:lang w:val="en-US" w:eastAsia="zh-CN"/>
        </w:rPr>
        <w:t>评价区植被类型图；</w:t>
      </w:r>
    </w:p>
    <w:p w14:paraId="4D43263E">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项目</w:t>
      </w:r>
      <w:r>
        <w:rPr>
          <w:rFonts w:hint="eastAsia" w:ascii="Times New Roman" w:hAnsi="Times New Roman" w:eastAsia="宋体" w:cs="Times New Roman"/>
          <w:b w:val="0"/>
          <w:bCs w:val="0"/>
          <w:color w:val="auto"/>
          <w:sz w:val="24"/>
          <w:szCs w:val="24"/>
          <w:lang w:val="en-US" w:eastAsia="zh-CN"/>
        </w:rPr>
        <w:t>周边环境关系图</w:t>
      </w:r>
      <w:r>
        <w:rPr>
          <w:rFonts w:hint="default" w:ascii="Times New Roman" w:hAnsi="Times New Roman" w:eastAsia="宋体" w:cs="Times New Roman"/>
          <w:b w:val="0"/>
          <w:bCs w:val="0"/>
          <w:color w:val="auto"/>
          <w:sz w:val="24"/>
          <w:szCs w:val="24"/>
          <w:lang w:val="en-US" w:eastAsia="zh-CN"/>
        </w:rPr>
        <w:t>。</w:t>
      </w:r>
    </w:p>
    <w:p w14:paraId="1C572F9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0000FF"/>
          <w:sz w:val="24"/>
          <w:szCs w:val="24"/>
          <w:lang w:val="en-US" w:eastAsia="zh-CN"/>
        </w:rPr>
      </w:pPr>
    </w:p>
    <w:p w14:paraId="308B19C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0000FF"/>
          <w:sz w:val="24"/>
          <w:szCs w:val="24"/>
          <w:lang w:val="en-US" w:eastAsia="zh-CN"/>
        </w:rPr>
      </w:pPr>
    </w:p>
    <w:p w14:paraId="558F6B0C">
      <w:pPr>
        <w:spacing w:line="360" w:lineRule="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附件：</w:t>
      </w:r>
    </w:p>
    <w:p w14:paraId="7F0D982E">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环评编制委托书；</w:t>
      </w:r>
    </w:p>
    <w:p w14:paraId="64893DCF">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可研批复</w:t>
      </w:r>
      <w:r>
        <w:rPr>
          <w:rFonts w:hint="eastAsia" w:cs="Times New Roman"/>
          <w:b w:val="0"/>
          <w:bCs w:val="0"/>
          <w:color w:val="auto"/>
          <w:sz w:val="24"/>
          <w:szCs w:val="24"/>
          <w:lang w:val="en-US" w:eastAsia="zh-CN"/>
        </w:rPr>
        <w:t>；</w:t>
      </w:r>
    </w:p>
    <w:p w14:paraId="099E2C4D">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eastAsia" w:cs="Times New Roman"/>
          <w:b w:val="0"/>
          <w:bCs w:val="0"/>
          <w:color w:val="auto"/>
          <w:sz w:val="24"/>
          <w:szCs w:val="24"/>
          <w:lang w:val="en-US" w:eastAsia="zh-CN"/>
        </w:rPr>
        <w:t>国土空间规划合规性审查意见（</w:t>
      </w:r>
      <w:r>
        <w:rPr>
          <w:rFonts w:hint="default" w:ascii="Times New Roman" w:hAnsi="Times New Roman" w:cs="Times New Roman"/>
          <w:b w:val="0"/>
          <w:bCs w:val="0"/>
          <w:color w:val="auto"/>
          <w:sz w:val="24"/>
          <w:szCs w:val="24"/>
          <w:lang w:val="en-US" w:eastAsia="zh-CN"/>
        </w:rPr>
        <w:t>安宁市自然资源局）；</w:t>
      </w:r>
    </w:p>
    <w:p w14:paraId="6319198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占用林地意见</w:t>
      </w:r>
      <w:r>
        <w:rPr>
          <w:rFonts w:hint="eastAsia" w:cs="Times New Roman"/>
          <w:b w:val="0"/>
          <w:bCs w:val="0"/>
          <w:color w:val="auto"/>
          <w:sz w:val="24"/>
          <w:szCs w:val="24"/>
          <w:highlight w:val="none"/>
          <w:lang w:val="en-US" w:eastAsia="zh-CN"/>
        </w:rPr>
        <w:t>（</w:t>
      </w:r>
      <w:r>
        <w:rPr>
          <w:rFonts w:hint="eastAsia" w:ascii="Times New Roman" w:hAnsi="Times New Roman" w:cs="Times New Roman"/>
          <w:b w:val="0"/>
          <w:bCs w:val="0"/>
          <w:color w:val="auto"/>
          <w:sz w:val="24"/>
          <w:szCs w:val="24"/>
          <w:highlight w:val="none"/>
          <w:lang w:val="en-US" w:eastAsia="zh-CN"/>
        </w:rPr>
        <w:t>安宁市林业和草原局）；</w:t>
      </w:r>
    </w:p>
    <w:p w14:paraId="0520027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弃土协议书；</w:t>
      </w:r>
    </w:p>
    <w:p w14:paraId="1FE3EB3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安宁市水环境质量快报</w:t>
      </w:r>
      <w:r>
        <w:rPr>
          <w:rFonts w:hint="eastAsia"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昆明市生态环境局安宁分局生态环境监测站）；</w:t>
      </w:r>
    </w:p>
    <w:p w14:paraId="5ACB3C2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环境质量现状检测报告；</w:t>
      </w:r>
    </w:p>
    <w:p w14:paraId="3F61685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eastAsia" w:cs="Times New Roman"/>
          <w:b w:val="0"/>
          <w:bCs w:val="0"/>
          <w:color w:val="auto"/>
          <w:sz w:val="24"/>
          <w:szCs w:val="24"/>
          <w:lang w:val="en-US" w:eastAsia="zh-CN"/>
        </w:rPr>
        <w:t>项目管控单元查询报告；</w:t>
      </w:r>
    </w:p>
    <w:p w14:paraId="5D790A4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eastAsia" w:cs="Times New Roman"/>
          <w:b w:val="0"/>
          <w:bCs w:val="0"/>
          <w:color w:val="auto"/>
          <w:sz w:val="24"/>
          <w:szCs w:val="24"/>
          <w:lang w:val="en-US" w:eastAsia="zh-CN"/>
        </w:rPr>
        <w:t>环评编制委托合同；</w:t>
      </w:r>
    </w:p>
    <w:p w14:paraId="5DCB1FE6">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环评工作进度管理表</w:t>
      </w:r>
      <w:r>
        <w:rPr>
          <w:rFonts w:hint="eastAsia" w:cs="Times New Roman"/>
          <w:b w:val="0"/>
          <w:bCs w:val="0"/>
          <w:color w:val="auto"/>
          <w:sz w:val="24"/>
          <w:szCs w:val="24"/>
          <w:lang w:val="en-US" w:eastAsia="zh-CN"/>
        </w:rPr>
        <w:t>；</w:t>
      </w:r>
    </w:p>
    <w:p w14:paraId="239AF406">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三级审核记录表</w:t>
      </w:r>
      <w:r>
        <w:rPr>
          <w:rFonts w:hint="eastAsia" w:cs="Times New Roman"/>
          <w:b w:val="0"/>
          <w:bCs w:val="0"/>
          <w:color w:val="auto"/>
          <w:sz w:val="24"/>
          <w:szCs w:val="24"/>
          <w:lang w:val="en-US" w:eastAsia="zh-CN"/>
        </w:rPr>
        <w:t>。</w:t>
      </w:r>
    </w:p>
    <w:p w14:paraId="0FD7A97E">
      <w:pPr>
        <w:widowControl w:val="0"/>
        <w:numPr>
          <w:ilvl w:val="0"/>
          <w:numId w:val="0"/>
        </w:numPr>
        <w:jc w:val="both"/>
        <w:rPr>
          <w:rFonts w:hint="default" w:ascii="Times New Roman" w:hAnsi="Times New Roman" w:cs="Times New Roman"/>
          <w:b/>
          <w:bCs/>
          <w:color w:val="0000FF"/>
          <w:sz w:val="24"/>
          <w:szCs w:val="24"/>
          <w:lang w:val="en-US" w:eastAsia="zh-CN"/>
        </w:rPr>
      </w:pPr>
    </w:p>
    <w:p w14:paraId="4B17A468">
      <w:pPr>
        <w:widowControl w:val="0"/>
        <w:numPr>
          <w:ilvl w:val="0"/>
          <w:numId w:val="0"/>
        </w:numPr>
        <w:jc w:val="both"/>
        <w:rPr>
          <w:rFonts w:hint="default" w:ascii="Times New Roman" w:hAnsi="Times New Roman" w:cs="Times New Roman"/>
          <w:b/>
          <w:bCs/>
          <w:color w:val="0000FF"/>
          <w:sz w:val="24"/>
          <w:szCs w:val="24"/>
          <w:lang w:val="en-US" w:eastAsia="zh-CN"/>
        </w:rPr>
        <w:sectPr>
          <w:pgSz w:w="11906" w:h="16838"/>
          <w:pgMar w:top="1701" w:right="1531" w:bottom="1701" w:left="1531" w:header="851" w:footer="1077" w:gutter="0"/>
          <w:pgNumType w:start="21"/>
          <w:cols w:space="720" w:num="1"/>
          <w:docGrid w:linePitch="312" w:charSpace="0"/>
        </w:sectPr>
      </w:pPr>
    </w:p>
    <w:p w14:paraId="1E9FA03F">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前</w:t>
      </w:r>
      <w:r>
        <w:rPr>
          <w:rFonts w:hint="eastAsia" w:ascii="Times New Roman" w:hAnsi="Times New Roman" w:eastAsia="宋体" w:cs="Times New Roman"/>
          <w:b/>
          <w:bCs/>
          <w:color w:val="auto"/>
          <w:sz w:val="28"/>
          <w:szCs w:val="28"/>
          <w:lang w:val="en-US" w:eastAsia="zh-CN"/>
        </w:rPr>
        <w:t xml:space="preserve">  </w:t>
      </w:r>
      <w:r>
        <w:rPr>
          <w:rFonts w:hint="default" w:ascii="Times New Roman" w:hAnsi="Times New Roman" w:eastAsia="宋体" w:cs="Times New Roman"/>
          <w:b/>
          <w:bCs/>
          <w:color w:val="auto"/>
          <w:sz w:val="28"/>
          <w:szCs w:val="28"/>
          <w:lang w:val="en-US" w:eastAsia="zh-CN"/>
        </w:rPr>
        <w:t>言</w:t>
      </w:r>
    </w:p>
    <w:p w14:paraId="45EA26ED">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为补齐安宁市城乡供水短板、消除现状车木河引水管线供水安全隐患，保障全市45.56 万城乡居民饮水安全，安宁市水务局组织实施安宁市小型引调水工程。</w:t>
      </w:r>
    </w:p>
    <w:p w14:paraId="4AC5B41A">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现状车木河水库一、二期 DN900 玻璃钢夹砂引水管建成投运已近 20 年，受管材缺陷、长期地质变化、沿线建房堆载、边坡滑移等多重因素影响，管线频繁发生爆管故障，输水能力大幅衰减，多次造成主城区、县街片区大范围停水，供水稳定性严重不足。原规划车木河引水管线三期工程作为复线扩容项目纳入安宁综合水利 PPP 工程同步推进，后因国家 PPP 政策调整，该项目于 2024 年 3 月停工，仅完成约30km 管线建设，剩余管线及配套加压泵站未实施，区域供水复线、双水源保障体系未能完整落地。为接续完成三期工程剩余建设内容，打通车木水库至大屯水厂、车木水库至县街水厂两条输水通道，构建安全可靠的城乡供水骨干管网，安宁市水务局单独立项实施本次安宁市小型引调水工程，作为原三期工程接续完善子项目。</w:t>
      </w:r>
    </w:p>
    <w:p w14:paraId="769C537E">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一、工程主要建设内容</w:t>
      </w:r>
    </w:p>
    <w:p w14:paraId="0580C43A">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本工程为新建地下原水输水线性水利项目，总工期 10 个月，工程总静态投资 13246.94 万元。主要建设内容包含两部分输水管道及配套构筑物：</w:t>
      </w:r>
    </w:p>
    <w:p w14:paraId="532663C8">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新建 DN1400 钢筒混凝土输水管线 11.74km，沿老安八公路、安县路敷设，与已建车木河三期现状 DN1400 管道连通，设计输水流量 1.05m³/s，</w:t>
      </w:r>
      <w:r>
        <w:rPr>
          <w:rFonts w:hint="default" w:ascii="Times New Roman" w:hAnsi="Times New Roman" w:eastAsia="宋体" w:cs="Times New Roman"/>
          <w:color w:val="auto"/>
          <w:sz w:val="24"/>
          <w:szCs w:val="24"/>
          <w:lang w:val="en-US" w:eastAsia="zh-CN"/>
        </w:rPr>
        <w:t>接续完成车木河引水管线三期工程剩余建设内容</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承担安宁主城区供水输送任务；</w:t>
      </w:r>
    </w:p>
    <w:p w14:paraId="5DDEDEF0">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新建 DN400 涂塑钢管输水管线 6.6km，自三期管线分水口接至县街水厂，</w:t>
      </w:r>
    </w:p>
    <w:p w14:paraId="643EFB18">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建设 1 座一体化加压泵站，泵站配置 3 台 90kW 水泵</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2 用 1 备），设计规模 320m³/h、扬程 117m</w:t>
      </w:r>
      <w:r>
        <w:rPr>
          <w:rFonts w:hint="eastAsia" w:ascii="Times New Roman" w:hAnsi="Times New Roman" w:eastAsia="宋体" w:cs="Times New Roman"/>
          <w:color w:val="auto"/>
          <w:sz w:val="24"/>
          <w:szCs w:val="24"/>
          <w:lang w:eastAsia="zh-CN"/>
        </w:rPr>
        <w:t>。</w:t>
      </w:r>
    </w:p>
    <w:p w14:paraId="270C9BAF">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全线配套建设检修阀井、排气阀井、排泥阀井等管线附属构筑物，管线主要采用明挖埋管施工，局部鸣矣河、县街河段采用围堰导流分段开挖方式穿越，全线管道均地下敷设，永久占地仅为泵站、各类阀井点状用地，其余施工占地全部为临时占地，施工结束后实施土地复垦、植被复原。工程</w:t>
      </w:r>
      <w:r>
        <w:rPr>
          <w:rFonts w:hint="eastAsia" w:ascii="Times New Roman" w:hAnsi="Times New Roman" w:eastAsia="宋体" w:cs="Times New Roman"/>
          <w:color w:val="auto"/>
          <w:sz w:val="24"/>
          <w:szCs w:val="24"/>
          <w:lang w:val="en-US" w:eastAsia="zh-CN"/>
        </w:rPr>
        <w:t>的建设</w:t>
      </w:r>
      <w:r>
        <w:rPr>
          <w:rFonts w:hint="default" w:ascii="Times New Roman" w:hAnsi="Times New Roman" w:eastAsia="宋体" w:cs="Times New Roman"/>
          <w:color w:val="auto"/>
          <w:sz w:val="24"/>
          <w:szCs w:val="24"/>
        </w:rPr>
        <w:t>，有效填补区域水资源供需缺口，提升农村规模化供水覆盖率与自来水普及率。</w:t>
      </w:r>
    </w:p>
    <w:p w14:paraId="40F79AD9">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二、环评文件类别判定依据</w:t>
      </w:r>
    </w:p>
    <w:p w14:paraId="40DE82FC">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依据《中华人民共和国环境影响评价法》《建设项目环境影响评价分类管理名录》</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生态环境部令第 16 号，2021 年版）第五十一类水利行业第 126 项引水工程分类判定规则：需编制环境影响报告书情形为：跨流域调水；大中型河流引水；小型河流年总引水量占引水断面天然年径流量 1/4 及以上；涉及生态保护红线、自然保护区等环境敏感区的引水工程</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不含水库配套常规供水管线）；其余引水工程编制环境影响报告表。</w:t>
      </w:r>
    </w:p>
    <w:p w14:paraId="285D204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本工程水源为安宁市内车木河水库，属于流域内本地水资源调配，不属于跨流域调水；输水线路沿公路、农田、村镇外围布设，管线穿越鸣矣河、县街均为市域小型支流，工程年引水量 2555 万 m³，远低于河道天然径流量 1/4；经安宁市自然资源、林草部门叠图核查，项目管线、泵站、临时施工场地不涉及生态保护红线、自然保护地、重要水生生物洄游通道等法定环境敏感区，仅局部途经一般公益林、连片永久基本农田、村镇建成区，不属于名录规定需编制报告书范畴。</w:t>
      </w:r>
    </w:p>
    <w:p w14:paraId="5341B10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综上，本项目属于引水工程中 “其他” 类别，建设单位委托我单位编制《安宁市小型引调水工程环境影响报告表》，按照《环境影响评价技术导则 总纲》《HJ19 生态影响导则》《HJ2.3 地表水环境导则》《HJ2.4 声环境导则》《HJ610 地下水导则》等技术规范开展评价工作，系统识别施工期、运营期各类环境影响，提出污染防治、生态保护、土地复垦等管控措施，客观论证项目环境可行性，为项目生态环境行政审批提供技术支撑。</w:t>
      </w:r>
    </w:p>
    <w:p w14:paraId="2BF35A10">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三、评价工作概况</w:t>
      </w:r>
    </w:p>
    <w:p w14:paraId="0A321875">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接受委托后，评价单位组织技术人员开展现场踏勘、沿线环境现状调查，收集安宁市国土空间总体规划、生态功能区划、《昆明市生态环境分区管控动态更新方案</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2023年）》成果、车木河水库水文水质、区域动植物、土壤、地质、噪声监测等基础资料，同步走访沿线街道、村组，梳理工程占地、河道穿越、农田占用、村镇噪声敏感点等环境制约因素；结合可研设计方案识别生态、水、气、声、固废、土壤等环境影响源，预测工程扰动范围与影响程度，针对性制定生态修复、水土保持、施工污染防控措施，形成本环境影响报告表。</w:t>
      </w:r>
    </w:p>
    <w:p w14:paraId="322088E5">
      <w:pPr>
        <w:widowControl w:val="0"/>
        <w:numPr>
          <w:ilvl w:val="0"/>
          <w:numId w:val="0"/>
        </w:numPr>
        <w:jc w:val="both"/>
        <w:rPr>
          <w:rFonts w:hint="default" w:ascii="Times New Roman" w:hAnsi="Times New Roman" w:cs="Times New Roman"/>
          <w:b/>
          <w:bCs/>
          <w:color w:val="0000FF"/>
          <w:sz w:val="24"/>
          <w:szCs w:val="24"/>
          <w:lang w:val="en-US" w:eastAsia="zh-CN"/>
        </w:rPr>
        <w:sectPr>
          <w:footerReference r:id="rId4" w:type="default"/>
          <w:pgSz w:w="11906" w:h="16838"/>
          <w:pgMar w:top="1417" w:right="1531" w:bottom="1417" w:left="1531" w:header="851" w:footer="1077" w:gutter="0"/>
          <w:pgNumType w:fmt="upperRoman" w:start="1"/>
          <w:cols w:space="720" w:num="1"/>
          <w:docGrid w:linePitch="312" w:charSpace="0"/>
        </w:sectPr>
      </w:pPr>
    </w:p>
    <w:p w14:paraId="41838F14">
      <w:pPr>
        <w:pStyle w:val="21"/>
        <w:jc w:val="center"/>
        <w:outlineLvl w:val="0"/>
        <w:rPr>
          <w:rFonts w:hint="default" w:ascii="Times New Roman" w:hAnsi="Times New Roman" w:eastAsia="黑体" w:cs="Times New Roman"/>
          <w:snapToGrid w:val="0"/>
          <w:color w:val="auto"/>
          <w:sz w:val="30"/>
          <w:szCs w:val="30"/>
        </w:rPr>
      </w:pPr>
      <w:bookmarkStart w:id="3" w:name="_Toc14315"/>
      <w:r>
        <w:rPr>
          <w:rFonts w:hint="default" w:ascii="Times New Roman" w:hAnsi="Times New Roman" w:eastAsia="黑体" w:cs="Times New Roman"/>
          <w:snapToGrid w:val="0"/>
          <w:color w:val="auto"/>
          <w:sz w:val="30"/>
          <w:szCs w:val="30"/>
        </w:rPr>
        <w:t>一、建设项目基本情况</w:t>
      </w:r>
      <w:bookmarkEnd w:id="3"/>
    </w:p>
    <w:tbl>
      <w:tblPr>
        <w:tblStyle w:val="26"/>
        <w:tblW w:w="4997"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35"/>
        <w:gridCol w:w="254"/>
        <w:gridCol w:w="2817"/>
        <w:gridCol w:w="1657"/>
        <w:gridCol w:w="3090"/>
      </w:tblGrid>
      <w:tr w14:paraId="17B474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10" w:hRule="atLeast"/>
        </w:trPr>
        <w:tc>
          <w:tcPr>
            <w:tcW w:w="776" w:type="pct"/>
            <w:gridSpan w:val="2"/>
            <w:noWrap w:val="0"/>
            <w:tcMar>
              <w:top w:w="16" w:type="dxa"/>
              <w:left w:w="57" w:type="dxa"/>
              <w:right w:w="57" w:type="dxa"/>
            </w:tcMar>
            <w:vAlign w:val="center"/>
          </w:tcPr>
          <w:p w14:paraId="6BB9A860">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w:t>
            </w:r>
          </w:p>
          <w:p w14:paraId="18587CEF">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名称</w:t>
            </w:r>
          </w:p>
        </w:tc>
        <w:tc>
          <w:tcPr>
            <w:tcW w:w="4223" w:type="pct"/>
            <w:gridSpan w:val="3"/>
            <w:noWrap w:val="0"/>
            <w:tcMar>
              <w:left w:w="57" w:type="dxa"/>
              <w:right w:w="57" w:type="dxa"/>
            </w:tcMar>
            <w:vAlign w:val="center"/>
          </w:tcPr>
          <w:p w14:paraId="1231431A">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安宁市小型引调水工程项目</w:t>
            </w:r>
          </w:p>
        </w:tc>
      </w:tr>
      <w:tr w14:paraId="36E96E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76" w:type="pct"/>
            <w:gridSpan w:val="2"/>
            <w:noWrap w:val="0"/>
            <w:tcMar>
              <w:top w:w="16" w:type="dxa"/>
              <w:left w:w="57" w:type="dxa"/>
              <w:right w:w="57" w:type="dxa"/>
            </w:tcMar>
            <w:vAlign w:val="center"/>
          </w:tcPr>
          <w:p w14:paraId="0F0B84BA">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项目代码</w:t>
            </w:r>
          </w:p>
        </w:tc>
        <w:tc>
          <w:tcPr>
            <w:tcW w:w="4223" w:type="pct"/>
            <w:gridSpan w:val="3"/>
            <w:noWrap w:val="0"/>
            <w:tcMar>
              <w:left w:w="57" w:type="dxa"/>
              <w:right w:w="57" w:type="dxa"/>
            </w:tcMar>
            <w:vAlign w:val="center"/>
          </w:tcPr>
          <w:p w14:paraId="1819832B">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2510-530181-04-01-719852</w:t>
            </w:r>
          </w:p>
        </w:tc>
      </w:tr>
      <w:tr w14:paraId="16F63C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76" w:type="pct"/>
            <w:gridSpan w:val="2"/>
            <w:noWrap w:val="0"/>
            <w:tcMar>
              <w:top w:w="16" w:type="dxa"/>
              <w:left w:w="57" w:type="dxa"/>
              <w:right w:w="57" w:type="dxa"/>
            </w:tcMar>
            <w:vAlign w:val="center"/>
          </w:tcPr>
          <w:p w14:paraId="442CE098">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建设单位联系人</w:t>
            </w:r>
          </w:p>
        </w:tc>
        <w:tc>
          <w:tcPr>
            <w:tcW w:w="1573" w:type="pct"/>
            <w:noWrap w:val="0"/>
            <w:tcMar>
              <w:left w:w="57" w:type="dxa"/>
              <w:right w:w="57" w:type="dxa"/>
            </w:tcMar>
            <w:vAlign w:val="center"/>
          </w:tcPr>
          <w:p w14:paraId="66EA00EA">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董晓莉</w:t>
            </w:r>
          </w:p>
        </w:tc>
        <w:tc>
          <w:tcPr>
            <w:tcW w:w="925" w:type="pct"/>
            <w:noWrap w:val="0"/>
            <w:tcMar>
              <w:left w:w="57" w:type="dxa"/>
              <w:right w:w="57" w:type="dxa"/>
            </w:tcMar>
            <w:vAlign w:val="center"/>
          </w:tcPr>
          <w:p w14:paraId="3C445A8E">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联系方式</w:t>
            </w:r>
          </w:p>
        </w:tc>
        <w:tc>
          <w:tcPr>
            <w:tcW w:w="1725" w:type="pct"/>
            <w:noWrap w:val="0"/>
            <w:tcMar>
              <w:left w:w="57" w:type="dxa"/>
              <w:right w:w="57" w:type="dxa"/>
            </w:tcMar>
            <w:vAlign w:val="center"/>
          </w:tcPr>
          <w:p w14:paraId="79D3D4AC">
            <w:pPr>
              <w:adjustRightInd w:val="0"/>
              <w:snapToGrid w:val="0"/>
              <w:jc w:val="center"/>
              <w:rPr>
                <w:rFonts w:hint="default" w:ascii="Times New Roman" w:hAnsi="Times New Roman" w:eastAsia="宋体" w:cs="Times New Roman"/>
                <w:color w:val="auto"/>
                <w:sz w:val="24"/>
                <w:szCs w:val="24"/>
                <w:lang w:val="en-US" w:eastAsia="zh-CN"/>
              </w:rPr>
            </w:pPr>
            <w:r>
              <w:rPr>
                <w:rFonts w:hint="eastAsia" w:ascii="微软雅黑" w:hAnsi="微软雅黑" w:eastAsia="微软雅黑" w:cs="Times New Roman"/>
                <w:color w:val="auto"/>
              </w:rPr>
              <w:t>68</w:t>
            </w:r>
            <w:r>
              <w:rPr>
                <w:rFonts w:hint="eastAsia" w:ascii="微软雅黑" w:hAnsi="微软雅黑" w:eastAsia="微软雅黑" w:cs="Times New Roman"/>
                <w:color w:val="auto"/>
                <w:lang w:val="en-US" w:eastAsia="zh-CN"/>
              </w:rPr>
              <w:t>690690</w:t>
            </w:r>
          </w:p>
        </w:tc>
      </w:tr>
      <w:tr w14:paraId="79985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76" w:type="pct"/>
            <w:gridSpan w:val="2"/>
            <w:noWrap w:val="0"/>
            <w:tcMar>
              <w:top w:w="16" w:type="dxa"/>
              <w:left w:w="57" w:type="dxa"/>
              <w:right w:w="57" w:type="dxa"/>
            </w:tcMar>
            <w:vAlign w:val="center"/>
          </w:tcPr>
          <w:p w14:paraId="63284580">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建设地点</w:t>
            </w:r>
          </w:p>
        </w:tc>
        <w:tc>
          <w:tcPr>
            <w:tcW w:w="4223" w:type="pct"/>
            <w:gridSpan w:val="3"/>
            <w:noWrap w:val="0"/>
            <w:tcMar>
              <w:left w:w="57" w:type="dxa"/>
              <w:right w:w="57" w:type="dxa"/>
            </w:tcMar>
            <w:vAlign w:val="center"/>
          </w:tcPr>
          <w:p w14:paraId="3F4041D0">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云南省安宁市</w:t>
            </w:r>
            <w:r>
              <w:rPr>
                <w:rFonts w:hint="default" w:ascii="Times New Roman" w:hAnsi="Times New Roman" w:cs="Times New Roman"/>
                <w:color w:val="auto"/>
                <w:sz w:val="24"/>
                <w:szCs w:val="24"/>
                <w:lang w:val="en-US" w:eastAsia="zh-CN"/>
              </w:rPr>
              <w:t>县街街道办事处、八街街道办事处</w:t>
            </w:r>
            <w:r>
              <w:rPr>
                <w:rFonts w:hint="default" w:ascii="Times New Roman" w:hAnsi="Times New Roman" w:eastAsia="宋体" w:cs="Times New Roman"/>
                <w:color w:val="auto"/>
                <w:sz w:val="24"/>
                <w:szCs w:val="24"/>
                <w:lang w:val="en-US" w:eastAsia="zh-CN"/>
              </w:rPr>
              <w:t>等区域</w:t>
            </w:r>
          </w:p>
        </w:tc>
      </w:tr>
      <w:tr w14:paraId="3CEE25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76" w:type="pct"/>
            <w:gridSpan w:val="2"/>
            <w:noWrap w:val="0"/>
            <w:tcMar>
              <w:top w:w="16" w:type="dxa"/>
              <w:left w:w="57" w:type="dxa"/>
              <w:right w:w="57" w:type="dxa"/>
            </w:tcMar>
            <w:vAlign w:val="center"/>
          </w:tcPr>
          <w:p w14:paraId="3203FF13">
            <w:pPr>
              <w:adjustRightInd w:val="0"/>
              <w:snapToGrid w:val="0"/>
              <w:jc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地理坐标</w:t>
            </w:r>
          </w:p>
        </w:tc>
        <w:tc>
          <w:tcPr>
            <w:tcW w:w="4223" w:type="pct"/>
            <w:gridSpan w:val="3"/>
            <w:noWrap w:val="0"/>
            <w:tcMar>
              <w:left w:w="57" w:type="dxa"/>
              <w:right w:w="57" w:type="dxa"/>
            </w:tcMar>
            <w:vAlign w:val="center"/>
          </w:tcPr>
          <w:p w14:paraId="1EACC35F">
            <w:pPr>
              <w:numPr>
                <w:ilvl w:val="0"/>
                <w:numId w:val="0"/>
              </w:numPr>
              <w:adjustRightInd w:val="0"/>
              <w:snapToGrid w:val="0"/>
              <w:spacing w:line="240" w:lineRule="auto"/>
              <w:jc w:val="both"/>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en-US" w:eastAsia="zh-CN"/>
              </w:rPr>
              <w:t>新建DN1400输水管道：①第一段起点坐标：E102°21'35.60"，N24°38'26.76"；终点坐标：E102°22'06.35"，N24°40'52.28"；②第二段起点坐标：E102°25'29.42"，N24°47'03.80"；终点坐标：E102°26'24.08"，N24°50'16.12"</w:t>
            </w:r>
            <w:r>
              <w:rPr>
                <w:rFonts w:hint="default" w:ascii="Times New Roman" w:hAnsi="Times New Roman" w:cs="Times New Roman"/>
                <w:b w:val="0"/>
                <w:bCs w:val="0"/>
                <w:color w:val="auto"/>
                <w:sz w:val="24"/>
                <w:szCs w:val="24"/>
                <w:highlight w:val="none"/>
                <w:lang w:val="en-US" w:eastAsia="zh-CN"/>
              </w:rPr>
              <w:t>；</w:t>
            </w:r>
          </w:p>
          <w:p w14:paraId="0A32783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lang w:eastAsia="zh-CN"/>
              </w:rPr>
              <w:t>（</w:t>
            </w:r>
            <w:r>
              <w:rPr>
                <w:rFonts w:hint="default"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highlight w:val="none"/>
                <w:lang w:val="en-US" w:eastAsia="zh-CN"/>
              </w:rPr>
              <w:t>新建 DN400输水管道：管线起点坐标：E102°23'53.06"，N24°50'59.65"；终点坐标：E102°21'32.95"，N24°49'00.79"</w:t>
            </w:r>
            <w:r>
              <w:rPr>
                <w:rFonts w:hint="default" w:ascii="Times New Roman" w:hAnsi="Times New Roman" w:cs="Times New Roman"/>
                <w:b w:val="0"/>
                <w:bCs w:val="0"/>
                <w:color w:val="auto"/>
                <w:sz w:val="24"/>
                <w:szCs w:val="24"/>
                <w:highlight w:val="none"/>
                <w:lang w:eastAsia="zh-CN"/>
              </w:rPr>
              <w:t>；</w:t>
            </w:r>
          </w:p>
          <w:p w14:paraId="1869B628">
            <w:pPr>
              <w:numPr>
                <w:ilvl w:val="0"/>
                <w:numId w:val="0"/>
              </w:numPr>
              <w:adjustRightInd w:val="0"/>
              <w:snapToGrid w:val="0"/>
              <w:spacing w:line="240" w:lineRule="auto"/>
              <w:jc w:val="both"/>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3）一体化加压泵站：中心地理坐标为：E102°24'35.51"，N24°50'57.15"</w:t>
            </w:r>
            <w:r>
              <w:rPr>
                <w:rFonts w:hint="default" w:ascii="Times New Roman" w:hAnsi="Times New Roman" w:cs="Times New Roman"/>
                <w:b w:val="0"/>
                <w:bCs w:val="0"/>
                <w:color w:val="auto"/>
                <w:sz w:val="24"/>
                <w:szCs w:val="24"/>
                <w:highlight w:val="none"/>
                <w:lang w:val="en-US" w:eastAsia="zh-CN"/>
              </w:rPr>
              <w:t>。</w:t>
            </w:r>
          </w:p>
        </w:tc>
      </w:tr>
      <w:tr w14:paraId="261DA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76" w:type="pct"/>
            <w:gridSpan w:val="2"/>
            <w:noWrap w:val="0"/>
            <w:tcMar>
              <w:top w:w="16" w:type="dxa"/>
              <w:left w:w="57" w:type="dxa"/>
              <w:right w:w="57" w:type="dxa"/>
            </w:tcMar>
            <w:vAlign w:val="center"/>
          </w:tcPr>
          <w:p w14:paraId="4F8080E6">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w:t>
            </w:r>
          </w:p>
          <w:p w14:paraId="7A320D25">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行业类别</w:t>
            </w:r>
          </w:p>
        </w:tc>
        <w:tc>
          <w:tcPr>
            <w:tcW w:w="1573" w:type="pct"/>
            <w:noWrap w:val="0"/>
            <w:tcMar>
              <w:left w:w="57" w:type="dxa"/>
              <w:right w:w="57" w:type="dxa"/>
            </w:tcMar>
            <w:vAlign w:val="center"/>
          </w:tcPr>
          <w:p w14:paraId="545A17C3">
            <w:pPr>
              <w:numPr>
                <w:ilvl w:val="0"/>
                <w:numId w:val="0"/>
              </w:numPr>
              <w:adjustRightInd w:val="0"/>
              <w:snapToGrid w:val="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五十一、水利——126.引水工程——其他；</w:t>
            </w:r>
          </w:p>
        </w:tc>
        <w:tc>
          <w:tcPr>
            <w:tcW w:w="925" w:type="pct"/>
            <w:noWrap w:val="0"/>
            <w:tcMar>
              <w:left w:w="57" w:type="dxa"/>
              <w:right w:w="57" w:type="dxa"/>
            </w:tcMar>
            <w:vAlign w:val="center"/>
          </w:tcPr>
          <w:p w14:paraId="554DACBF">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用地</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用海）面积</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）/长度</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km）</w:t>
            </w:r>
          </w:p>
        </w:tc>
        <w:tc>
          <w:tcPr>
            <w:tcW w:w="1725" w:type="pct"/>
            <w:noWrap w:val="0"/>
            <w:tcMar>
              <w:left w:w="57" w:type="dxa"/>
              <w:right w:w="57" w:type="dxa"/>
            </w:tcMar>
            <w:vAlign w:val="center"/>
          </w:tcPr>
          <w:p w14:paraId="6EC780E6">
            <w:pPr>
              <w:numPr>
                <w:ilvl w:val="0"/>
                <w:numId w:val="0"/>
              </w:numPr>
              <w:adjustRightInd w:val="0"/>
              <w:snapToGrid w:val="0"/>
              <w:spacing w:line="240" w:lineRule="auto"/>
              <w:jc w:val="both"/>
              <w:rPr>
                <w:rFonts w:hint="default" w:ascii="Times New Roman" w:hAnsi="Times New Roman" w:cs="Times New Roman"/>
                <w:b w:val="0"/>
                <w:bCs w:val="0"/>
                <w:color w:val="0000FF"/>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管线全长约</w:t>
            </w:r>
            <w:r>
              <w:rPr>
                <w:rFonts w:hint="default" w:ascii="Times New Roman" w:hAnsi="Times New Roman" w:cs="Times New Roman"/>
                <w:b w:val="0"/>
                <w:bCs w:val="0"/>
                <w:color w:val="auto"/>
                <w:sz w:val="24"/>
                <w:szCs w:val="24"/>
                <w:highlight w:val="none"/>
                <w:lang w:val="en-US" w:eastAsia="zh-CN"/>
              </w:rPr>
              <w:t>18.34</w:t>
            </w:r>
            <w:r>
              <w:rPr>
                <w:rFonts w:hint="default" w:ascii="Times New Roman" w:hAnsi="Times New Roman" w:eastAsia="宋体" w:cs="Times New Roman"/>
                <w:b w:val="0"/>
                <w:bCs w:val="0"/>
                <w:color w:val="auto"/>
                <w:sz w:val="24"/>
                <w:szCs w:val="24"/>
                <w:highlight w:val="none"/>
                <w:lang w:val="en-US" w:eastAsia="zh-CN"/>
              </w:rPr>
              <w:t>Km；</w:t>
            </w:r>
            <w:r>
              <w:rPr>
                <w:rFonts w:hint="default" w:ascii="Times New Roman" w:hAnsi="Times New Roman" w:cs="Times New Roman"/>
                <w:color w:val="auto"/>
                <w:sz w:val="24"/>
                <w:szCs w:val="24"/>
                <w:highlight w:val="none"/>
                <w:lang w:val="en-US" w:eastAsia="zh-CN"/>
              </w:rPr>
              <w:t>占地面积：永久征地613.34㎡；临时征地</w:t>
            </w:r>
            <w:r>
              <w:rPr>
                <w:rFonts w:hint="default" w:ascii="Times New Roman" w:hAnsi="Times New Roman" w:eastAsia="宋体" w:cs="Times New Roman"/>
                <w:b w:val="0"/>
                <w:bCs w:val="0"/>
                <w:color w:val="auto"/>
                <w:sz w:val="24"/>
                <w:szCs w:val="24"/>
                <w:highlight w:val="none"/>
                <w:lang w:val="en-US" w:eastAsia="zh-CN"/>
              </w:rPr>
              <w:t>314214.91</w:t>
            </w:r>
            <w:r>
              <w:rPr>
                <w:rFonts w:hint="default" w:ascii="Times New Roman" w:hAnsi="Times New Roman" w:cs="Times New Roman"/>
                <w:color w:val="auto"/>
                <w:sz w:val="24"/>
                <w:szCs w:val="24"/>
                <w:highlight w:val="none"/>
                <w:lang w:val="en-US" w:eastAsia="zh-CN"/>
              </w:rPr>
              <w:t>㎡。</w:t>
            </w:r>
          </w:p>
        </w:tc>
      </w:tr>
      <w:tr w14:paraId="73E9D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76" w:type="pct"/>
            <w:gridSpan w:val="2"/>
            <w:noWrap w:val="0"/>
            <w:tcMar>
              <w:top w:w="16" w:type="dxa"/>
              <w:left w:w="57" w:type="dxa"/>
              <w:right w:w="57" w:type="dxa"/>
            </w:tcMar>
            <w:vAlign w:val="center"/>
          </w:tcPr>
          <w:p w14:paraId="37402EA1">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建设性质</w:t>
            </w:r>
          </w:p>
        </w:tc>
        <w:tc>
          <w:tcPr>
            <w:tcW w:w="1573" w:type="pct"/>
            <w:noWrap w:val="0"/>
            <w:tcMar>
              <w:left w:w="57" w:type="dxa"/>
              <w:right w:w="57" w:type="dxa"/>
            </w:tcMar>
            <w:vAlign w:val="center"/>
          </w:tcPr>
          <w:p w14:paraId="020FC2B9">
            <w:pPr>
              <w:adjustRightInd w:val="0"/>
              <w:snapToGrid w:val="0"/>
              <w:jc w:val="left"/>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新建</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迁建）</w:t>
            </w:r>
          </w:p>
          <w:p w14:paraId="51A0CF3C">
            <w:pPr>
              <w:adjustRightInd w:val="0"/>
              <w:snapToGrid w:val="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□改建</w:t>
            </w:r>
          </w:p>
          <w:p w14:paraId="46BE7E57">
            <w:pPr>
              <w:adjustRightInd w:val="0"/>
              <w:snapToGrid w:val="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□扩建</w:t>
            </w:r>
          </w:p>
          <w:p w14:paraId="3F2D6A48">
            <w:pPr>
              <w:adjustRightInd w:val="0"/>
              <w:snapToGrid w:val="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□技术改造</w:t>
            </w:r>
          </w:p>
        </w:tc>
        <w:tc>
          <w:tcPr>
            <w:tcW w:w="925" w:type="pct"/>
            <w:noWrap w:val="0"/>
            <w:tcMar>
              <w:left w:w="57" w:type="dxa"/>
              <w:right w:w="57" w:type="dxa"/>
            </w:tcMar>
            <w:vAlign w:val="center"/>
          </w:tcPr>
          <w:p w14:paraId="4AEFDBBD">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w:t>
            </w:r>
          </w:p>
          <w:p w14:paraId="5045C293">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申报情形</w:t>
            </w:r>
          </w:p>
        </w:tc>
        <w:tc>
          <w:tcPr>
            <w:tcW w:w="1725" w:type="pct"/>
            <w:noWrap w:val="0"/>
            <w:tcMar>
              <w:left w:w="57" w:type="dxa"/>
              <w:right w:w="57" w:type="dxa"/>
            </w:tcMar>
            <w:vAlign w:val="center"/>
          </w:tcPr>
          <w:p w14:paraId="5E6AB96F">
            <w:pPr>
              <w:adjustRightInd w:val="0"/>
              <w:snapToGrid w:val="0"/>
              <w:jc w:val="left"/>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首次申报项目</w:t>
            </w:r>
          </w:p>
          <w:p w14:paraId="434105D4">
            <w:pPr>
              <w:adjustRightInd w:val="0"/>
              <w:snapToGrid w:val="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□不予批准后再次申报项目</w:t>
            </w:r>
          </w:p>
          <w:p w14:paraId="32B3090D">
            <w:pPr>
              <w:adjustRightInd w:val="0"/>
              <w:snapToGrid w:val="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□超五年重新审核项目</w:t>
            </w:r>
          </w:p>
          <w:p w14:paraId="781E45E7">
            <w:pPr>
              <w:adjustRightInd w:val="0"/>
              <w:snapToGrid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□重大变动重新报批项目</w:t>
            </w:r>
          </w:p>
        </w:tc>
      </w:tr>
      <w:tr w14:paraId="6187F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6" w:hRule="atLeast"/>
        </w:trPr>
        <w:tc>
          <w:tcPr>
            <w:tcW w:w="776" w:type="pct"/>
            <w:gridSpan w:val="2"/>
            <w:noWrap w:val="0"/>
            <w:tcMar>
              <w:top w:w="16" w:type="dxa"/>
              <w:left w:w="57" w:type="dxa"/>
              <w:right w:w="57" w:type="dxa"/>
            </w:tcMar>
            <w:vAlign w:val="center"/>
          </w:tcPr>
          <w:p w14:paraId="1857241C">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项目审批</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核准/备案）部门</w:t>
            </w:r>
          </w:p>
        </w:tc>
        <w:tc>
          <w:tcPr>
            <w:tcW w:w="1573" w:type="pct"/>
            <w:noWrap w:val="0"/>
            <w:tcMar>
              <w:left w:w="57" w:type="dxa"/>
              <w:right w:w="57" w:type="dxa"/>
            </w:tcMar>
            <w:vAlign w:val="center"/>
          </w:tcPr>
          <w:p w14:paraId="31B99D5B">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安宁市发展和改革局</w:t>
            </w:r>
          </w:p>
        </w:tc>
        <w:tc>
          <w:tcPr>
            <w:tcW w:w="925" w:type="pct"/>
            <w:noWrap w:val="0"/>
            <w:tcMar>
              <w:left w:w="57" w:type="dxa"/>
              <w:right w:w="57" w:type="dxa"/>
            </w:tcMar>
            <w:vAlign w:val="center"/>
          </w:tcPr>
          <w:p w14:paraId="7E58C446">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项目审批</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核准/备案）文号</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选填）</w:t>
            </w:r>
          </w:p>
        </w:tc>
        <w:tc>
          <w:tcPr>
            <w:tcW w:w="1725" w:type="pct"/>
            <w:noWrap w:val="0"/>
            <w:tcMar>
              <w:left w:w="57" w:type="dxa"/>
              <w:right w:w="57" w:type="dxa"/>
            </w:tcMar>
            <w:vAlign w:val="center"/>
          </w:tcPr>
          <w:p w14:paraId="24C5EDA0">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安发改投资[202</w:t>
            </w:r>
            <w:r>
              <w:rPr>
                <w:rFonts w:hint="default" w:ascii="Times New Roman" w:hAnsi="Times New Roman"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en-US" w:eastAsia="zh-CN"/>
              </w:rPr>
              <w:t>76</w:t>
            </w:r>
            <w:r>
              <w:rPr>
                <w:rFonts w:hint="default" w:ascii="Times New Roman" w:hAnsi="Times New Roman" w:eastAsia="宋体" w:cs="Times New Roman"/>
                <w:color w:val="auto"/>
                <w:sz w:val="24"/>
                <w:szCs w:val="24"/>
                <w:lang w:val="en-US" w:eastAsia="zh-CN"/>
              </w:rPr>
              <w:t>号</w:t>
            </w:r>
          </w:p>
        </w:tc>
      </w:tr>
      <w:tr w14:paraId="3E8A39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76" w:type="pct"/>
            <w:gridSpan w:val="2"/>
            <w:noWrap w:val="0"/>
            <w:tcMar>
              <w:top w:w="16" w:type="dxa"/>
              <w:left w:w="57" w:type="dxa"/>
              <w:right w:w="57" w:type="dxa"/>
            </w:tcMar>
            <w:vAlign w:val="center"/>
          </w:tcPr>
          <w:p w14:paraId="5F12E68D">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总投资</w:t>
            </w:r>
          </w:p>
          <w:p w14:paraId="6A5FF97A">
            <w:pPr>
              <w:adjustRightInd w:val="0"/>
              <w:snapToGrid w:val="0"/>
              <w:jc w:val="center"/>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万元）</w:t>
            </w:r>
          </w:p>
        </w:tc>
        <w:tc>
          <w:tcPr>
            <w:tcW w:w="1573" w:type="pct"/>
            <w:noWrap w:val="0"/>
            <w:tcMar>
              <w:left w:w="57" w:type="dxa"/>
              <w:right w:w="57" w:type="dxa"/>
            </w:tcMar>
            <w:vAlign w:val="center"/>
          </w:tcPr>
          <w:p w14:paraId="69CAAF02">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13246.94</w:t>
            </w:r>
          </w:p>
        </w:tc>
        <w:tc>
          <w:tcPr>
            <w:tcW w:w="925" w:type="pct"/>
            <w:noWrap w:val="0"/>
            <w:tcMar>
              <w:top w:w="16" w:type="dxa"/>
              <w:left w:w="57" w:type="dxa"/>
              <w:right w:w="57" w:type="dxa"/>
            </w:tcMar>
            <w:vAlign w:val="center"/>
          </w:tcPr>
          <w:p w14:paraId="2DB444C9">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万元）</w:t>
            </w:r>
          </w:p>
        </w:tc>
        <w:tc>
          <w:tcPr>
            <w:tcW w:w="1725" w:type="pct"/>
            <w:noWrap w:val="0"/>
            <w:tcMar>
              <w:left w:w="57" w:type="dxa"/>
              <w:right w:w="57" w:type="dxa"/>
            </w:tcMar>
            <w:vAlign w:val="center"/>
          </w:tcPr>
          <w:p w14:paraId="5BEB5C55">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507</w:t>
            </w:r>
          </w:p>
        </w:tc>
      </w:tr>
      <w:tr w14:paraId="137A2A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76" w:type="pct"/>
            <w:gridSpan w:val="2"/>
            <w:noWrap w:val="0"/>
            <w:tcMar>
              <w:top w:w="16" w:type="dxa"/>
              <w:left w:w="57" w:type="dxa"/>
              <w:right w:w="57" w:type="dxa"/>
            </w:tcMar>
            <w:vAlign w:val="center"/>
          </w:tcPr>
          <w:p w14:paraId="75EF07DA">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环保投资占比</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tc>
        <w:tc>
          <w:tcPr>
            <w:tcW w:w="1573" w:type="pct"/>
            <w:noWrap w:val="0"/>
            <w:tcMar>
              <w:left w:w="57" w:type="dxa"/>
              <w:right w:w="57" w:type="dxa"/>
            </w:tcMar>
            <w:vAlign w:val="center"/>
          </w:tcPr>
          <w:p w14:paraId="32357AD4">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3.83</w:t>
            </w:r>
          </w:p>
        </w:tc>
        <w:tc>
          <w:tcPr>
            <w:tcW w:w="925" w:type="pct"/>
            <w:noWrap w:val="0"/>
            <w:tcMar>
              <w:top w:w="16" w:type="dxa"/>
              <w:left w:w="57" w:type="dxa"/>
              <w:right w:w="57" w:type="dxa"/>
            </w:tcMar>
            <w:vAlign w:val="center"/>
          </w:tcPr>
          <w:p w14:paraId="754E3EA8">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施工工期</w:t>
            </w:r>
          </w:p>
        </w:tc>
        <w:tc>
          <w:tcPr>
            <w:tcW w:w="1725" w:type="pct"/>
            <w:noWrap w:val="0"/>
            <w:tcMar>
              <w:left w:w="57" w:type="dxa"/>
              <w:right w:w="57" w:type="dxa"/>
            </w:tcMar>
            <w:vAlign w:val="center"/>
          </w:tcPr>
          <w:p w14:paraId="2B6E93D7">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lang w:val="en-US" w:eastAsia="zh-CN"/>
              </w:rPr>
              <w:t>个月</w:t>
            </w:r>
          </w:p>
        </w:tc>
      </w:tr>
      <w:tr w14:paraId="03FC0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76" w:type="pct"/>
            <w:gridSpan w:val="2"/>
            <w:noWrap w:val="0"/>
            <w:tcMar>
              <w:top w:w="16" w:type="dxa"/>
              <w:left w:w="57" w:type="dxa"/>
              <w:right w:w="57" w:type="dxa"/>
            </w:tcMar>
            <w:vAlign w:val="center"/>
          </w:tcPr>
          <w:p w14:paraId="5629366E">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是否开工建设</w:t>
            </w:r>
          </w:p>
        </w:tc>
        <w:tc>
          <w:tcPr>
            <w:tcW w:w="4223" w:type="pct"/>
            <w:gridSpan w:val="3"/>
            <w:noWrap w:val="0"/>
            <w:tcMar>
              <w:left w:w="57" w:type="dxa"/>
              <w:right w:w="57" w:type="dxa"/>
            </w:tcMar>
            <w:vAlign w:val="center"/>
          </w:tcPr>
          <w:p w14:paraId="743B3FEE">
            <w:pPr>
              <w:adjustRightInd w:val="0"/>
              <w:snapToGrid w:val="0"/>
              <w:ind w:firstLine="105"/>
              <w:jc w:val="left"/>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否</w:t>
            </w:r>
          </w:p>
          <w:p w14:paraId="613F63FF">
            <w:pPr>
              <w:adjustRightInd w:val="0"/>
              <w:snapToGrid w:val="0"/>
              <w:ind w:firstLine="92"/>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□是：</w:t>
            </w:r>
            <w:r>
              <w:rPr>
                <w:rFonts w:hint="default" w:ascii="Times New Roman" w:hAnsi="Times New Roman" w:eastAsia="宋体" w:cs="Times New Roman"/>
                <w:color w:val="auto"/>
                <w:sz w:val="24"/>
                <w:szCs w:val="24"/>
                <w:u w:val="single"/>
              </w:rPr>
              <w:t xml:space="preserve">                             </w:t>
            </w:r>
          </w:p>
        </w:tc>
      </w:tr>
      <w:tr w14:paraId="234C10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8" w:hRule="atLeast"/>
        </w:trPr>
        <w:tc>
          <w:tcPr>
            <w:tcW w:w="634" w:type="pct"/>
            <w:noWrap w:val="0"/>
            <w:tcMar>
              <w:top w:w="16" w:type="dxa"/>
              <w:left w:w="57" w:type="dxa"/>
              <w:right w:w="57" w:type="dxa"/>
            </w:tcMar>
            <w:vAlign w:val="center"/>
          </w:tcPr>
          <w:p w14:paraId="1E9FDB20">
            <w:pPr>
              <w:autoSpaceDE w:val="0"/>
              <w:autoSpaceDN w:val="0"/>
              <w:adjustRightInd w:val="0"/>
              <w:snapToGrid w:val="0"/>
              <w:jc w:val="center"/>
              <w:rPr>
                <w:rFonts w:hint="default" w:ascii="Times New Roman" w:hAnsi="Times New Roman" w:eastAsia="宋体" w:cs="Times New Roman"/>
                <w:color w:val="0000FF"/>
                <w:kern w:val="0"/>
                <w:sz w:val="24"/>
                <w:szCs w:val="24"/>
              </w:rPr>
            </w:pPr>
            <w:r>
              <w:rPr>
                <w:rFonts w:hint="default" w:ascii="Times New Roman" w:hAnsi="Times New Roman" w:eastAsia="宋体" w:cs="Times New Roman"/>
                <w:color w:val="auto"/>
                <w:kern w:val="0"/>
                <w:sz w:val="24"/>
                <w:szCs w:val="24"/>
              </w:rPr>
              <w:t>专项评价设置情况</w:t>
            </w:r>
          </w:p>
        </w:tc>
        <w:tc>
          <w:tcPr>
            <w:tcW w:w="4365" w:type="pct"/>
            <w:gridSpan w:val="4"/>
            <w:noWrap w:val="0"/>
            <w:tcMar>
              <w:top w:w="0" w:type="dxa"/>
              <w:left w:w="57" w:type="dxa"/>
              <w:right w:w="57" w:type="dxa"/>
            </w:tcMar>
            <w:vAlign w:val="center"/>
          </w:tcPr>
          <w:p w14:paraId="58518234">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根据《建设项目环境影响报告表编制技术指南</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生态影响类）》，建设项目产生的生态环境影响需要深入论证的，应按照环境影响评价相关技术导则开展专项评价工作。根据建设项目特点和涉及的环境敏感区类别，确定专项评价的类别。</w:t>
            </w:r>
          </w:p>
          <w:p w14:paraId="6E71F6FA">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专项评价设置原则及项目专项评价设置情况见下表。</w:t>
            </w:r>
          </w:p>
          <w:p w14:paraId="7B317C88">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5973EC19">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TimesNewRomanPS-BoldMT" w:cs="Times New Roman"/>
                <w:b/>
                <w:bCs/>
                <w:color w:val="auto"/>
                <w:sz w:val="24"/>
                <w:szCs w:val="24"/>
              </w:rPr>
              <w:t xml:space="preserve">1-1 </w:t>
            </w:r>
            <w:r>
              <w:rPr>
                <w:rFonts w:hint="default" w:ascii="Times New Roman" w:hAnsi="Times New Roman" w:eastAsia="TimesNewRomanPS-BoldMT"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专项评价设置原则及项目专项评价设置情况一览表</w:t>
            </w:r>
          </w:p>
          <w:tbl>
            <w:tblPr>
              <w:tblStyle w:val="2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1"/>
              <w:gridCol w:w="3457"/>
              <w:gridCol w:w="3060"/>
            </w:tblGrid>
            <w:tr w14:paraId="5CB0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2" w:type="pct"/>
                  <w:tcBorders>
                    <w:tl2br w:val="nil"/>
                    <w:tr2bl w:val="nil"/>
                  </w:tcBorders>
                  <w:noWrap w:val="0"/>
                  <w:vAlign w:val="center"/>
                </w:tcPr>
                <w:p w14:paraId="3A42AE74">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专项评价类别</w:t>
                  </w:r>
                </w:p>
              </w:tc>
              <w:tc>
                <w:tcPr>
                  <w:tcW w:w="2248" w:type="pct"/>
                  <w:tcBorders>
                    <w:tl2br w:val="nil"/>
                    <w:tr2bl w:val="nil"/>
                  </w:tcBorders>
                  <w:noWrap w:val="0"/>
                  <w:vAlign w:val="center"/>
                </w:tcPr>
                <w:p w14:paraId="49DC7777">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涉及项目类别</w:t>
                  </w:r>
                </w:p>
              </w:tc>
              <w:tc>
                <w:tcPr>
                  <w:tcW w:w="1988" w:type="pct"/>
                  <w:tcBorders>
                    <w:tl2br w:val="nil"/>
                    <w:tr2bl w:val="nil"/>
                  </w:tcBorders>
                  <w:noWrap w:val="0"/>
                  <w:vAlign w:val="center"/>
                </w:tcPr>
                <w:p w14:paraId="5FF48A4B">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项目专项评价设置情况</w:t>
                  </w:r>
                </w:p>
              </w:tc>
            </w:tr>
            <w:tr w14:paraId="5C0A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2" w:type="pct"/>
                  <w:tcBorders>
                    <w:tl2br w:val="nil"/>
                    <w:tr2bl w:val="nil"/>
                  </w:tcBorders>
                  <w:noWrap w:val="0"/>
                  <w:vAlign w:val="center"/>
                </w:tcPr>
                <w:p w14:paraId="2D0935D5">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地表水</w:t>
                  </w:r>
                </w:p>
              </w:tc>
              <w:tc>
                <w:tcPr>
                  <w:tcW w:w="2248" w:type="pct"/>
                  <w:tcBorders>
                    <w:tl2br w:val="nil"/>
                    <w:tr2bl w:val="nil"/>
                  </w:tcBorders>
                  <w:noWrap w:val="0"/>
                  <w:vAlign w:val="center"/>
                </w:tcPr>
                <w:p w14:paraId="0FFF53CF">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水力发电：引水式发电、涉及调峰发电的项目；</w:t>
                  </w:r>
                </w:p>
                <w:p w14:paraId="79DCCC7B">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人工湖、人工湿地：全部；</w:t>
                  </w:r>
                </w:p>
                <w:p w14:paraId="3ABD924F">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水库：全部；</w:t>
                  </w:r>
                </w:p>
                <w:p w14:paraId="3BBEAD5B">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引水工程：全部</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配套的管线工程等除外）；</w:t>
                  </w:r>
                </w:p>
                <w:p w14:paraId="603B5B60">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防洪除涝工程：包含水库的项目；</w:t>
                  </w:r>
                </w:p>
                <w:p w14:paraId="479A2EE3">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河湖整治：涉及清淤且底泥存在重金属污染的项目</w:t>
                  </w:r>
                </w:p>
              </w:tc>
              <w:tc>
                <w:tcPr>
                  <w:tcW w:w="1988" w:type="pct"/>
                  <w:tcBorders>
                    <w:tl2br w:val="nil"/>
                    <w:tr2bl w:val="nil"/>
                  </w:tcBorders>
                  <w:noWrap w:val="0"/>
                  <w:vAlign w:val="center"/>
                </w:tcPr>
                <w:p w14:paraId="214A8933">
                  <w:pPr>
                    <w:numPr>
                      <w:ilvl w:val="0"/>
                      <w:numId w:val="0"/>
                    </w:numPr>
                    <w:spacing w:beforeLines="0" w:afterLines="0"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w:t>
                  </w:r>
                  <w:r>
                    <w:rPr>
                      <w:rFonts w:hint="default" w:ascii="Times New Roman" w:hAnsi="Times New Roman" w:eastAsia="宋体" w:cs="Times New Roman"/>
                      <w:b w:val="0"/>
                      <w:bCs w:val="0"/>
                      <w:color w:val="auto"/>
                      <w:sz w:val="21"/>
                      <w:szCs w:val="21"/>
                    </w:rPr>
                    <w:t>为</w:t>
                  </w:r>
                  <w:r>
                    <w:rPr>
                      <w:rFonts w:hint="default" w:ascii="Times New Roman" w:hAnsi="Times New Roman" w:eastAsia="宋体" w:cs="Times New Roman"/>
                      <w:b w:val="0"/>
                      <w:bCs w:val="0"/>
                      <w:color w:val="auto"/>
                      <w:sz w:val="21"/>
                      <w:szCs w:val="21"/>
                      <w:lang w:val="en-US" w:eastAsia="zh-CN"/>
                    </w:rPr>
                    <w:t>车木河水库配套管线引水工程</w:t>
                  </w:r>
                  <w:r>
                    <w:rPr>
                      <w:rFonts w:hint="default" w:ascii="Times New Roman" w:hAnsi="Times New Roman"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不需要设置地表水专项。</w:t>
                  </w:r>
                </w:p>
              </w:tc>
            </w:tr>
            <w:tr w14:paraId="761D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2" w:type="pct"/>
                  <w:tcBorders>
                    <w:tl2br w:val="nil"/>
                    <w:tr2bl w:val="nil"/>
                  </w:tcBorders>
                  <w:noWrap w:val="0"/>
                  <w:vAlign w:val="center"/>
                </w:tcPr>
                <w:p w14:paraId="5E239E85">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地下水</w:t>
                  </w:r>
                </w:p>
              </w:tc>
              <w:tc>
                <w:tcPr>
                  <w:tcW w:w="2248" w:type="pct"/>
                  <w:tcBorders>
                    <w:tl2br w:val="nil"/>
                    <w:tr2bl w:val="nil"/>
                  </w:tcBorders>
                  <w:noWrap w:val="0"/>
                  <w:vAlign w:val="center"/>
                </w:tcPr>
                <w:p w14:paraId="55174AAB">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陆地石油和天然气开采：全部；</w:t>
                  </w:r>
                </w:p>
                <w:p w14:paraId="32E75120">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地下水</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含矿泉水）开采：全部；</w:t>
                  </w:r>
                </w:p>
                <w:p w14:paraId="4EE9D693">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水利、水电、交通等：含穿越可溶岩地层隧道的项目</w:t>
                  </w:r>
                </w:p>
              </w:tc>
              <w:tc>
                <w:tcPr>
                  <w:tcW w:w="1988" w:type="pct"/>
                  <w:tcBorders>
                    <w:tl2br w:val="nil"/>
                    <w:tr2bl w:val="nil"/>
                  </w:tcBorders>
                  <w:noWrap w:val="0"/>
                  <w:vAlign w:val="center"/>
                </w:tcPr>
                <w:p w14:paraId="22565D8B">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项目不属于陆地石油和天然气开采、地下水开采以及水利、水电、交通项目，不需要设置地下水专项评价。</w:t>
                  </w:r>
                </w:p>
              </w:tc>
            </w:tr>
            <w:tr w14:paraId="67B0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2" w:type="pct"/>
                  <w:tcBorders>
                    <w:tl2br w:val="nil"/>
                    <w:tr2bl w:val="nil"/>
                  </w:tcBorders>
                  <w:noWrap w:val="0"/>
                  <w:vAlign w:val="center"/>
                </w:tcPr>
                <w:p w14:paraId="4CAF7E30">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w:t>
                  </w:r>
                </w:p>
              </w:tc>
              <w:tc>
                <w:tcPr>
                  <w:tcW w:w="2248" w:type="pct"/>
                  <w:tcBorders>
                    <w:tl2br w:val="nil"/>
                    <w:tr2bl w:val="nil"/>
                  </w:tcBorders>
                  <w:noWrap w:val="0"/>
                  <w:vAlign w:val="center"/>
                </w:tcPr>
                <w:p w14:paraId="139E2E8E">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涉及环境敏感区</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不包括饮用水水源保护区，以居住、医疗卫生、文化教育、科研、行政办公为主要功能的区域，以及文物保护单位）的项目。</w:t>
                  </w:r>
                </w:p>
              </w:tc>
              <w:tc>
                <w:tcPr>
                  <w:tcW w:w="1988" w:type="pct"/>
                  <w:tcBorders>
                    <w:tl2br w:val="nil"/>
                    <w:tr2bl w:val="nil"/>
                  </w:tcBorders>
                  <w:noWrap w:val="0"/>
                  <w:vAlign w:val="center"/>
                </w:tcPr>
                <w:p w14:paraId="6706A391">
                  <w:pPr>
                    <w:spacing w:beforeLines="0" w:afterLines="0"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经查，</w:t>
                  </w:r>
                  <w:r>
                    <w:rPr>
                      <w:rFonts w:hint="default" w:ascii="Times New Roman" w:hAnsi="Times New Roman" w:eastAsia="宋体" w:cs="Times New Roman"/>
                      <w:color w:val="auto"/>
                      <w:sz w:val="21"/>
                      <w:szCs w:val="21"/>
                      <w:highlight w:val="none"/>
                    </w:rPr>
                    <w:t>项目不涉及国家公园、自然保护区、风景名胜区、世界文化和自然遗产地、海洋特别保护区、饮用水水源保护区；</w:t>
                  </w:r>
                  <w:r>
                    <w:rPr>
                      <w:rFonts w:hint="eastAsia" w:ascii="Times New Roman" w:hAnsi="Times New Roman" w:cs="Times New Roman"/>
                      <w:color w:val="auto"/>
                      <w:sz w:val="21"/>
                      <w:szCs w:val="21"/>
                      <w:highlight w:val="none"/>
                      <w:lang w:val="en-US" w:eastAsia="zh-CN"/>
                    </w:rPr>
                    <w:t>不涉及生态保护红线管控范围、重要水生生物的自然产卵场、索饵场、越冬场和洄游通道</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rPr>
                    <w:t>不需要设置</w:t>
                  </w:r>
                  <w:r>
                    <w:rPr>
                      <w:rFonts w:hint="eastAsia" w:ascii="Times New Roman" w:hAnsi="Times New Roman" w:eastAsia="宋体" w:cs="Times New Roman"/>
                      <w:color w:val="auto"/>
                      <w:sz w:val="21"/>
                      <w:szCs w:val="21"/>
                      <w:lang w:val="en-US" w:eastAsia="zh-CN"/>
                    </w:rPr>
                    <w:t>生态</w:t>
                  </w:r>
                  <w:r>
                    <w:rPr>
                      <w:rFonts w:hint="default" w:ascii="Times New Roman" w:hAnsi="Times New Roman" w:eastAsia="宋体" w:cs="Times New Roman"/>
                      <w:color w:val="auto"/>
                      <w:sz w:val="21"/>
                      <w:szCs w:val="21"/>
                    </w:rPr>
                    <w:t>专项评价。</w:t>
                  </w:r>
                </w:p>
              </w:tc>
            </w:tr>
            <w:tr w14:paraId="2271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762" w:type="pct"/>
                  <w:tcBorders>
                    <w:tl2br w:val="nil"/>
                    <w:tr2bl w:val="nil"/>
                  </w:tcBorders>
                  <w:noWrap w:val="0"/>
                  <w:vAlign w:val="center"/>
                </w:tcPr>
                <w:p w14:paraId="41D69A99">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大气</w:t>
                  </w:r>
                </w:p>
              </w:tc>
              <w:tc>
                <w:tcPr>
                  <w:tcW w:w="2248" w:type="pct"/>
                  <w:tcBorders>
                    <w:tl2br w:val="nil"/>
                    <w:tr2bl w:val="nil"/>
                  </w:tcBorders>
                  <w:noWrap w:val="0"/>
                  <w:vAlign w:val="center"/>
                </w:tcPr>
                <w:p w14:paraId="458AF244">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油气、液体化工码头：全部；</w:t>
                  </w:r>
                </w:p>
                <w:p w14:paraId="7AB16C2E">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干散货</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含煤炭、矿石）、件杂、多用途、通用码头：涉及粉尘、挥发性有机物排放的项目</w:t>
                  </w:r>
                </w:p>
              </w:tc>
              <w:tc>
                <w:tcPr>
                  <w:tcW w:w="1988" w:type="pct"/>
                  <w:tcBorders>
                    <w:tl2br w:val="nil"/>
                    <w:tr2bl w:val="nil"/>
                  </w:tcBorders>
                  <w:noWrap w:val="0"/>
                  <w:vAlign w:val="center"/>
                </w:tcPr>
                <w:p w14:paraId="79C958D5">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项目不属于油气、液体化工码头建设项目，也不属于干散货</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含煤炭、矿石）、件杂、多用途、通用码头项目，项目不设置大气环境影响专项评价。</w:t>
                  </w:r>
                </w:p>
              </w:tc>
            </w:tr>
            <w:tr w14:paraId="14D1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2" w:type="pct"/>
                  <w:tcBorders>
                    <w:tl2br w:val="nil"/>
                    <w:tr2bl w:val="nil"/>
                  </w:tcBorders>
                  <w:noWrap w:val="0"/>
                  <w:vAlign w:val="center"/>
                </w:tcPr>
                <w:p w14:paraId="62E2EB78">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2248" w:type="pct"/>
                  <w:tcBorders>
                    <w:tl2br w:val="nil"/>
                    <w:tr2bl w:val="nil"/>
                  </w:tcBorders>
                  <w:noWrap w:val="0"/>
                  <w:vAlign w:val="center"/>
                </w:tcPr>
                <w:p w14:paraId="077EF174">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公路、铁路、机场等交通运输业涉及环境敏感区</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以居住、医疗卫生、文化教育、科研、行政办公为主要功能的区域）的项目；</w:t>
                  </w:r>
                </w:p>
                <w:p w14:paraId="16AE72BC">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城市道路</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不含维护，不含支路、人行天桥、人行地道）：全部</w:t>
                  </w:r>
                </w:p>
              </w:tc>
              <w:tc>
                <w:tcPr>
                  <w:tcW w:w="1988" w:type="pct"/>
                  <w:tcBorders>
                    <w:tl2br w:val="nil"/>
                    <w:tr2bl w:val="nil"/>
                  </w:tcBorders>
                  <w:noWrap w:val="0"/>
                  <w:vAlign w:val="center"/>
                </w:tcPr>
                <w:p w14:paraId="78D897B1">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项目不属于公路、铁路、城市道路建设项目，不设置噪声环境影响专项评价。</w:t>
                  </w:r>
                </w:p>
              </w:tc>
            </w:tr>
            <w:tr w14:paraId="4A62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2" w:type="pct"/>
                  <w:tcBorders>
                    <w:tl2br w:val="nil"/>
                    <w:tr2bl w:val="nil"/>
                  </w:tcBorders>
                  <w:noWrap w:val="0"/>
                  <w:vAlign w:val="center"/>
                </w:tcPr>
                <w:p w14:paraId="2ACC9B1B">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环境风险</w:t>
                  </w:r>
                </w:p>
              </w:tc>
              <w:tc>
                <w:tcPr>
                  <w:tcW w:w="2248" w:type="pct"/>
                  <w:tcBorders>
                    <w:tl2br w:val="nil"/>
                    <w:tr2bl w:val="nil"/>
                  </w:tcBorders>
                  <w:noWrap w:val="0"/>
                  <w:vAlign w:val="center"/>
                </w:tcPr>
                <w:p w14:paraId="4DFF0E94">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石油和天然气开采：全部；</w:t>
                  </w:r>
                </w:p>
                <w:p w14:paraId="09487C6E">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油气、液体化工码头：全部；</w:t>
                  </w:r>
                </w:p>
                <w:p w14:paraId="66B4FB72">
                  <w:pPr>
                    <w:spacing w:beforeLines="0" w:afterLines="0" w:line="240" w:lineRule="auto"/>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原油、成品油、天然气管线</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不含城镇天然气管线、企业厂区内管线），危险化学品输送管线</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不含企业厂区内管线）：全部</w:t>
                  </w:r>
                </w:p>
              </w:tc>
              <w:tc>
                <w:tcPr>
                  <w:tcW w:w="1988" w:type="pct"/>
                  <w:tcBorders>
                    <w:tl2br w:val="nil"/>
                    <w:tr2bl w:val="nil"/>
                  </w:tcBorders>
                  <w:noWrap w:val="0"/>
                  <w:vAlign w:val="center"/>
                </w:tcPr>
                <w:p w14:paraId="5C689B03">
                  <w:pPr>
                    <w:spacing w:beforeLines="0" w:afterLines="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项目不属于石油和天然气开采、油气码头以及危险化学品输送管线等建设项目，因此，本项目不设置环境风险专项评价。</w:t>
                  </w:r>
                </w:p>
              </w:tc>
            </w:tr>
            <w:tr w14:paraId="0C3E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3"/>
                  <w:tcBorders>
                    <w:tl2br w:val="nil"/>
                    <w:tr2bl w:val="nil"/>
                  </w:tcBorders>
                  <w:noWrap w:val="0"/>
                  <w:vAlign w:val="center"/>
                </w:tcPr>
                <w:p w14:paraId="7853FDF8">
                  <w:pPr>
                    <w:keepNext w:val="0"/>
                    <w:keepLines w:val="0"/>
                    <w:widowControl/>
                    <w:suppressLineNumbers w:val="0"/>
                    <w:jc w:val="left"/>
                    <w:rPr>
                      <w:rFonts w:hint="default" w:ascii="Times New Roman" w:hAnsi="Times New Roman" w:eastAsia="宋体" w:cs="Times New Roman"/>
                      <w:color w:val="000000" w:themeColor="text1"/>
                      <w:kern w:val="0"/>
                      <w:sz w:val="21"/>
                      <w:szCs w:val="20"/>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0"/>
                      <w:lang w:val="en-US" w:eastAsia="zh-CN" w:bidi="ar"/>
                      <w14:textFill>
                        <w14:solidFill>
                          <w14:schemeClr w14:val="tx1"/>
                        </w14:solidFill>
                      </w14:textFill>
                    </w:rPr>
                    <w:t>注：①</w:t>
                  </w:r>
                  <w:r>
                    <w:rPr>
                      <w:rFonts w:hint="default" w:ascii="Times New Roman" w:hAnsi="Times New Roman" w:cs="Times New Roman"/>
                      <w:color w:val="000000" w:themeColor="text1"/>
                      <w:kern w:val="0"/>
                      <w:sz w:val="21"/>
                      <w:szCs w:val="20"/>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0"/>
                      <w:lang w:val="en-US" w:eastAsia="zh-CN" w:bidi="ar"/>
                      <w14:textFill>
                        <w14:solidFill>
                          <w14:schemeClr w14:val="tx1"/>
                        </w14:solidFill>
                      </w14:textFill>
                    </w:rPr>
                    <w:t>涉及环境敏感区</w:t>
                  </w:r>
                  <w:r>
                    <w:rPr>
                      <w:rFonts w:hint="default" w:ascii="Times New Roman" w:hAnsi="Times New Roman" w:cs="Times New Roman"/>
                      <w:color w:val="000000" w:themeColor="text1"/>
                      <w:kern w:val="0"/>
                      <w:sz w:val="21"/>
                      <w:szCs w:val="20"/>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0"/>
                      <w:lang w:val="en-US" w:eastAsia="zh-CN" w:bidi="ar"/>
                      <w14:textFill>
                        <w14:solidFill>
                          <w14:schemeClr w14:val="tx1"/>
                        </w14:solidFill>
                      </w14:textFill>
                    </w:rPr>
                    <w:t>是指建设项目位于、穿</w:t>
                  </w:r>
                  <w:r>
                    <w:rPr>
                      <w:rFonts w:hint="eastAsia" w:ascii="Times New Roman" w:hAnsi="Times New Roman" w:eastAsia="宋体" w:cs="Times New Roman"/>
                      <w:color w:val="000000" w:themeColor="text1"/>
                      <w:kern w:val="0"/>
                      <w:sz w:val="21"/>
                      <w:szCs w:val="20"/>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0"/>
                      <w:lang w:val="en-US" w:eastAsia="zh-CN" w:bidi="ar"/>
                      <w14:textFill>
                        <w14:solidFill>
                          <w14:schemeClr w14:val="tx1"/>
                        </w14:solidFill>
                      </w14:textFill>
                    </w:rPr>
                    <w:t>跨）越</w:t>
                  </w:r>
                  <w:r>
                    <w:rPr>
                      <w:rFonts w:hint="eastAsia" w:ascii="Times New Roman" w:hAnsi="Times New Roman" w:eastAsia="宋体" w:cs="Times New Roman"/>
                      <w:color w:val="000000" w:themeColor="text1"/>
                      <w:kern w:val="0"/>
                      <w:sz w:val="21"/>
                      <w:szCs w:val="20"/>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0"/>
                      <w:lang w:val="en-US" w:eastAsia="zh-CN" w:bidi="ar"/>
                      <w14:textFill>
                        <w14:solidFill>
                          <w14:schemeClr w14:val="tx1"/>
                        </w14:solidFill>
                      </w14:textFill>
                    </w:rPr>
                    <w:t>无害化通过的除外）环境敏感区，或环境影响范围涵盖环境敏感区。</w:t>
                  </w:r>
                </w:p>
                <w:p w14:paraId="6519DD79">
                  <w:pPr>
                    <w:spacing w:beforeLines="0" w:afterLines="0" w:line="240" w:lineRule="auto"/>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000000" w:themeColor="text1"/>
                      <w:kern w:val="0"/>
                      <w:sz w:val="21"/>
                      <w:szCs w:val="20"/>
                      <w:lang w:val="en-US" w:eastAsia="zh-CN" w:bidi="ar"/>
                      <w14:textFill>
                        <w14:solidFill>
                          <w14:schemeClr w14:val="tx1"/>
                        </w14:solidFill>
                      </w14:textFill>
                    </w:rPr>
                    <w:t>②环境敏感区是指《建设项目环境影响评价分类管理名录》中针对该类项目所列的敏感区。</w:t>
                  </w:r>
                </w:p>
              </w:tc>
            </w:tr>
          </w:tbl>
          <w:p w14:paraId="4E90EB96">
            <w:pPr>
              <w:keepNext w:val="0"/>
              <w:keepLines w:val="0"/>
              <w:pageBreakBefore w:val="0"/>
              <w:widowControl w:val="0"/>
              <w:kinsoku/>
              <w:wordWrap/>
              <w:overflowPunct/>
              <w:topLinePunct w:val="0"/>
              <w:autoSpaceDE/>
              <w:autoSpaceDN/>
              <w:bidi w:val="0"/>
              <w:adjustRightInd/>
              <w:snapToGrid/>
              <w:spacing w:before="157" w:beforeLines="50" w:afterLines="0" w:line="360" w:lineRule="auto"/>
              <w:ind w:firstLine="480" w:firstLineChars="200"/>
              <w:jc w:val="both"/>
              <w:textAlignment w:val="auto"/>
              <w:rPr>
                <w:rFonts w:hint="default" w:ascii="Times New Roman" w:hAnsi="Times New Roman" w:eastAsia="宋体" w:cs="Times New Roman"/>
                <w:color w:val="0000FF"/>
                <w:sz w:val="24"/>
                <w:szCs w:val="24"/>
              </w:rPr>
            </w:pPr>
            <w:r>
              <w:rPr>
                <w:rFonts w:hint="default" w:ascii="Times New Roman" w:hAnsi="Times New Roman" w:eastAsia="宋体" w:cs="Times New Roman"/>
                <w:color w:val="auto"/>
                <w:kern w:val="0"/>
                <w:sz w:val="24"/>
                <w:szCs w:val="24"/>
                <w:highlight w:val="none"/>
                <w:lang w:val="en-US" w:eastAsia="zh-CN" w:bidi="ar"/>
              </w:rPr>
              <w:t>对照《建设项目环境影响评价分类管理名录》</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2021版），</w:t>
            </w:r>
            <w:r>
              <w:rPr>
                <w:rFonts w:hint="default" w:ascii="Times New Roman" w:hAnsi="Times New Roman" w:cs="Times New Roman"/>
                <w:color w:val="auto"/>
                <w:kern w:val="0"/>
                <w:sz w:val="24"/>
                <w:szCs w:val="24"/>
                <w:highlight w:val="none"/>
                <w:lang w:val="en-US" w:eastAsia="zh-CN" w:bidi="ar"/>
              </w:rPr>
              <w:t>结合《</w:t>
            </w:r>
            <w:r>
              <w:rPr>
                <w:rFonts w:hint="default" w:ascii="Times New Roman" w:hAnsi="Times New Roman" w:eastAsia="宋体" w:cs="Times New Roman"/>
                <w:color w:val="auto"/>
                <w:kern w:val="0"/>
                <w:sz w:val="24"/>
                <w:szCs w:val="24"/>
                <w:lang w:val="en-US" w:eastAsia="zh-CN" w:bidi="ar"/>
              </w:rPr>
              <w:t>建设项目环境影响报告表编</w:t>
            </w:r>
            <w:r>
              <w:rPr>
                <w:rFonts w:hint="default" w:ascii="Times New Roman" w:hAnsi="Times New Roman" w:eastAsia="宋体" w:cs="Times New Roman"/>
                <w:color w:val="auto"/>
                <w:kern w:val="0"/>
                <w:sz w:val="24"/>
                <w:szCs w:val="24"/>
                <w:highlight w:val="none"/>
                <w:lang w:val="en-US" w:eastAsia="zh-CN" w:bidi="ar"/>
              </w:rPr>
              <w:t>制技术指南</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生态影响类）》，本工程</w:t>
            </w:r>
            <w:r>
              <w:rPr>
                <w:rFonts w:hint="default" w:ascii="Times New Roman" w:hAnsi="Times New Roman" w:cs="Times New Roman"/>
                <w:color w:val="auto"/>
                <w:kern w:val="0"/>
                <w:sz w:val="24"/>
                <w:szCs w:val="24"/>
                <w:highlight w:val="none"/>
                <w:lang w:val="en-US" w:eastAsia="zh-CN" w:bidi="ar"/>
              </w:rPr>
              <w:t>为</w:t>
            </w:r>
            <w:r>
              <w:rPr>
                <w:rFonts w:hint="eastAsia" w:ascii="Times New Roman" w:hAnsi="Times New Roman" w:cs="Times New Roman"/>
                <w:color w:val="auto"/>
                <w:kern w:val="0"/>
                <w:sz w:val="24"/>
                <w:szCs w:val="24"/>
                <w:highlight w:val="none"/>
                <w:lang w:val="en-US" w:eastAsia="zh-CN" w:bidi="ar"/>
              </w:rPr>
              <w:t>引水工程</w:t>
            </w:r>
            <w:r>
              <w:rPr>
                <w:rFonts w:hint="default" w:ascii="Times New Roman" w:hAnsi="Times New Roman" w:eastAsia="宋体" w:cs="Times New Roman"/>
                <w:color w:val="auto"/>
                <w:kern w:val="0"/>
                <w:sz w:val="24"/>
                <w:szCs w:val="24"/>
                <w:highlight w:val="none"/>
                <w:lang w:val="en-US" w:eastAsia="zh-CN" w:bidi="ar"/>
              </w:rPr>
              <w:t>类项目</w:t>
            </w:r>
            <w:r>
              <w:rPr>
                <w:rFonts w:hint="default" w:ascii="Times New Roman" w:hAnsi="Times New Roman" w:cs="Times New Roman"/>
                <w:color w:val="auto"/>
                <w:kern w:val="0"/>
                <w:sz w:val="24"/>
                <w:szCs w:val="24"/>
                <w:highlight w:val="none"/>
                <w:lang w:val="en-US" w:eastAsia="zh-CN" w:bidi="ar"/>
              </w:rPr>
              <w:t>，</w:t>
            </w:r>
            <w:r>
              <w:rPr>
                <w:rFonts w:hint="eastAsia" w:ascii="Times New Roman" w:hAnsi="Times New Roman" w:cs="Times New Roman"/>
                <w:color w:val="auto"/>
                <w:kern w:val="0"/>
                <w:sz w:val="24"/>
                <w:szCs w:val="24"/>
                <w:highlight w:val="none"/>
                <w:lang w:val="en-US" w:eastAsia="zh-CN" w:bidi="ar"/>
              </w:rPr>
              <w:t>因此</w:t>
            </w:r>
            <w:r>
              <w:rPr>
                <w:rFonts w:hint="default" w:ascii="Times New Roman" w:hAnsi="Times New Roman" w:eastAsia="宋体" w:cs="Times New Roman"/>
                <w:color w:val="auto"/>
                <w:kern w:val="0"/>
                <w:sz w:val="24"/>
                <w:szCs w:val="24"/>
                <w:highlight w:val="none"/>
                <w:lang w:val="en-US" w:eastAsia="zh-CN" w:bidi="ar"/>
              </w:rPr>
              <w:t>不涉及</w:t>
            </w:r>
            <w:r>
              <w:rPr>
                <w:rFonts w:hint="default"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lang w:val="en-US" w:eastAsia="zh-CN" w:bidi="ar"/>
              </w:rPr>
              <w:t>编</w:t>
            </w:r>
            <w:r>
              <w:rPr>
                <w:rFonts w:hint="default" w:ascii="Times New Roman" w:hAnsi="Times New Roman" w:eastAsia="宋体" w:cs="Times New Roman"/>
                <w:color w:val="auto"/>
                <w:kern w:val="0"/>
                <w:sz w:val="24"/>
                <w:szCs w:val="24"/>
                <w:highlight w:val="none"/>
                <w:lang w:val="en-US" w:eastAsia="zh-CN" w:bidi="ar"/>
              </w:rPr>
              <w:t>制技术指南</w:t>
            </w:r>
            <w:r>
              <w:rPr>
                <w:rFonts w:hint="default"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“专项评价设置原则表”</w:t>
            </w:r>
            <w:r>
              <w:rPr>
                <w:rFonts w:hint="default" w:ascii="Times New Roman" w:hAnsi="Times New Roman" w:cs="Times New Roman"/>
                <w:color w:val="auto"/>
                <w:kern w:val="0"/>
                <w:sz w:val="24"/>
                <w:szCs w:val="24"/>
                <w:highlight w:val="none"/>
                <w:lang w:val="en-US" w:eastAsia="zh-CN" w:bidi="ar"/>
              </w:rPr>
              <w:t>中</w:t>
            </w:r>
            <w:r>
              <w:rPr>
                <w:rFonts w:hint="default" w:ascii="Times New Roman" w:hAnsi="Times New Roman" w:eastAsia="宋体" w:cs="Times New Roman"/>
                <w:color w:val="auto"/>
                <w:kern w:val="0"/>
                <w:sz w:val="24"/>
                <w:szCs w:val="24"/>
                <w:highlight w:val="none"/>
                <w:lang w:val="en-US" w:eastAsia="zh-CN" w:bidi="ar"/>
              </w:rPr>
              <w:t>所列的</w:t>
            </w:r>
            <w:r>
              <w:rPr>
                <w:rFonts w:hint="default" w:ascii="Times New Roman" w:hAnsi="Times New Roman" w:cs="Times New Roman"/>
                <w:color w:val="auto"/>
                <w:kern w:val="0"/>
                <w:sz w:val="24"/>
                <w:szCs w:val="24"/>
                <w:highlight w:val="none"/>
                <w:lang w:val="en-US" w:eastAsia="zh-CN" w:bidi="ar"/>
              </w:rPr>
              <w:t>各专项评价类别</w:t>
            </w:r>
            <w:r>
              <w:rPr>
                <w:rFonts w:hint="default" w:ascii="Times New Roman" w:hAnsi="Times New Roman" w:eastAsia="宋体" w:cs="Times New Roman"/>
                <w:color w:val="auto"/>
                <w:kern w:val="0"/>
                <w:sz w:val="24"/>
                <w:szCs w:val="24"/>
                <w:highlight w:val="none"/>
                <w:lang w:val="en-US" w:eastAsia="zh-CN" w:bidi="ar"/>
              </w:rPr>
              <w:t>，由上表判定，本项目不设置专项评价。</w:t>
            </w:r>
            <w:r>
              <w:rPr>
                <w:rFonts w:hint="default" w:ascii="Times New Roman" w:hAnsi="Times New Roman" w:eastAsia="宋体" w:cs="Times New Roman"/>
                <w:color w:val="auto"/>
                <w:sz w:val="23"/>
                <w:szCs w:val="24"/>
              </w:rPr>
              <w:t xml:space="preserve"> </w:t>
            </w:r>
          </w:p>
        </w:tc>
      </w:tr>
      <w:tr w14:paraId="4BAC6A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634" w:type="pct"/>
            <w:noWrap w:val="0"/>
            <w:tcMar>
              <w:top w:w="16" w:type="dxa"/>
              <w:left w:w="57" w:type="dxa"/>
              <w:right w:w="57" w:type="dxa"/>
            </w:tcMar>
            <w:vAlign w:val="center"/>
          </w:tcPr>
          <w:p w14:paraId="09879329">
            <w:pPr>
              <w:autoSpaceDE w:val="0"/>
              <w:autoSpaceDN w:val="0"/>
              <w:adjustRightInd w:val="0"/>
              <w:snapToGrid w:val="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规划情况</w:t>
            </w:r>
          </w:p>
        </w:tc>
        <w:tc>
          <w:tcPr>
            <w:tcW w:w="4365" w:type="pct"/>
            <w:gridSpan w:val="4"/>
            <w:noWrap w:val="0"/>
            <w:tcMar>
              <w:top w:w="16" w:type="dxa"/>
              <w:left w:w="57" w:type="dxa"/>
              <w:right w:w="57" w:type="dxa"/>
            </w:tcMar>
            <w:vAlign w:val="center"/>
          </w:tcPr>
          <w:p w14:paraId="7448F21B">
            <w:pPr>
              <w:autoSpaceDE w:val="0"/>
              <w:autoSpaceDN w:val="0"/>
              <w:adjustRightInd w:val="0"/>
              <w:snapToGrid w:val="0"/>
              <w:ind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无</w:t>
            </w:r>
          </w:p>
        </w:tc>
      </w:tr>
      <w:tr w14:paraId="418D93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634" w:type="pct"/>
            <w:noWrap w:val="0"/>
            <w:tcMar>
              <w:top w:w="16" w:type="dxa"/>
              <w:left w:w="57" w:type="dxa"/>
              <w:right w:w="57" w:type="dxa"/>
            </w:tcMar>
            <w:vAlign w:val="center"/>
          </w:tcPr>
          <w:p w14:paraId="4D6ECCF6">
            <w:pPr>
              <w:autoSpaceDE w:val="0"/>
              <w:autoSpaceDN w:val="0"/>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规划环境影响评价情况</w:t>
            </w:r>
          </w:p>
        </w:tc>
        <w:tc>
          <w:tcPr>
            <w:tcW w:w="4365" w:type="pct"/>
            <w:gridSpan w:val="4"/>
            <w:noWrap w:val="0"/>
            <w:tcMar>
              <w:top w:w="16" w:type="dxa"/>
              <w:left w:w="57" w:type="dxa"/>
              <w:right w:w="57" w:type="dxa"/>
            </w:tcMar>
            <w:vAlign w:val="center"/>
          </w:tcPr>
          <w:p w14:paraId="312A08A8">
            <w:pPr>
              <w:adjustRightInd w:val="0"/>
              <w:snapToGrid w:val="0"/>
              <w:ind w:firstLine="480" w:firstLineChars="200"/>
              <w:jc w:val="left"/>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无</w:t>
            </w:r>
          </w:p>
        </w:tc>
      </w:tr>
      <w:tr w14:paraId="28EC2F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634" w:type="pct"/>
            <w:noWrap w:val="0"/>
            <w:tcMar>
              <w:top w:w="16" w:type="dxa"/>
              <w:left w:w="57" w:type="dxa"/>
              <w:right w:w="57" w:type="dxa"/>
            </w:tcMar>
            <w:vAlign w:val="center"/>
          </w:tcPr>
          <w:p w14:paraId="4BB71C65">
            <w:pPr>
              <w:autoSpaceDE w:val="0"/>
              <w:autoSpaceDN w:val="0"/>
              <w:adjustRightInd w:val="0"/>
              <w:snapToGrid w:val="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规划及</w:t>
            </w:r>
            <w:r>
              <w:rPr>
                <w:rFonts w:hint="default" w:ascii="Times New Roman" w:hAnsi="Times New Roman" w:eastAsia="宋体" w:cs="Times New Roman"/>
                <w:color w:val="auto"/>
                <w:sz w:val="24"/>
                <w:szCs w:val="24"/>
                <w:highlight w:val="none"/>
              </w:rPr>
              <w:t>规划环境影响评价</w:t>
            </w:r>
            <w:r>
              <w:rPr>
                <w:rFonts w:hint="default" w:ascii="Times New Roman" w:hAnsi="Times New Roman" w:eastAsia="宋体" w:cs="Times New Roman"/>
                <w:color w:val="auto"/>
                <w:kern w:val="0"/>
                <w:sz w:val="24"/>
                <w:szCs w:val="24"/>
                <w:highlight w:val="none"/>
              </w:rPr>
              <w:t>符合性分析</w:t>
            </w:r>
          </w:p>
        </w:tc>
        <w:tc>
          <w:tcPr>
            <w:tcW w:w="4365" w:type="pct"/>
            <w:gridSpan w:val="4"/>
            <w:noWrap w:val="0"/>
            <w:tcMar>
              <w:top w:w="16" w:type="dxa"/>
              <w:left w:w="57" w:type="dxa"/>
              <w:right w:w="57" w:type="dxa"/>
            </w:tcMar>
            <w:vAlign w:val="center"/>
          </w:tcPr>
          <w:p w14:paraId="7976DCD8">
            <w:pPr>
              <w:keepNext w:val="0"/>
              <w:keepLines w:val="0"/>
              <w:pageBreakBefore w:val="0"/>
              <w:widowControl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4"/>
                <w:szCs w:val="24"/>
                <w:highlight w:val="none"/>
                <w:lang w:val="en-US" w:eastAsia="zh-CN"/>
              </w:rPr>
              <w:t>无</w:t>
            </w:r>
          </w:p>
        </w:tc>
      </w:tr>
      <w:tr w14:paraId="67A064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31" w:hRule="atLeast"/>
        </w:trPr>
        <w:tc>
          <w:tcPr>
            <w:tcW w:w="634" w:type="pct"/>
            <w:noWrap w:val="0"/>
            <w:tcMar>
              <w:top w:w="16" w:type="dxa"/>
              <w:left w:w="57" w:type="dxa"/>
              <w:right w:w="57" w:type="dxa"/>
            </w:tcMar>
            <w:vAlign w:val="center"/>
          </w:tcPr>
          <w:p w14:paraId="2770A630">
            <w:pPr>
              <w:autoSpaceDE w:val="0"/>
              <w:autoSpaceDN w:val="0"/>
              <w:adjustRightInd w:val="0"/>
              <w:snapToGrid w:val="0"/>
              <w:jc w:val="center"/>
              <w:rPr>
                <w:rFonts w:hint="default" w:ascii="Times New Roman" w:hAnsi="Times New Roman" w:eastAsia="宋体" w:cs="Times New Roman"/>
                <w:color w:val="auto"/>
                <w:kern w:val="0"/>
                <w:sz w:val="24"/>
                <w:szCs w:val="24"/>
              </w:rPr>
            </w:pPr>
            <w:bookmarkStart w:id="4" w:name="_Hlk56690880"/>
            <w:r>
              <w:rPr>
                <w:rFonts w:hint="default" w:ascii="Times New Roman" w:hAnsi="Times New Roman" w:eastAsia="宋体" w:cs="Times New Roman"/>
                <w:color w:val="auto"/>
                <w:kern w:val="0"/>
                <w:sz w:val="24"/>
                <w:szCs w:val="24"/>
              </w:rPr>
              <w:t>其他符合性分析</w:t>
            </w:r>
            <w:bookmarkEnd w:id="4"/>
          </w:p>
        </w:tc>
        <w:tc>
          <w:tcPr>
            <w:tcW w:w="4365" w:type="pct"/>
            <w:gridSpan w:val="4"/>
            <w:noWrap w:val="0"/>
            <w:tcMar>
              <w:top w:w="16" w:type="dxa"/>
              <w:left w:w="57" w:type="dxa"/>
              <w:right w:w="57" w:type="dxa"/>
            </w:tcMar>
            <w:vAlign w:val="center"/>
          </w:tcPr>
          <w:p w14:paraId="74D953C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TimesNewRomanPS-BoldMT" w:cs="Times New Roman"/>
                <w:b/>
                <w:bCs w:val="0"/>
                <w:color w:val="auto"/>
                <w:sz w:val="24"/>
                <w:szCs w:val="24"/>
              </w:rPr>
              <w:t>1</w:t>
            </w:r>
            <w:r>
              <w:rPr>
                <w:rFonts w:hint="default" w:ascii="Times New Roman" w:hAnsi="Times New Roman" w:eastAsia="宋体" w:cs="Times New Roman"/>
                <w:b/>
                <w:bCs w:val="0"/>
                <w:color w:val="auto"/>
                <w:sz w:val="24"/>
                <w:szCs w:val="24"/>
              </w:rPr>
              <w:t>、</w:t>
            </w:r>
            <w:r>
              <w:rPr>
                <w:rFonts w:hint="default" w:ascii="Times New Roman" w:hAnsi="Times New Roman" w:eastAsia="宋体" w:cs="Times New Roman"/>
                <w:b/>
                <w:bCs/>
                <w:color w:val="auto"/>
                <w:sz w:val="24"/>
                <w:szCs w:val="24"/>
              </w:rPr>
              <w:t>与《</w:t>
            </w:r>
            <w:r>
              <w:rPr>
                <w:rFonts w:hint="default" w:ascii="Times New Roman" w:hAnsi="Times New Roman" w:eastAsia="宋体" w:cs="Times New Roman"/>
                <w:b/>
                <w:bCs/>
                <w:color w:val="auto"/>
                <w:kern w:val="0"/>
                <w:sz w:val="24"/>
                <w:szCs w:val="24"/>
                <w:lang w:val="en-US" w:eastAsia="zh-CN" w:bidi="ar"/>
              </w:rPr>
              <w:t>昆明市生态环境分区管控动态更新方案</w:t>
            </w:r>
            <w:r>
              <w:rPr>
                <w:rFonts w:hint="eastAsia" w:ascii="Times New Roman" w:hAnsi="Times New Roman" w:cs="Times New Roman"/>
                <w:b/>
                <w:bCs/>
                <w:color w:val="auto"/>
                <w:kern w:val="0"/>
                <w:sz w:val="24"/>
                <w:szCs w:val="24"/>
                <w:lang w:val="en-US" w:eastAsia="zh-CN" w:bidi="ar"/>
              </w:rPr>
              <w:t>（</w:t>
            </w:r>
            <w:r>
              <w:rPr>
                <w:rFonts w:hint="default" w:ascii="Times New Roman" w:hAnsi="Times New Roman" w:eastAsia="宋体" w:cs="Times New Roman"/>
                <w:b/>
                <w:bCs/>
                <w:color w:val="auto"/>
                <w:kern w:val="0"/>
                <w:sz w:val="24"/>
                <w:szCs w:val="24"/>
                <w:lang w:val="en-US" w:eastAsia="zh-CN" w:bidi="ar"/>
              </w:rPr>
              <w:t>2023年）</w:t>
            </w:r>
            <w:r>
              <w:rPr>
                <w:rFonts w:hint="default" w:ascii="Times New Roman" w:hAnsi="Times New Roman" w:eastAsia="宋体" w:cs="Times New Roman"/>
                <w:b/>
                <w:bCs/>
                <w:color w:val="auto"/>
                <w:sz w:val="24"/>
                <w:szCs w:val="24"/>
              </w:rPr>
              <w:t>》符合性分析</w:t>
            </w:r>
          </w:p>
          <w:p w14:paraId="5C26C775">
            <w:pPr>
              <w:keepNext w:val="0"/>
              <w:keepLines w:val="0"/>
              <w:pageBreakBefore w:val="0"/>
              <w:widowControl w:val="0"/>
              <w:kinsoku/>
              <w:wordWrap/>
              <w:overflowPunct/>
              <w:topLinePunct w:val="0"/>
              <w:autoSpaceDE/>
              <w:autoSpaceDN/>
              <w:bidi w:val="0"/>
              <w:adjustRightInd/>
              <w:snapToGrid/>
              <w:spacing w:afterLines="0"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2024年11月12日，昆明市生态环境局《关于印发＜昆明市生态环境分区管控动态更新方案</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2023年）〉的通知》发布，全市共划分132 个生态环境管控单元，分为优先保护、重点管控和一般管控 3 类。其中</w:t>
            </w:r>
            <w:r>
              <w:rPr>
                <w:rFonts w:hint="eastAsia" w:ascii="Times New Roman" w:hAnsi="Times New Roman" w:cs="Times New Roman"/>
                <w:color w:val="auto"/>
                <w:sz w:val="24"/>
                <w:szCs w:val="24"/>
                <w:lang w:val="en-US" w:eastAsia="zh-CN"/>
              </w:rPr>
              <w:t>安宁市</w:t>
            </w:r>
            <w:r>
              <w:rPr>
                <w:rFonts w:hint="default" w:ascii="Times New Roman" w:hAnsi="Times New Roman" w:eastAsia="宋体" w:cs="Times New Roman"/>
                <w:color w:val="auto"/>
                <w:sz w:val="24"/>
                <w:szCs w:val="24"/>
                <w:lang w:val="en-US" w:eastAsia="zh-CN"/>
              </w:rPr>
              <w:t>优先保护单元3个、重点管控单元</w:t>
            </w:r>
            <w:r>
              <w:rPr>
                <w:rFonts w:hint="default" w:ascii="Times New Roman" w:hAnsi="Times New Roman"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个和一般管控单元1个，共</w:t>
            </w:r>
            <w:r>
              <w:rPr>
                <w:rFonts w:hint="default" w:ascii="Times New Roman" w:hAnsi="Times New Roman" w:cs="Times New Roman"/>
                <w:color w:val="auto"/>
                <w:sz w:val="24"/>
                <w:szCs w:val="24"/>
                <w:lang w:val="en-US" w:eastAsia="zh-CN"/>
              </w:rPr>
              <w:t>11</w:t>
            </w:r>
            <w:r>
              <w:rPr>
                <w:rFonts w:hint="default" w:ascii="Times New Roman" w:hAnsi="Times New Roman" w:eastAsia="宋体" w:cs="Times New Roman"/>
                <w:color w:val="auto"/>
                <w:sz w:val="24"/>
                <w:szCs w:val="24"/>
                <w:lang w:val="en-US" w:eastAsia="zh-CN"/>
              </w:rPr>
              <w:t>个。</w:t>
            </w:r>
          </w:p>
          <w:p w14:paraId="705892FE">
            <w:pPr>
              <w:keepNext w:val="0"/>
              <w:keepLines w:val="0"/>
              <w:pageBreakBefore w:val="0"/>
              <w:widowControl w:val="0"/>
              <w:kinsoku/>
              <w:wordWrap/>
              <w:overflowPunct/>
              <w:topLinePunct w:val="0"/>
              <w:autoSpaceDE/>
              <w:autoSpaceDN/>
              <w:bidi w:val="0"/>
              <w:adjustRightInd/>
              <w:snapToGrid/>
              <w:spacing w:afterLines="0"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根据云南省生态环境分区管控公共服务查询平台查询结果，本项目位于安宁市农业农村面源污染重点管控单元</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ZH53018120002</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安宁市乡镇生活污染重点管控单元</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ZH53018120006</w:t>
            </w:r>
            <w:r>
              <w:rPr>
                <w:rFonts w:hint="eastAsia" w:ascii="Times New Roman" w:hAnsi="Times New Roman" w:eastAsia="宋体" w:cs="Times New Roman"/>
                <w:color w:val="auto"/>
                <w:sz w:val="24"/>
                <w:szCs w:val="24"/>
                <w:lang w:val="en-US" w:eastAsia="zh-CN"/>
              </w:rPr>
              <w:t>）和</w:t>
            </w:r>
            <w:r>
              <w:rPr>
                <w:rFonts w:hint="default" w:ascii="Times New Roman" w:hAnsi="Times New Roman" w:eastAsia="宋体" w:cs="Times New Roman"/>
                <w:color w:val="auto"/>
                <w:sz w:val="24"/>
                <w:szCs w:val="24"/>
                <w:lang w:val="en-US" w:eastAsia="zh-CN"/>
              </w:rPr>
              <w:t>安宁市一般管控单元</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ZH53018130001</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。本项目与《昆明市生态环境分区管控动态更新方案</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2023年</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》文件符合性分析详见下表。</w:t>
            </w:r>
          </w:p>
          <w:p w14:paraId="232C8393">
            <w:pPr>
              <w:keepNext w:val="0"/>
              <w:keepLines w:val="0"/>
              <w:widowControl/>
              <w:suppressLineNumbers w:val="0"/>
              <w:spacing w:line="360" w:lineRule="auto"/>
              <w:jc w:val="center"/>
              <w:rPr>
                <w:rFonts w:hint="default" w:ascii="Times New Roman" w:hAnsi="Times New Roman" w:cs="Times New Roman"/>
                <w:b/>
                <w:bCs/>
                <w:sz w:val="24"/>
                <w:szCs w:val="24"/>
                <w:lang w:val="en-US" w:eastAsia="zh-CN"/>
              </w:rPr>
            </w:pPr>
            <w:r>
              <w:rPr>
                <w:rFonts w:hint="default" w:ascii="Times New Roman" w:hAnsi="Times New Roman" w:eastAsia="宋体" w:cs="Times New Roman"/>
                <w:b/>
                <w:bCs/>
                <w:color w:val="000000"/>
                <w:kern w:val="0"/>
                <w:sz w:val="24"/>
                <w:szCs w:val="24"/>
                <w:lang w:val="en-US" w:eastAsia="zh-CN" w:bidi="ar"/>
              </w:rPr>
              <w:t xml:space="preserve">表1-2   </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lang w:val="en-US" w:eastAsia="zh-CN"/>
              </w:rPr>
              <w:t>项目与《昆明市生态环境分区管控动态更新方案</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val="en-US" w:eastAsia="zh-CN"/>
              </w:rPr>
              <w:t>2023年</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val="en-US" w:eastAsia="zh-CN"/>
              </w:rPr>
              <w:t>》</w:t>
            </w:r>
          </w:p>
          <w:p w14:paraId="15F9650A">
            <w:pPr>
              <w:keepNext w:val="0"/>
              <w:keepLines w:val="0"/>
              <w:widowControl/>
              <w:suppressLineNumbers w:val="0"/>
              <w:spacing w:line="360" w:lineRule="auto"/>
              <w:jc w:val="center"/>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符合性分析</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4064"/>
              <w:gridCol w:w="2303"/>
              <w:gridCol w:w="645"/>
            </w:tblGrid>
            <w:tr w14:paraId="735F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3084" w:type="pct"/>
                  <w:gridSpan w:val="2"/>
                  <w:tcBorders>
                    <w:tl2br w:val="nil"/>
                    <w:tr2bl w:val="nil"/>
                  </w:tcBorders>
                  <w:noWrap w:val="0"/>
                  <w:vAlign w:val="center"/>
                </w:tcPr>
                <w:p w14:paraId="288E7897">
                  <w:pPr>
                    <w:spacing w:beforeLines="0" w:afterLine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文件内容</w:t>
                  </w:r>
                </w:p>
              </w:tc>
              <w:tc>
                <w:tcPr>
                  <w:tcW w:w="1497" w:type="pct"/>
                  <w:tcBorders>
                    <w:tl2br w:val="nil"/>
                    <w:tr2bl w:val="nil"/>
                  </w:tcBorders>
                  <w:noWrap w:val="0"/>
                  <w:vAlign w:val="center"/>
                </w:tcPr>
                <w:p w14:paraId="7EE0CC00">
                  <w:pPr>
                    <w:spacing w:beforeLines="0" w:afterLine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本项目情况</w:t>
                  </w:r>
                </w:p>
              </w:tc>
              <w:tc>
                <w:tcPr>
                  <w:tcW w:w="418" w:type="pct"/>
                  <w:tcBorders>
                    <w:tl2br w:val="nil"/>
                    <w:tr2bl w:val="nil"/>
                  </w:tcBorders>
                  <w:noWrap w:val="0"/>
                  <w:vAlign w:val="center"/>
                </w:tcPr>
                <w:p w14:paraId="301D0880">
                  <w:pPr>
                    <w:spacing w:beforeLines="0" w:afterLines="0"/>
                    <w:jc w:val="center"/>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eastAsia="zh-CN"/>
                    </w:rPr>
                    <w:t>符合</w:t>
                  </w:r>
                  <w:r>
                    <w:rPr>
                      <w:rFonts w:hint="default" w:ascii="Times New Roman" w:hAnsi="Times New Roman" w:eastAsia="宋体" w:cs="Times New Roman"/>
                      <w:color w:val="auto"/>
                      <w:sz w:val="21"/>
                      <w:szCs w:val="21"/>
                      <w:highlight w:val="none"/>
                    </w:rPr>
                    <w:t>性</w:t>
                  </w:r>
                </w:p>
              </w:tc>
            </w:tr>
            <w:tr w14:paraId="1DE2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tcBorders>
                    <w:tl2br w:val="nil"/>
                    <w:tr2bl w:val="nil"/>
                  </w:tcBorders>
                  <w:noWrap w:val="0"/>
                  <w:vAlign w:val="center"/>
                </w:tcPr>
                <w:p w14:paraId="4CDD3F95">
                  <w:pPr>
                    <w:spacing w:beforeLines="0" w:afterLine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生态保护红线及一般生态空间</w:t>
                  </w:r>
                </w:p>
              </w:tc>
            </w:tr>
            <w:tr w14:paraId="50AD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84" w:type="pct"/>
                  <w:gridSpan w:val="2"/>
                  <w:tcBorders>
                    <w:tl2br w:val="nil"/>
                    <w:tr2bl w:val="nil"/>
                  </w:tcBorders>
                  <w:noWrap w:val="0"/>
                  <w:vAlign w:val="center"/>
                </w:tcPr>
                <w:p w14:paraId="3A930CC9">
                  <w:pPr>
                    <w:spacing w:beforeLines="0" w:afterLines="0"/>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highlight w:val="none"/>
                      <w:lang w:val="en-US" w:eastAsia="zh-CN"/>
                    </w:rPr>
                    <w:t>更新后，生态保护红线全面与《昆明市国土空间总体规划</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2021—2035年）》衔接，全市生态保护红线面积4274.70平方公里，占全市国土面积的20.34%，较原有面积占比减少1.85%。全市一般生态空间面积5151.56平方公里，占国土空间面积的24.37%，较原有面积占比增加2.45%。</w:t>
                  </w:r>
                </w:p>
              </w:tc>
              <w:tc>
                <w:tcPr>
                  <w:tcW w:w="1497" w:type="pct"/>
                  <w:tcBorders>
                    <w:tl2br w:val="nil"/>
                    <w:tr2bl w:val="nil"/>
                  </w:tcBorders>
                  <w:noWrap w:val="0"/>
                  <w:vAlign w:val="center"/>
                </w:tcPr>
                <w:p w14:paraId="7D379F04">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lang w:val="en-US" w:eastAsia="zh-CN" w:bidi="ar"/>
                    </w:rPr>
                    <w:t>根据安宁市自然资源局出具的查询意见，工程选址不在生态红线范围内，符合生态保护红线要求。</w:t>
                  </w:r>
                </w:p>
              </w:tc>
              <w:tc>
                <w:tcPr>
                  <w:tcW w:w="418" w:type="pct"/>
                  <w:tcBorders>
                    <w:tl2br w:val="nil"/>
                    <w:tr2bl w:val="nil"/>
                  </w:tcBorders>
                  <w:noWrap w:val="0"/>
                  <w:vAlign w:val="center"/>
                </w:tcPr>
                <w:p w14:paraId="7A29EA7F">
                  <w:pPr>
                    <w:spacing w:beforeLines="0" w:afterLines="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符合</w:t>
                  </w:r>
                </w:p>
              </w:tc>
            </w:tr>
            <w:tr w14:paraId="5A42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tcBorders>
                    <w:tl2br w:val="nil"/>
                    <w:tr2bl w:val="nil"/>
                  </w:tcBorders>
                  <w:noWrap w:val="0"/>
                  <w:vAlign w:val="center"/>
                </w:tcPr>
                <w:p w14:paraId="218264A4">
                  <w:pPr>
                    <w:spacing w:beforeLines="0" w:afterLine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环境质量底线</w:t>
                  </w:r>
                </w:p>
              </w:tc>
            </w:tr>
            <w:tr w14:paraId="2EE8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84" w:type="pct"/>
                  <w:gridSpan w:val="2"/>
                  <w:tcBorders>
                    <w:tl2br w:val="nil"/>
                    <w:tr2bl w:val="nil"/>
                  </w:tcBorders>
                  <w:noWrap w:val="0"/>
                  <w:vAlign w:val="center"/>
                </w:tcPr>
                <w:p w14:paraId="159165EC">
                  <w:pPr>
                    <w:spacing w:beforeLines="0" w:afterLines="0"/>
                    <w:jc w:val="center"/>
                    <w:rPr>
                      <w:rFonts w:hint="default" w:ascii="Times New Roman" w:hAnsi="Times New Roman" w:eastAsia="Times New Roman" w:cs="Times New Roman"/>
                      <w:color w:val="auto"/>
                      <w:sz w:val="21"/>
                      <w:szCs w:val="21"/>
                    </w:rPr>
                  </w:pPr>
                  <w:r>
                    <w:rPr>
                      <w:rFonts w:hint="default" w:ascii="Times New Roman" w:hAnsi="Times New Roman" w:cs="Times New Roman"/>
                      <w:color w:val="auto"/>
                      <w:sz w:val="21"/>
                      <w:szCs w:val="21"/>
                      <w:highlight w:val="none"/>
                      <w:lang w:val="en-US" w:eastAsia="zh-CN"/>
                    </w:rPr>
                    <w:t>到2025年，昆明市地表水国控断面达到或好于Ⅲ类水体比例应达到81.5%，45个省控断面达到或好于Ⅲ类水体比例应达到80%，劣V类水体全面消除，县级及以上集中式饮用水水源地水质达标率100%；空气质量优良天数比率达99.1%，细颗粒物</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PM2.5）浓度不高于24微克/立方米，重污染天数为0；全市土壤环境质量总体保持稳定，局部稳中向好，受污染耕地安全利用率不低于90%，重点建设用地安全利用得到有效保障。</w:t>
                  </w:r>
                </w:p>
              </w:tc>
              <w:tc>
                <w:tcPr>
                  <w:tcW w:w="1497" w:type="pct"/>
                  <w:tcBorders>
                    <w:tl2br w:val="nil"/>
                    <w:tr2bl w:val="nil"/>
                  </w:tcBorders>
                  <w:noWrap w:val="0"/>
                  <w:vAlign w:val="center"/>
                </w:tcPr>
                <w:p w14:paraId="420F5CB0">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lang w:val="en-US" w:eastAsia="zh-CN" w:bidi="ar"/>
                    </w:rPr>
                    <w:t>1、本项目施工期废水不外排，运营期不涉及用排水，对区域地表水环境质量影响较小。</w:t>
                  </w:r>
                  <w:r>
                    <w:rPr>
                      <w:rFonts w:hint="default" w:ascii="Times New Roman" w:hAnsi="Times New Roman" w:eastAsia="宋体" w:cs="Times New Roman"/>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、根据现状调查结果，项目所在区域属于环境空气质量达标区。本项目建设期废气主要为扬尘，主要采取洒水、喷雾等降尘措施；运营期废气主要为汽车尾气；项目对大气环境质量影响较小。</w:t>
                  </w:r>
                  <w:r>
                    <w:rPr>
                      <w:rFonts w:hint="default" w:ascii="Times New Roman" w:hAnsi="Times New Roman" w:eastAsia="宋体" w:cs="Times New Roman"/>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、项目不存在可能对土壤产生影响的途径，项目建设对土壤环境质量影响较小。</w:t>
                  </w:r>
                </w:p>
              </w:tc>
              <w:tc>
                <w:tcPr>
                  <w:tcW w:w="418" w:type="pct"/>
                  <w:tcBorders>
                    <w:tl2br w:val="nil"/>
                    <w:tr2bl w:val="nil"/>
                  </w:tcBorders>
                  <w:noWrap w:val="0"/>
                  <w:vAlign w:val="center"/>
                </w:tcPr>
                <w:p w14:paraId="66B6D6DD">
                  <w:pPr>
                    <w:spacing w:beforeLines="0" w:afterLines="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符合</w:t>
                  </w:r>
                </w:p>
              </w:tc>
            </w:tr>
            <w:tr w14:paraId="23FE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tcBorders>
                    <w:tl2br w:val="nil"/>
                    <w:tr2bl w:val="nil"/>
                  </w:tcBorders>
                  <w:noWrap w:val="0"/>
                  <w:vAlign w:val="center"/>
                </w:tcPr>
                <w:p w14:paraId="043E14DD">
                  <w:pPr>
                    <w:spacing w:beforeLines="0" w:afterLines="0"/>
                    <w:jc w:val="both"/>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资源利用</w:t>
                  </w: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上限</w:t>
                  </w:r>
                </w:p>
              </w:tc>
            </w:tr>
            <w:tr w14:paraId="4942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84" w:type="pct"/>
                  <w:gridSpan w:val="2"/>
                  <w:tcBorders>
                    <w:tl2br w:val="nil"/>
                    <w:tr2bl w:val="nil"/>
                  </w:tcBorders>
                  <w:noWrap w:val="0"/>
                  <w:vAlign w:val="center"/>
                </w:tcPr>
                <w:p w14:paraId="2DF9F2D1">
                  <w:pPr>
                    <w:keepNext w:val="0"/>
                    <w:keepLines w:val="0"/>
                    <w:widowControl/>
                    <w:suppressLineNumbers w:val="0"/>
                    <w:jc w:val="left"/>
                    <w:rPr>
                      <w:rFonts w:hint="default" w:ascii="Times New Roman" w:hAnsi="Times New Roman" w:eastAsia="宋体" w:cs="Times New Roman"/>
                      <w:color w:val="auto"/>
                      <w:sz w:val="21"/>
                      <w:szCs w:val="21"/>
                    </w:rPr>
                  </w:pPr>
                  <w:r>
                    <w:rPr>
                      <w:rFonts w:hint="eastAsia" w:ascii="宋体" w:hAnsi="宋体" w:eastAsia="宋体" w:cs="宋体"/>
                      <w:color w:val="auto"/>
                      <w:kern w:val="0"/>
                      <w:sz w:val="21"/>
                      <w:szCs w:val="21"/>
                      <w:lang w:val="en-US" w:eastAsia="zh-CN" w:bidi="ar"/>
                    </w:rPr>
                    <w:t xml:space="preserve">到 </w:t>
                  </w:r>
                  <w:r>
                    <w:rPr>
                      <w:rFonts w:hint="default" w:ascii="Times New Roman" w:hAnsi="Times New Roman" w:eastAsia="宋体" w:cs="Times New Roman"/>
                      <w:color w:val="auto"/>
                      <w:kern w:val="0"/>
                      <w:sz w:val="21"/>
                      <w:szCs w:val="21"/>
                      <w:lang w:val="en-US" w:eastAsia="zh-CN" w:bidi="ar"/>
                    </w:rPr>
                    <w:t xml:space="preserve">2025 </w:t>
                  </w:r>
                  <w:r>
                    <w:rPr>
                      <w:rFonts w:hint="eastAsia" w:ascii="宋体" w:hAnsi="宋体" w:eastAsia="宋体" w:cs="宋体"/>
                      <w:color w:val="auto"/>
                      <w:kern w:val="0"/>
                      <w:sz w:val="21"/>
                      <w:szCs w:val="21"/>
                      <w:lang w:val="en-US" w:eastAsia="zh-CN" w:bidi="ar"/>
                    </w:rPr>
                    <w:t>年，按照国家、省、市有关要求和规划，按时完成全市用水总量、用水效率、限制纳污</w:t>
                  </w:r>
                  <w:r>
                    <w:rPr>
                      <w:rFonts w:hint="default" w:ascii="Times New Roman" w:hAnsi="Times New Roman" w:eastAsia="宋体" w:cs="Times New Roman"/>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三条红线</w:t>
                  </w:r>
                  <w:r>
                    <w:rPr>
                      <w:rFonts w:hint="default" w:ascii="Times New Roman" w:hAnsi="Times New Roman" w:eastAsia="宋体" w:cs="Times New Roman"/>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 xml:space="preserve">水资源上限控制指标；按时完成耕地保有量、基本农田保护面积、建设用地总规模等土地资源利用上限控制指标；按时完成单位 </w:t>
                  </w:r>
                  <w:r>
                    <w:rPr>
                      <w:rFonts w:hint="default" w:ascii="Times New Roman" w:hAnsi="Times New Roman" w:eastAsia="宋体" w:cs="Times New Roman"/>
                      <w:color w:val="auto"/>
                      <w:kern w:val="0"/>
                      <w:sz w:val="21"/>
                      <w:szCs w:val="21"/>
                      <w:lang w:val="en-US" w:eastAsia="zh-CN" w:bidi="ar"/>
                    </w:rPr>
                    <w:t xml:space="preserve">GDP </w:t>
                  </w:r>
                  <w:r>
                    <w:rPr>
                      <w:rFonts w:hint="eastAsia" w:ascii="宋体" w:hAnsi="宋体" w:eastAsia="宋体" w:cs="宋体"/>
                      <w:color w:val="auto"/>
                      <w:kern w:val="0"/>
                      <w:sz w:val="21"/>
                      <w:szCs w:val="21"/>
                      <w:lang w:val="en-US" w:eastAsia="zh-CN" w:bidi="ar"/>
                    </w:rPr>
                    <w:t>能耗下降率、能源消费总量等能源控制指标；矿产资源开采与保护达到预期目标；河湖岸线资源管控达到相关要求。</w:t>
                  </w:r>
                </w:p>
              </w:tc>
              <w:tc>
                <w:tcPr>
                  <w:tcW w:w="1497" w:type="pct"/>
                  <w:tcBorders>
                    <w:tl2br w:val="nil"/>
                    <w:tr2bl w:val="nil"/>
                  </w:tcBorders>
                  <w:noWrap w:val="0"/>
                  <w:vAlign w:val="center"/>
                </w:tcPr>
                <w:p w14:paraId="619FC788">
                  <w:pPr>
                    <w:keepNext w:val="0"/>
                    <w:keepLines w:val="0"/>
                    <w:widowControl/>
                    <w:suppressLineNumbers w:val="0"/>
                    <w:jc w:val="left"/>
                    <w:rPr>
                      <w:color w:val="auto"/>
                      <w:sz w:val="21"/>
                      <w:szCs w:val="21"/>
                    </w:rPr>
                  </w:pPr>
                  <w:r>
                    <w:rPr>
                      <w:rFonts w:hint="default" w:ascii="Times New Roman" w:hAnsi="Times New Roman" w:eastAsia="宋体" w:cs="Times New Roman"/>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 xml:space="preserve">、本项目仅在建设期涉及施工用水，且用水量较少，且施工废水经处理后回用。 </w:t>
                  </w:r>
                </w:p>
                <w:p w14:paraId="3769784B">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、本项目涉及临时占用、穿越耕地、基本农田，均为临时占用，后续按原样恢复，不会影响耕地、基本农田面积。</w:t>
                  </w:r>
                </w:p>
                <w:p w14:paraId="0FDE3A19">
                  <w:pPr>
                    <w:keepNext w:val="0"/>
                    <w:keepLines w:val="0"/>
                    <w:widowControl/>
                    <w:suppressLineNumbers w:val="0"/>
                    <w:jc w:val="left"/>
                    <w:rPr>
                      <w:color w:val="auto"/>
                      <w:sz w:val="21"/>
                      <w:szCs w:val="21"/>
                    </w:rPr>
                  </w:pPr>
                  <w:r>
                    <w:rPr>
                      <w:rFonts w:hint="eastAsia" w:ascii="宋体" w:hAnsi="宋体" w:eastAsia="宋体" w:cs="宋体"/>
                      <w:color w:val="auto"/>
                      <w:kern w:val="0"/>
                      <w:sz w:val="21"/>
                      <w:szCs w:val="21"/>
                      <w:lang w:val="en-US" w:eastAsia="zh-CN" w:bidi="ar"/>
                    </w:rPr>
                    <w:t xml:space="preserve">3、本项目建设不会影响单位 </w:t>
                  </w:r>
                  <w:r>
                    <w:rPr>
                      <w:rFonts w:hint="default" w:ascii="Times New Roman" w:hAnsi="Times New Roman" w:eastAsia="宋体" w:cs="Times New Roman"/>
                      <w:color w:val="auto"/>
                      <w:kern w:val="0"/>
                      <w:sz w:val="21"/>
                      <w:szCs w:val="21"/>
                      <w:lang w:val="en-US" w:eastAsia="zh-CN" w:bidi="ar"/>
                    </w:rPr>
                    <w:t xml:space="preserve">GDP </w:t>
                  </w:r>
                  <w:r>
                    <w:rPr>
                      <w:rFonts w:hint="eastAsia" w:ascii="宋体" w:hAnsi="宋体" w:eastAsia="宋体" w:cs="宋体"/>
                      <w:color w:val="auto"/>
                      <w:kern w:val="0"/>
                      <w:sz w:val="21"/>
                      <w:szCs w:val="21"/>
                      <w:lang w:val="en-US" w:eastAsia="zh-CN" w:bidi="ar"/>
                    </w:rPr>
                    <w:t xml:space="preserve">能耗下降率以及能源消费总量等能源控制指标。 </w:t>
                  </w:r>
                </w:p>
                <w:p w14:paraId="5DFDE912">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、本项目不涉及矿产资源开采以及河湖岸线资源。</w:t>
                  </w:r>
                </w:p>
              </w:tc>
              <w:tc>
                <w:tcPr>
                  <w:tcW w:w="418" w:type="pct"/>
                  <w:tcBorders>
                    <w:tl2br w:val="nil"/>
                    <w:tr2bl w:val="nil"/>
                  </w:tcBorders>
                  <w:noWrap w:val="0"/>
                  <w:vAlign w:val="center"/>
                </w:tcPr>
                <w:p w14:paraId="0E9F48AA">
                  <w:pPr>
                    <w:spacing w:beforeLines="0" w:afterLines="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符合</w:t>
                  </w:r>
                </w:p>
              </w:tc>
            </w:tr>
            <w:tr w14:paraId="669C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tcBorders>
                    <w:tl2br w:val="nil"/>
                    <w:tr2bl w:val="nil"/>
                  </w:tcBorders>
                  <w:noWrap w:val="0"/>
                  <w:vAlign w:val="center"/>
                </w:tcPr>
                <w:p w14:paraId="32288F4B">
                  <w:pPr>
                    <w:spacing w:beforeLines="0" w:afterLine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昆明市生态环境分区管控总体要求</w:t>
                  </w:r>
                </w:p>
              </w:tc>
            </w:tr>
            <w:tr w14:paraId="2233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noWrap w:val="0"/>
                  <w:vAlign w:val="center"/>
                </w:tcPr>
                <w:p w14:paraId="66C5E5F9">
                  <w:pPr>
                    <w:spacing w:beforeLines="0" w:afterLine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空间布局约束</w:t>
                  </w:r>
                </w:p>
              </w:tc>
              <w:tc>
                <w:tcPr>
                  <w:tcW w:w="2642" w:type="pct"/>
                  <w:tcBorders>
                    <w:tl2br w:val="nil"/>
                    <w:tr2bl w:val="nil"/>
                  </w:tcBorders>
                  <w:noWrap w:val="0"/>
                  <w:vAlign w:val="center"/>
                </w:tcPr>
                <w:p w14:paraId="700A277E">
                  <w:pPr>
                    <w:spacing w:beforeLines="0" w:afterLine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1.根据《昆明市国土空间总体规划</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2021-2035年）》进行空间管控。 2.牛栏江流域内，严格按照《云南省牛栏江保护条例》相关要求 对水环境进行分区管控。 3.滇池流域内，严格按照《云南 省滇池湖滨生态红线及湖泊生态 黄线“两线”划定方案》相关要求 进行分区管控。 4.阳宗海流域内，严格按照《云 南省阳宗海湖滨生态红线及湖泊 生态黄线“两线”划定方案》相关 要求进行分区管控。</w:t>
                  </w:r>
                </w:p>
              </w:tc>
              <w:tc>
                <w:tcPr>
                  <w:tcW w:w="1497" w:type="pct"/>
                  <w:tcBorders>
                    <w:tl2br w:val="nil"/>
                    <w:tr2bl w:val="nil"/>
                  </w:tcBorders>
                  <w:noWrap w:val="0"/>
                  <w:vAlign w:val="center"/>
                </w:tcPr>
                <w:p w14:paraId="7F32B7E1">
                  <w:pPr>
                    <w:keepNext w:val="0"/>
                    <w:keepLines w:val="0"/>
                    <w:widowControl/>
                    <w:suppressLineNumbers w:val="0"/>
                    <w:jc w:val="left"/>
                    <w:rPr>
                      <w:color w:val="auto"/>
                      <w:sz w:val="21"/>
                      <w:szCs w:val="21"/>
                    </w:rPr>
                  </w:pPr>
                  <w:r>
                    <w:rPr>
                      <w:rFonts w:hint="eastAsia" w:ascii="宋体" w:hAnsi="宋体" w:eastAsia="宋体" w:cs="宋体"/>
                      <w:color w:val="auto"/>
                      <w:kern w:val="0"/>
                      <w:sz w:val="21"/>
                      <w:szCs w:val="21"/>
                      <w:lang w:val="en-US" w:eastAsia="zh-CN" w:bidi="ar"/>
                    </w:rPr>
                    <w:t>1、本项目为引水工程，符合《昆明市国土空间总体规划</w:t>
                  </w:r>
                </w:p>
                <w:p w14:paraId="6B4582F1">
                  <w:pPr>
                    <w:keepNext w:val="0"/>
                    <w:keepLines w:val="0"/>
                    <w:widowControl/>
                    <w:suppressLineNumbers w:val="0"/>
                    <w:jc w:val="left"/>
                    <w:rPr>
                      <w:color w:val="auto"/>
                      <w:sz w:val="21"/>
                      <w:szCs w:val="21"/>
                    </w:rPr>
                  </w:pPr>
                  <w:r>
                    <w:rPr>
                      <w:rFonts w:hint="eastAsia" w:ascii="宋体" w:hAnsi="宋体" w:eastAsia="宋体" w:cs="宋体"/>
                      <w:color w:val="auto"/>
                      <w:kern w:val="0"/>
                      <w:sz w:val="21"/>
                      <w:szCs w:val="21"/>
                      <w:lang w:val="en-US" w:eastAsia="zh-CN" w:bidi="ar"/>
                    </w:rPr>
                    <w:t>（</w:t>
                  </w:r>
                  <w:r>
                    <w:rPr>
                      <w:rFonts w:hint="default" w:ascii="Times New Roman" w:hAnsi="Times New Roman" w:eastAsia="宋体" w:cs="Times New Roman"/>
                      <w:color w:val="auto"/>
                      <w:kern w:val="0"/>
                      <w:sz w:val="21"/>
                      <w:szCs w:val="21"/>
                      <w:lang w:val="en-US" w:eastAsia="zh-CN" w:bidi="ar"/>
                    </w:rPr>
                    <w:t xml:space="preserve">2021-2035 </w:t>
                  </w:r>
                  <w:r>
                    <w:rPr>
                      <w:rFonts w:hint="eastAsia" w:ascii="宋体" w:hAnsi="宋体" w:eastAsia="宋体" w:cs="宋体"/>
                      <w:color w:val="auto"/>
                      <w:kern w:val="0"/>
                      <w:sz w:val="21"/>
                      <w:szCs w:val="21"/>
                      <w:lang w:val="en-US" w:eastAsia="zh-CN" w:bidi="ar"/>
                    </w:rPr>
                    <w:t>年）》要求。</w:t>
                  </w:r>
                </w:p>
                <w:p w14:paraId="27FC9F20">
                  <w:pPr>
                    <w:keepNext w:val="0"/>
                    <w:keepLines w:val="0"/>
                    <w:widowControl/>
                    <w:suppressLineNumbers w:val="0"/>
                    <w:jc w:val="left"/>
                    <w:rPr>
                      <w:color w:val="auto"/>
                      <w:sz w:val="21"/>
                      <w:szCs w:val="21"/>
                    </w:rPr>
                  </w:pPr>
                  <w:r>
                    <w:rPr>
                      <w:rFonts w:hint="default" w:ascii="Times New Roman" w:hAnsi="Times New Roman" w:eastAsia="宋体" w:cs="Times New Roman"/>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 xml:space="preserve">、本项目不在牛栏江流域内。 </w:t>
                  </w:r>
                </w:p>
                <w:p w14:paraId="79B4F6F6">
                  <w:pPr>
                    <w:keepNext w:val="0"/>
                    <w:keepLines w:val="0"/>
                    <w:widowControl/>
                    <w:suppressLineNumbers w:val="0"/>
                    <w:jc w:val="left"/>
                    <w:rPr>
                      <w:color w:val="auto"/>
                      <w:sz w:val="21"/>
                      <w:szCs w:val="21"/>
                    </w:rPr>
                  </w:pPr>
                  <w:r>
                    <w:rPr>
                      <w:rFonts w:hint="default" w:ascii="Times New Roman" w:hAnsi="Times New Roman" w:eastAsia="宋体" w:cs="Times New Roman"/>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 xml:space="preserve">、根据分析，项目不在滇池流域内。 </w:t>
                  </w:r>
                </w:p>
                <w:p w14:paraId="004C0A76">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、本项目不在阳宗海流域内。</w:t>
                  </w:r>
                </w:p>
              </w:tc>
              <w:tc>
                <w:tcPr>
                  <w:tcW w:w="418" w:type="pct"/>
                  <w:tcBorders>
                    <w:tl2br w:val="nil"/>
                    <w:tr2bl w:val="nil"/>
                  </w:tcBorders>
                  <w:noWrap w:val="0"/>
                  <w:vAlign w:val="center"/>
                </w:tcPr>
                <w:p w14:paraId="6E189619">
                  <w:pPr>
                    <w:spacing w:beforeLines="0" w:afterLines="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符合</w:t>
                  </w:r>
                </w:p>
              </w:tc>
            </w:tr>
            <w:tr w14:paraId="5B88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noWrap w:val="0"/>
                  <w:vAlign w:val="center"/>
                </w:tcPr>
                <w:p w14:paraId="5774ED45">
                  <w:pPr>
                    <w:spacing w:beforeLines="0" w:afterLine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污染物排放管控</w:t>
                  </w:r>
                </w:p>
              </w:tc>
              <w:tc>
                <w:tcPr>
                  <w:tcW w:w="2642" w:type="pct"/>
                  <w:tcBorders>
                    <w:tl2br w:val="nil"/>
                    <w:tr2bl w:val="nil"/>
                  </w:tcBorders>
                  <w:noWrap w:val="0"/>
                  <w:vAlign w:val="center"/>
                </w:tcPr>
                <w:p w14:paraId="6A2C7442">
                  <w:pP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到2025年，昆明市地表水国、省控断面达到或好于III类水体比例应达到81.5%；滇池草海水质稳定达到IV类、外海水质达到IV类</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COD≤40mg/L），阳宗海水质稳定达到Ⅲ类水标准，县级及以上集中式饮用水水源地水质达标率100%。化学需氧量重点工程减排量10243t，氨氮重点工程减排量1009t。2.到2025年，昆明市环境空气质量优良天数比例应达到99.1%，城市细颗粒物</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PM2.5）平均浓度应达到24μg/m³；氮氧化物重点工程减排量2237t，挥发性有机物重点工程减排量1684t。3.2025年底前，全面完成钢铁企业超低排放改造。持续开展燃煤锅炉整治，推进每小时65蒸吨以上的燃煤锅炉超低排放改造。燃气锅炉推行低氮燃烧，氮氧化物排放浓度不高于50毫克/立方米。重点涉气排放企业逐步取消烟气旁路，因安全生产无法取消的，安装在线监管系统。4.建立完善源头、过程和末端的VOCs全过程控制体系，实施VOCs排放总量控制。5.推进农业废弃物综合利用，2025年底前综合利用率达90%以上。6.滇池流域：2025年底前，完成流域内城镇雨污分流改造，城镇污水收集率达95％以上，农村生活污水收集处理率达75％以上，畜禽粪污综合利用率达90％以上，城市生活垃圾处理率达97％以上，实现农村生活垃圾分类投放、统一运输、集中处理。7.阳宗海流域：推进农业废弃物综合利用，2025年底前农作物综合利用率达90%以上，畜禽粪污综合利用率达96%以上，农膜回收利用率达85%以上。2025年底前，完成流域内城镇雨污分流改造，城镇污水收集率达95%以上，农村生活污水收集处理率达75%以上，畜禽粪污综合利用率达90%以上，城镇生活垃圾处理率达97%以上，实现农村生活垃圾分类投放、统一运输、集中处理。8.督促指导磷石膏产生企业配套建设</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或委托建设）相应能力的磷石膏无害化处理设施，采用水洗、焙烧、浮选、中和等技术对磷石膏进行无害化处理，确保在2025年新产生磷石膏实现100%无害化处理，从根本上降低磷石膏污染隐患。无害化处理后暂时不能利用的磷石膏，应当按生态环境、应急管理要求依法依规安全环保分类存放。9.推动昆明市磷石膏综合利用率2023年达到52%，2024年达到64%，2025年确保达到73%，力争达到75%；到2025年底，中心城区污泥无害化处置率达到95%以上，县城污泥无害化处置率达到90%以上。</w:t>
                  </w:r>
                </w:p>
              </w:tc>
              <w:tc>
                <w:tcPr>
                  <w:tcW w:w="1497" w:type="pct"/>
                  <w:tcBorders>
                    <w:tl2br w:val="nil"/>
                    <w:tr2bl w:val="nil"/>
                  </w:tcBorders>
                  <w:noWrap w:val="0"/>
                  <w:vAlign w:val="center"/>
                </w:tcPr>
                <w:p w14:paraId="7BA32A93">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、本项目施工期废水不外排，运营期不涉及用排水，不涉及化学需氧量、氨氮的排放，对区域地表水环境质量影响较小。</w:t>
                  </w:r>
                  <w:r>
                    <w:rPr>
                      <w:rFonts w:hint="default" w:ascii="Times New Roman" w:hAnsi="Times New Roman" w:eastAsia="宋体" w:cs="Times New Roman"/>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、本项目建设期废气主要为扬尘，主要采取洒水、喷雾等降尘措施；运营期废气主要为汽车尾气；项目本身不排放废气，也不属于氮氧化物重点工程、挥发性有机物重点工程。</w:t>
                  </w:r>
                  <w:r>
                    <w:rPr>
                      <w:rFonts w:hint="default" w:ascii="Times New Roman" w:hAnsi="Times New Roman" w:eastAsia="宋体" w:cs="Times New Roman"/>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、本项目为引水工程，不属于钢铁企业。</w:t>
                  </w:r>
                  <w:r>
                    <w:rPr>
                      <w:rFonts w:hint="default" w:ascii="Times New Roman" w:hAnsi="Times New Roman" w:eastAsia="宋体" w:cs="Times New Roman"/>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、本项目不涉及</w:t>
                  </w:r>
                  <w:r>
                    <w:rPr>
                      <w:rFonts w:hint="default" w:ascii="Times New Roman" w:hAnsi="Times New Roman" w:eastAsia="宋体" w:cs="Times New Roman"/>
                      <w:color w:val="auto"/>
                      <w:kern w:val="0"/>
                      <w:sz w:val="21"/>
                      <w:szCs w:val="21"/>
                      <w:lang w:val="en-US" w:eastAsia="zh-CN" w:bidi="ar"/>
                    </w:rPr>
                    <w:t>VOCs</w:t>
                  </w:r>
                  <w:r>
                    <w:rPr>
                      <w:rFonts w:hint="eastAsia" w:ascii="宋体" w:hAnsi="宋体" w:eastAsia="宋体" w:cs="宋体"/>
                      <w:color w:val="auto"/>
                      <w:kern w:val="0"/>
                      <w:sz w:val="21"/>
                      <w:szCs w:val="21"/>
                      <w:lang w:val="en-US" w:eastAsia="zh-CN" w:bidi="ar"/>
                    </w:rPr>
                    <w:t>的排放。</w:t>
                  </w:r>
                  <w:r>
                    <w:rPr>
                      <w:rFonts w:hint="default" w:ascii="Times New Roman" w:hAnsi="Times New Roman" w:eastAsia="宋体" w:cs="Times New Roman"/>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、本项目不涉及农业废弃资源综合利用。</w:t>
                  </w:r>
                  <w:r>
                    <w:rPr>
                      <w:rFonts w:hint="default" w:ascii="Times New Roman" w:hAnsi="Times New Roman" w:eastAsia="宋体" w:cs="Times New Roman"/>
                      <w:color w:val="auto"/>
                      <w:kern w:val="0"/>
                      <w:sz w:val="21"/>
                      <w:szCs w:val="21"/>
                      <w:lang w:val="en-US" w:eastAsia="zh-CN" w:bidi="ar"/>
                    </w:rPr>
                    <w:t>6</w:t>
                  </w:r>
                  <w:r>
                    <w:rPr>
                      <w:rFonts w:hint="eastAsia" w:ascii="宋体" w:hAnsi="宋体" w:eastAsia="宋体" w:cs="宋体"/>
                      <w:color w:val="auto"/>
                      <w:kern w:val="0"/>
                      <w:sz w:val="21"/>
                      <w:szCs w:val="21"/>
                      <w:lang w:val="en-US" w:eastAsia="zh-CN" w:bidi="ar"/>
                    </w:rPr>
                    <w:t>、本项目不属于滇池流域。</w:t>
                  </w:r>
                  <w:r>
                    <w:rPr>
                      <w:rFonts w:hint="default" w:ascii="Times New Roman" w:hAnsi="Times New Roman" w:eastAsia="宋体" w:cs="Times New Roman"/>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、本项目不属于阳宗海流域。</w:t>
                  </w:r>
                  <w:r>
                    <w:rPr>
                      <w:rFonts w:hint="default" w:ascii="Times New Roman" w:hAnsi="Times New Roman" w:eastAsia="宋体" w:cs="Times New Roman"/>
                      <w:color w:val="auto"/>
                      <w:kern w:val="0"/>
                      <w:sz w:val="21"/>
                      <w:szCs w:val="21"/>
                      <w:lang w:val="en-US" w:eastAsia="zh-CN" w:bidi="ar"/>
                    </w:rPr>
                    <w:t>8</w:t>
                  </w:r>
                  <w:r>
                    <w:rPr>
                      <w:rFonts w:hint="eastAsia" w:ascii="宋体" w:hAnsi="宋体" w:eastAsia="宋体" w:cs="宋体"/>
                      <w:color w:val="auto"/>
                      <w:kern w:val="0"/>
                      <w:sz w:val="21"/>
                      <w:szCs w:val="21"/>
                      <w:lang w:val="en-US" w:eastAsia="zh-CN" w:bidi="ar"/>
                    </w:rPr>
                    <w:t>、本项目不属于磷石膏产生企业，不涉及磷石膏处理。</w:t>
                  </w:r>
                  <w:r>
                    <w:rPr>
                      <w:rFonts w:hint="default" w:ascii="Times New Roman" w:hAnsi="Times New Roman" w:eastAsia="宋体" w:cs="Times New Roman"/>
                      <w:color w:val="auto"/>
                      <w:kern w:val="0"/>
                      <w:sz w:val="21"/>
                      <w:szCs w:val="21"/>
                      <w:lang w:val="en-US" w:eastAsia="zh-CN" w:bidi="ar"/>
                    </w:rPr>
                    <w:t>9</w:t>
                  </w:r>
                  <w:r>
                    <w:rPr>
                      <w:rFonts w:hint="eastAsia" w:ascii="宋体" w:hAnsi="宋体" w:eastAsia="宋体" w:cs="宋体"/>
                      <w:color w:val="auto"/>
                      <w:kern w:val="0"/>
                      <w:sz w:val="21"/>
                      <w:szCs w:val="21"/>
                      <w:lang w:val="en-US" w:eastAsia="zh-CN" w:bidi="ar"/>
                    </w:rPr>
                    <w:t>、本项目不涉及磷石膏综合利用以及污泥处置。</w:t>
                  </w:r>
                </w:p>
              </w:tc>
              <w:tc>
                <w:tcPr>
                  <w:tcW w:w="418" w:type="pct"/>
                  <w:tcBorders>
                    <w:tl2br w:val="nil"/>
                    <w:tr2bl w:val="nil"/>
                  </w:tcBorders>
                  <w:noWrap w:val="0"/>
                  <w:vAlign w:val="center"/>
                </w:tcPr>
                <w:p w14:paraId="08AD27B7">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eastAsia="zh-CN"/>
                    </w:rPr>
                    <w:t>符合</w:t>
                  </w:r>
                </w:p>
              </w:tc>
            </w:tr>
            <w:tr w14:paraId="6195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noWrap w:val="0"/>
                  <w:vAlign w:val="center"/>
                </w:tcPr>
                <w:p w14:paraId="0BA2261F">
                  <w:pPr>
                    <w:spacing w:beforeLines="0" w:afterLine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环境风险防控</w:t>
                  </w:r>
                </w:p>
              </w:tc>
              <w:tc>
                <w:tcPr>
                  <w:tcW w:w="2642" w:type="pct"/>
                  <w:tcBorders>
                    <w:tl2br w:val="nil"/>
                    <w:tr2bl w:val="nil"/>
                  </w:tcBorders>
                  <w:noWrap w:val="0"/>
                  <w:vAlign w:val="center"/>
                </w:tcPr>
                <w:p w14:paraId="25BFDFFA">
                  <w:pP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加大放射性物质、电磁辐射、危险废物、医疗废物、尾矿库渣场、危险化学品、重金属等风险要素防控力度，全过程监控风险要素产生、使用、储存、运输、处理处置，实现智能化预警与报警，有效降低各类环境风险。2.针对持久性有机污染物、内分泌干扰物等新污染物，制定实施新污染物治理行动方案，开展新污染物筛查与评估，建立清单，开展化学物质生产使用信息调查，实施调查监测和环境风险评估。3.开展重点区域、重点领域环境风险调查评估，加强源头预防、过程管控、末端治理；建设环境应急技术库和物资库，推动各地更新扩充应急物资和防护装备，提升环境应急指挥信息化水平，完善环境应急管理体系。4.开展“千吨万人”农村饮用水水源保护区环境风险排查整治，加强农村水源水质监测。5.以涉危险废物、涉重金属企业为重点，合理布设生产设施，强化应急导流槽、事故调蓄池、雨污总排口应急闸坝等事故排水收集截留设施，以及传输泵、配套管线、应急发电等事故水输送设施等建设，合理设置消防事故水池和雨水监测池。6.严格新</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改、扩）建尾矿库环境准入，健全尾矿库环境监管清单，加强尾矿库分类分级环境监管。严格落实《云南省尾矿库专项整治工作实施方案》。</w:t>
                  </w:r>
                </w:p>
              </w:tc>
              <w:tc>
                <w:tcPr>
                  <w:tcW w:w="1497" w:type="pct"/>
                  <w:tcBorders>
                    <w:tl2br w:val="nil"/>
                    <w:tr2bl w:val="nil"/>
                  </w:tcBorders>
                  <w:noWrap w:val="0"/>
                  <w:vAlign w:val="center"/>
                </w:tcPr>
                <w:p w14:paraId="3F0F8B8E">
                  <w:pPr>
                    <w:keepNext w:val="0"/>
                    <w:keepLines w:val="0"/>
                    <w:widowControl/>
                    <w:suppressLineNumbers w:val="0"/>
                    <w:jc w:val="left"/>
                    <w:rPr>
                      <w:rFonts w:hint="default" w:ascii="Times New Roman" w:hAnsi="Times New Roman" w:eastAsia="宋体" w:cs="Times New Roman"/>
                      <w:color w:val="0000FF"/>
                      <w:sz w:val="21"/>
                      <w:szCs w:val="21"/>
                      <w:highlight w:val="none"/>
                    </w:rPr>
                  </w:pPr>
                  <w:r>
                    <w:rPr>
                      <w:rFonts w:hint="default" w:ascii="Times New Roman" w:hAnsi="Times New Roman" w:eastAsia="宋体" w:cs="Times New Roman"/>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、本项目不涉及放射性物质、电磁辐射、危险废物、医疗废物、尾矿库渣场、危险化学品、重金属等风险要素的产生、使用、储存、运输、处理处置。</w:t>
                  </w:r>
                  <w:r>
                    <w:rPr>
                      <w:rFonts w:hint="default" w:ascii="Times New Roman" w:hAnsi="Times New Roman" w:eastAsia="宋体" w:cs="Times New Roman"/>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、本项目不会产生持久性有机污染物、内分泌干扰物等新污染物。</w:t>
                  </w:r>
                  <w:r>
                    <w:rPr>
                      <w:rFonts w:hint="default" w:ascii="Times New Roman" w:hAnsi="Times New Roman" w:eastAsia="宋体" w:cs="Times New Roman"/>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、本项目不属于环境风险重点区域、重点领域。</w:t>
                  </w:r>
                  <w:r>
                    <w:rPr>
                      <w:rFonts w:hint="default" w:ascii="Times New Roman" w:hAnsi="Times New Roman" w:eastAsia="宋体" w:cs="Times New Roman"/>
                      <w:color w:val="000000"/>
                      <w:kern w:val="0"/>
                      <w:sz w:val="21"/>
                      <w:szCs w:val="21"/>
                      <w:lang w:val="en-US" w:eastAsia="zh-CN" w:bidi="ar"/>
                    </w:rPr>
                    <w:t>4</w:t>
                  </w:r>
                  <w:r>
                    <w:rPr>
                      <w:rFonts w:hint="eastAsia" w:ascii="宋体" w:hAnsi="宋体" w:eastAsia="宋体" w:cs="宋体"/>
                      <w:color w:val="000000"/>
                      <w:kern w:val="0"/>
                      <w:sz w:val="21"/>
                      <w:szCs w:val="21"/>
                      <w:lang w:val="en-US" w:eastAsia="zh-CN" w:bidi="ar"/>
                    </w:rPr>
                    <w:t>、本项目不涉及饮用水水源保护区。</w:t>
                  </w:r>
                  <w:r>
                    <w:rPr>
                      <w:rFonts w:hint="default" w:ascii="Times New Roman" w:hAnsi="Times New Roman" w:eastAsia="宋体" w:cs="Times New Roman"/>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、本项目不属于涉危险废物、重金属的企业。</w:t>
                  </w:r>
                  <w:r>
                    <w:rPr>
                      <w:rFonts w:hint="default" w:ascii="Times New Roman" w:hAnsi="Times New Roman" w:eastAsia="宋体" w:cs="Times New Roman"/>
                      <w:color w:val="000000"/>
                      <w:kern w:val="0"/>
                      <w:sz w:val="21"/>
                      <w:szCs w:val="21"/>
                      <w:lang w:val="en-US" w:eastAsia="zh-CN" w:bidi="ar"/>
                    </w:rPr>
                    <w:t>6</w:t>
                  </w:r>
                  <w:r>
                    <w:rPr>
                      <w:rFonts w:hint="eastAsia" w:ascii="宋体" w:hAnsi="宋体" w:eastAsia="宋体" w:cs="宋体"/>
                      <w:color w:val="000000"/>
                      <w:kern w:val="0"/>
                      <w:sz w:val="21"/>
                      <w:szCs w:val="21"/>
                      <w:lang w:val="en-US" w:eastAsia="zh-CN" w:bidi="ar"/>
                    </w:rPr>
                    <w:t>、本项目不属于尾矿库项目。</w:t>
                  </w:r>
                </w:p>
              </w:tc>
              <w:tc>
                <w:tcPr>
                  <w:tcW w:w="418" w:type="pct"/>
                  <w:tcBorders>
                    <w:tl2br w:val="nil"/>
                    <w:tr2bl w:val="nil"/>
                  </w:tcBorders>
                  <w:noWrap w:val="0"/>
                  <w:vAlign w:val="center"/>
                </w:tcPr>
                <w:p w14:paraId="679C1B26">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eastAsia="zh-CN"/>
                    </w:rPr>
                    <w:t>符合</w:t>
                  </w:r>
                </w:p>
              </w:tc>
            </w:tr>
            <w:tr w14:paraId="7884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noWrap w:val="0"/>
                  <w:vAlign w:val="center"/>
                </w:tcPr>
                <w:p w14:paraId="414680A6">
                  <w:pPr>
                    <w:spacing w:beforeLines="0" w:afterLines="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资源开发效率要求</w:t>
                  </w:r>
                </w:p>
              </w:tc>
              <w:tc>
                <w:tcPr>
                  <w:tcW w:w="2642" w:type="pct"/>
                  <w:tcBorders>
                    <w:tl2br w:val="nil"/>
                    <w:tr2bl w:val="nil"/>
                  </w:tcBorders>
                  <w:noWrap w:val="0"/>
                  <w:vAlign w:val="center"/>
                </w:tcPr>
                <w:p w14:paraId="3DFE344C">
                  <w:pP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到2025年，基本建成与经济社会高质量发展和生态文明建设要求相适应、与由全面建成小康社会向基本实现现代化迈进起步期相协同的水安全保障体系。2.节水型生产和生活方式初步建立，用水效率和效益显著提高，全社会节水意识明显增强，新时代节水型社会基本建成。全市用水总量控制在35.48亿m3以内，万元GDP用水量较2020年下降10%，万元工业增加值用水量较2020年下降10%，农田灌溉水有效利用系数提高到0.55以上。3.万元工业增加值用水量≤30</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立方米/万元）。4.2025年底前，全市单位地区生产总值能源消耗较2020年下降14%，能源消费总量得到合理控制。5.单位GDP能源消耗累计下降23.6%，不低于省级下达目标。6.对照国家有关高耗能行业重点领域能效标杆水平，实施钢铁、有色金属、冶炼等17个高耗能行业节能降碳改造升级，加快提升重点行业、企业能效水平。7.加强节能监察和探索用能预算管理，实施电机、变压器等重点用能设备能效提升三年行动，推广先进节能技术。8.到2025年，钢铁行业全面完成超低排放改造。9.加快推进有色、化工、印染、烟草等行业清洁生产和工业废水资源化利用。10.到2025年，全市新建大型及以上数据中心绿色低碳等级达到4A以上，电源使用效率</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PUE）达到1.3以下，逐步组织电源使用效率超过1.5的数据中心进行节能降碳改造。11.“十四五”期间，全市规模以上工业单位增加值能耗下降14.5%，万元工业增加值用水量下降12%。12.到2025年，通过实施节能降碳提升工程，钢铁、电解铝、水泥、平板玻璃、炼油、乙烯、合成氨、电石等重点行业产能和数据中心达到能效标杆水平的比例超过30%。13.公共机构单位建筑面积碳排放量比2020年下降7%。14.非化石能源消费占一次能源消费比重达到40%以上，完成省级下达目标。15.单位GDP二氧化碳排放累计下降23%，不低于省级下达目标。16.严把新上项目的碳排放关，严格环境影响评价审批，加强固定资产投资项目节能审查，推动新建“两高一低”项目能效水平应提尽提。17.以六大高耗能行业为重点，全面梳理形成拟建、在建、存量“两高一低”项目清单，实行清单管理、分类处置、动态监控。加强“两高一低”项目全过程监管，严肃查处不符合政策要求、违规审批、未批先建、批建不符、超标用能排污的“两高一低”项目。18.加快淘汰落后和低端低效产能退出。19.指导金融机构加强“两高一低”项目贷前审核。</w:t>
                  </w:r>
                </w:p>
              </w:tc>
              <w:tc>
                <w:tcPr>
                  <w:tcW w:w="1497" w:type="pct"/>
                  <w:tcBorders>
                    <w:tl2br w:val="nil"/>
                    <w:tr2bl w:val="nil"/>
                  </w:tcBorders>
                  <w:noWrap w:val="0"/>
                  <w:vAlign w:val="center"/>
                </w:tcPr>
                <w:p w14:paraId="108C8EB0">
                  <w:pPr>
                    <w:keepNext w:val="0"/>
                    <w:keepLines w:val="0"/>
                    <w:widowControl/>
                    <w:suppressLineNumbers w:val="0"/>
                    <w:jc w:val="left"/>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lang w:val="en-US" w:eastAsia="zh-CN" w:bidi="ar"/>
                    </w:rPr>
                    <w:t>本项目不涉及资源开发，不涉及前述</w:t>
                  </w:r>
                  <w:r>
                    <w:rPr>
                      <w:rFonts w:hint="default" w:ascii="Times New Roman" w:hAnsi="Times New Roman" w:eastAsia="宋体" w:cs="Times New Roman"/>
                      <w:color w:val="auto"/>
                      <w:kern w:val="0"/>
                      <w:sz w:val="21"/>
                      <w:szCs w:val="21"/>
                      <w:lang w:val="en-US" w:eastAsia="zh-CN" w:bidi="ar"/>
                    </w:rPr>
                    <w:t>1~19</w:t>
                  </w:r>
                  <w:r>
                    <w:rPr>
                      <w:rFonts w:hint="eastAsia" w:ascii="宋体" w:hAnsi="宋体" w:eastAsia="宋体" w:cs="宋体"/>
                      <w:color w:val="auto"/>
                      <w:kern w:val="0"/>
                      <w:sz w:val="21"/>
                      <w:szCs w:val="21"/>
                      <w:lang w:val="en-US" w:eastAsia="zh-CN" w:bidi="ar"/>
                    </w:rPr>
                    <w:t>项所述情形。</w:t>
                  </w:r>
                </w:p>
              </w:tc>
              <w:tc>
                <w:tcPr>
                  <w:tcW w:w="418" w:type="pct"/>
                  <w:tcBorders>
                    <w:tl2br w:val="nil"/>
                    <w:tr2bl w:val="nil"/>
                  </w:tcBorders>
                  <w:noWrap w:val="0"/>
                  <w:vAlign w:val="center"/>
                </w:tcPr>
                <w:p w14:paraId="1365C863">
                  <w:pPr>
                    <w:spacing w:beforeLines="0" w:afterLine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符合</w:t>
                  </w:r>
                </w:p>
              </w:tc>
            </w:tr>
            <w:tr w14:paraId="5C40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tcBorders>
                    <w:tl2br w:val="nil"/>
                    <w:tr2bl w:val="nil"/>
                  </w:tcBorders>
                  <w:noWrap w:val="0"/>
                  <w:vAlign w:val="center"/>
                </w:tcPr>
                <w:p w14:paraId="20D8EA59">
                  <w:pPr>
                    <w:spacing w:beforeLines="0" w:afterLines="0"/>
                    <w:jc w:val="both"/>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bCs/>
                      <w:color w:val="auto"/>
                      <w:sz w:val="21"/>
                      <w:szCs w:val="21"/>
                    </w:rPr>
                    <w:t>安宁市生态环境</w:t>
                  </w:r>
                  <w:r>
                    <w:rPr>
                      <w:rFonts w:hint="default" w:ascii="Times New Roman" w:hAnsi="Times New Roman" w:cs="Times New Roman"/>
                      <w:b/>
                      <w:bCs/>
                      <w:color w:val="auto"/>
                      <w:sz w:val="21"/>
                      <w:szCs w:val="21"/>
                      <w:lang w:val="en-US" w:eastAsia="zh-CN"/>
                    </w:rPr>
                    <w:t>管控单元</w:t>
                  </w:r>
                  <w:r>
                    <w:rPr>
                      <w:rFonts w:hint="default" w:ascii="Times New Roman" w:hAnsi="Times New Roman" w:eastAsia="宋体" w:cs="Times New Roman"/>
                      <w:b/>
                      <w:bCs/>
                      <w:color w:val="auto"/>
                      <w:sz w:val="21"/>
                      <w:szCs w:val="21"/>
                    </w:rPr>
                    <w:t>准入</w:t>
                  </w:r>
                  <w:r>
                    <w:rPr>
                      <w:rFonts w:hint="default" w:ascii="Times New Roman" w:hAnsi="Times New Roman" w:cs="Times New Roman"/>
                      <w:b/>
                      <w:bCs/>
                      <w:color w:val="auto"/>
                      <w:sz w:val="21"/>
                      <w:szCs w:val="21"/>
                      <w:lang w:val="en-US" w:eastAsia="zh-CN"/>
                    </w:rPr>
                    <w:t>要求</w:t>
                  </w:r>
                </w:p>
              </w:tc>
            </w:tr>
            <w:tr w14:paraId="6C0E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noWrap w:val="0"/>
                  <w:vAlign w:val="center"/>
                </w:tcPr>
                <w:p w14:paraId="0CDF29AA">
                  <w:pPr>
                    <w:spacing w:beforeLines="0" w:afterLine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1</w:t>
                  </w:r>
                </w:p>
              </w:tc>
              <w:tc>
                <w:tcPr>
                  <w:tcW w:w="4557" w:type="pct"/>
                  <w:gridSpan w:val="3"/>
                  <w:tcBorders>
                    <w:tl2br w:val="nil"/>
                    <w:tr2bl w:val="nil"/>
                  </w:tcBorders>
                  <w:noWrap w:val="0"/>
                  <w:vAlign w:val="center"/>
                </w:tcPr>
                <w:p w14:paraId="6E3DAFE4">
                  <w:pPr>
                    <w:spacing w:beforeLines="0" w:afterLines="0"/>
                    <w:jc w:val="both"/>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rPr>
                    <w:t>安宁市农业农村面源污染重点管控单元</w:t>
                  </w:r>
                  <w:r>
                    <w:rPr>
                      <w:rFonts w:hint="eastAsia" w:ascii="Times New Roman" w:hAnsi="Times New Roman" w:cs="Times New Roman"/>
                      <w:b w:val="0"/>
                      <w:bCs w:val="0"/>
                      <w:color w:val="auto"/>
                      <w:sz w:val="21"/>
                      <w:szCs w:val="21"/>
                      <w:lang w:eastAsia="zh-CN"/>
                    </w:rPr>
                    <w:t>（</w:t>
                  </w:r>
                  <w:r>
                    <w:rPr>
                      <w:rFonts w:hint="default" w:ascii="Times New Roman" w:hAnsi="Times New Roman" w:cs="Times New Roman"/>
                      <w:b w:val="0"/>
                      <w:bCs w:val="0"/>
                      <w:color w:val="auto"/>
                      <w:sz w:val="21"/>
                      <w:szCs w:val="21"/>
                    </w:rPr>
                    <w:t>ZH53018120002</w:t>
                  </w:r>
                  <w:r>
                    <w:rPr>
                      <w:rFonts w:hint="default" w:ascii="Times New Roman" w:hAnsi="Times New Roman" w:cs="Times New Roman"/>
                      <w:b w:val="0"/>
                      <w:bCs w:val="0"/>
                      <w:color w:val="auto"/>
                      <w:sz w:val="21"/>
                      <w:szCs w:val="21"/>
                      <w:lang w:eastAsia="zh-CN"/>
                    </w:rPr>
                    <w:t>）</w:t>
                  </w:r>
                </w:p>
              </w:tc>
            </w:tr>
            <w:tr w14:paraId="0CE6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noWrap w:val="0"/>
                  <w:vAlign w:val="center"/>
                </w:tcPr>
                <w:p w14:paraId="7635BD44">
                  <w:pPr>
                    <w:spacing w:beforeLines="0" w:afterLines="0"/>
                    <w:jc w:val="center"/>
                    <w:rPr>
                      <w:rFonts w:hint="default" w:ascii="Times New Roman" w:hAnsi="Times New Roman" w:eastAsia="宋体" w:cs="Times New Roman"/>
                      <w:b w:val="0"/>
                      <w:bCs/>
                      <w:color w:val="0000FF"/>
                      <w:sz w:val="21"/>
                      <w:szCs w:val="21"/>
                    </w:rPr>
                  </w:pPr>
                  <w:r>
                    <w:rPr>
                      <w:rFonts w:hint="default" w:ascii="Times New Roman" w:hAnsi="Times New Roman" w:cs="Times New Roman"/>
                      <w:b w:val="0"/>
                      <w:bCs/>
                      <w:sz w:val="21"/>
                      <w:szCs w:val="21"/>
                    </w:rPr>
                    <w:t>空间布局约束</w:t>
                  </w:r>
                </w:p>
              </w:tc>
              <w:tc>
                <w:tcPr>
                  <w:tcW w:w="2642" w:type="pct"/>
                  <w:tcBorders>
                    <w:tl2br w:val="nil"/>
                    <w:tr2bl w:val="nil"/>
                  </w:tcBorders>
                  <w:noWrap w:val="0"/>
                  <w:vAlign w:val="center"/>
                </w:tcPr>
                <w:p w14:paraId="3A5EDCEC">
                  <w:pPr>
                    <w:spacing w:beforeLines="0" w:afterLine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1.原则按照限制开发区域的要求进行管理，严格限制大规模开发建设活动。以保护和修复生态环境、提供生态产品为首要任务，因地制宜地发展不影响主体功能定位的产业。</w:t>
                  </w:r>
                </w:p>
                <w:p w14:paraId="4756EA82">
                  <w:pPr>
                    <w:spacing w:beforeLines="0" w:afterLine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2.禁止在二十五度以上陡坡地开垦种植农作物，严禁过度放牧、无序采矿、毁林开荒、开垦草甸。</w:t>
                  </w:r>
                </w:p>
                <w:p w14:paraId="6AD8B9E5">
                  <w:pPr>
                    <w:spacing w:beforeLines="0" w:afterLine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3.禁止围湖造田和侵占江河滩地。</w:t>
                  </w:r>
                </w:p>
                <w:p w14:paraId="1296FDC8">
                  <w:pPr>
                    <w:spacing w:beforeLines="0" w:afterLines="0"/>
                    <w:jc w:val="center"/>
                    <w:rPr>
                      <w:rFonts w:hint="default" w:ascii="Times New Roman" w:hAnsi="Times New Roman" w:eastAsia="宋体" w:cs="Times New Roman"/>
                      <w:b w:val="0"/>
                      <w:bCs/>
                      <w:color w:val="auto"/>
                      <w:sz w:val="21"/>
                      <w:szCs w:val="21"/>
                    </w:rPr>
                  </w:pPr>
                  <w:r>
                    <w:rPr>
                      <w:rFonts w:hint="default" w:ascii="Times New Roman" w:hAnsi="Times New Roman" w:cs="Times New Roman"/>
                      <w:color w:val="auto"/>
                      <w:sz w:val="21"/>
                      <w:szCs w:val="21"/>
                    </w:rPr>
                    <w:t>4.畜禽养殖严格执行禁养区、限养区规定，对草原实行以草定</w:t>
                  </w:r>
                  <w:r>
                    <w:rPr>
                      <w:rFonts w:hint="default" w:ascii="Times New Roman" w:hAnsi="Times New Roman" w:cs="Times New Roman"/>
                      <w:color w:val="auto"/>
                      <w:sz w:val="21"/>
                      <w:szCs w:val="21"/>
                      <w:lang w:eastAsia="zh-CN"/>
                    </w:rPr>
                    <w:t>畜</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eastAsia="zh-CN"/>
                    </w:rPr>
                    <w:t>草畜</w:t>
                  </w:r>
                  <w:r>
                    <w:rPr>
                      <w:rFonts w:hint="default" w:ascii="Times New Roman" w:hAnsi="Times New Roman" w:cs="Times New Roman"/>
                      <w:color w:val="auto"/>
                      <w:sz w:val="21"/>
                      <w:szCs w:val="21"/>
                    </w:rPr>
                    <w:t>平衡制度，禁止过度放牧。</w:t>
                  </w:r>
                </w:p>
              </w:tc>
              <w:tc>
                <w:tcPr>
                  <w:tcW w:w="1497" w:type="pct"/>
                  <w:tcBorders>
                    <w:tl2br w:val="nil"/>
                    <w:tr2bl w:val="nil"/>
                  </w:tcBorders>
                  <w:noWrap w:val="0"/>
                  <w:vAlign w:val="center"/>
                </w:tcPr>
                <w:p w14:paraId="0B1BF459">
                  <w:pPr>
                    <w:spacing w:beforeLines="0" w:afterLines="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highlight w:val="none"/>
                      <w:lang w:val="en-US" w:eastAsia="zh-CN"/>
                    </w:rPr>
                    <w:t>1、本项目为引水工程，属于民生工程，与</w:t>
                  </w:r>
                  <w:r>
                    <w:rPr>
                      <w:rFonts w:hint="default" w:ascii="Times New Roman" w:hAnsi="Times New Roman" w:cs="Times New Roman"/>
                      <w:color w:val="auto"/>
                      <w:sz w:val="21"/>
                      <w:szCs w:val="21"/>
                    </w:rPr>
                    <w:t>限制开发区域的</w:t>
                  </w:r>
                  <w:r>
                    <w:rPr>
                      <w:rFonts w:hint="eastAsia" w:ascii="Times New Roman" w:hAnsi="Times New Roman" w:cs="Times New Roman"/>
                      <w:color w:val="auto"/>
                      <w:sz w:val="21"/>
                      <w:szCs w:val="21"/>
                      <w:lang w:val="en-US" w:eastAsia="zh-CN"/>
                    </w:rPr>
                    <w:t>管理</w:t>
                  </w:r>
                  <w:r>
                    <w:rPr>
                      <w:rFonts w:hint="default" w:ascii="Times New Roman" w:hAnsi="Times New Roman" w:cs="Times New Roman"/>
                      <w:color w:val="auto"/>
                      <w:sz w:val="21"/>
                      <w:szCs w:val="21"/>
                    </w:rPr>
                    <w:t>要求</w:t>
                  </w:r>
                  <w:r>
                    <w:rPr>
                      <w:rFonts w:hint="eastAsia" w:ascii="Times New Roman" w:hAnsi="Times New Roman" w:cs="Times New Roman"/>
                      <w:color w:val="auto"/>
                      <w:sz w:val="21"/>
                      <w:szCs w:val="21"/>
                      <w:lang w:val="en-US" w:eastAsia="zh-CN"/>
                    </w:rPr>
                    <w:t>不冲突；</w:t>
                  </w:r>
                </w:p>
                <w:p w14:paraId="7A6CB2C3">
                  <w:pPr>
                    <w:spacing w:beforeLines="0" w:afterLines="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2、不属于</w:t>
                  </w:r>
                  <w:r>
                    <w:rPr>
                      <w:rFonts w:hint="default" w:ascii="Times New Roman" w:hAnsi="Times New Roman" w:cs="Times New Roman"/>
                      <w:color w:val="auto"/>
                      <w:sz w:val="21"/>
                      <w:szCs w:val="21"/>
                    </w:rPr>
                    <w:t>开垦种植</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放牧等活动；</w:t>
                  </w:r>
                </w:p>
                <w:p w14:paraId="2397A481">
                  <w:pPr>
                    <w:spacing w:beforeLines="0" w:afterLine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3/4、不属于左栏相关禁止开发建设活动。</w:t>
                  </w:r>
                </w:p>
              </w:tc>
              <w:tc>
                <w:tcPr>
                  <w:tcW w:w="418" w:type="pct"/>
                  <w:tcBorders>
                    <w:tl2br w:val="nil"/>
                    <w:tr2bl w:val="nil"/>
                  </w:tcBorders>
                  <w:noWrap w:val="0"/>
                  <w:vAlign w:val="center"/>
                </w:tcPr>
                <w:p w14:paraId="36D3F941">
                  <w:pPr>
                    <w:spacing w:beforeLines="0" w:afterLines="0"/>
                    <w:jc w:val="center"/>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符合</w:t>
                  </w:r>
                </w:p>
              </w:tc>
            </w:tr>
            <w:tr w14:paraId="7563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noWrap w:val="0"/>
                  <w:vAlign w:val="center"/>
                </w:tcPr>
                <w:p w14:paraId="73A3A6DF">
                  <w:pPr>
                    <w:spacing w:beforeLines="0" w:afterLines="0"/>
                    <w:jc w:val="center"/>
                    <w:rPr>
                      <w:rFonts w:hint="default" w:ascii="Times New Roman" w:hAnsi="Times New Roman" w:eastAsia="宋体" w:cs="Times New Roman"/>
                      <w:b w:val="0"/>
                      <w:bCs/>
                      <w:color w:val="0000FF"/>
                      <w:sz w:val="21"/>
                      <w:szCs w:val="21"/>
                    </w:rPr>
                  </w:pPr>
                  <w:r>
                    <w:rPr>
                      <w:rFonts w:hint="default" w:ascii="Times New Roman" w:hAnsi="Times New Roman" w:cs="Times New Roman"/>
                      <w:b w:val="0"/>
                      <w:bCs/>
                      <w:sz w:val="21"/>
                      <w:szCs w:val="21"/>
                    </w:rPr>
                    <w:t>污染物排放管控</w:t>
                  </w:r>
                </w:p>
              </w:tc>
              <w:tc>
                <w:tcPr>
                  <w:tcW w:w="2642" w:type="pct"/>
                  <w:tcBorders>
                    <w:tl2br w:val="nil"/>
                    <w:tr2bl w:val="nil"/>
                  </w:tcBorders>
                  <w:noWrap w:val="0"/>
                  <w:vAlign w:val="center"/>
                </w:tcPr>
                <w:p w14:paraId="29D29179">
                  <w:pPr>
                    <w:spacing w:beforeLines="0" w:afterLines="0"/>
                    <w:jc w:val="center"/>
                    <w:rPr>
                      <w:rFonts w:hint="default" w:ascii="Times New Roman" w:hAnsi="Times New Roman" w:eastAsia="宋体" w:cs="Times New Roman"/>
                      <w:b w:val="0"/>
                      <w:bCs/>
                      <w:color w:val="auto"/>
                      <w:sz w:val="21"/>
                      <w:szCs w:val="21"/>
                    </w:rPr>
                  </w:pPr>
                  <w:r>
                    <w:rPr>
                      <w:rFonts w:hint="default" w:ascii="Times New Roman" w:hAnsi="Times New Roman" w:cs="Times New Roman"/>
                      <w:color w:val="auto"/>
                      <w:sz w:val="21"/>
                      <w:szCs w:val="21"/>
                    </w:rPr>
                    <w:t>大气执行二级空气质量标准。近期水质目标为Ⅳ类，远期为Ⅲ类。</w:t>
                  </w:r>
                </w:p>
              </w:tc>
              <w:tc>
                <w:tcPr>
                  <w:tcW w:w="1497" w:type="pct"/>
                  <w:tcBorders>
                    <w:tl2br w:val="nil"/>
                    <w:tr2bl w:val="nil"/>
                  </w:tcBorders>
                  <w:noWrap w:val="0"/>
                  <w:vAlign w:val="center"/>
                </w:tcPr>
                <w:p w14:paraId="7E8AD6A9">
                  <w:pPr>
                    <w:spacing w:beforeLines="0" w:afterLine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根据现状调查，所在区域空气满足</w:t>
                  </w:r>
                  <w:r>
                    <w:rPr>
                      <w:rFonts w:hint="default" w:ascii="Times New Roman" w:hAnsi="Times New Roman" w:cs="Times New Roman"/>
                      <w:color w:val="auto"/>
                      <w:sz w:val="21"/>
                      <w:szCs w:val="21"/>
                    </w:rPr>
                    <w:t>二级</w:t>
                  </w:r>
                  <w:r>
                    <w:rPr>
                      <w:rFonts w:hint="eastAsia" w:ascii="Times New Roman" w:hAnsi="Times New Roman" w:cs="Times New Roman"/>
                      <w:color w:val="auto"/>
                      <w:sz w:val="21"/>
                      <w:szCs w:val="21"/>
                      <w:lang w:val="en-US" w:eastAsia="zh-CN"/>
                    </w:rPr>
                    <w:t>标准，相关水体满足</w:t>
                  </w:r>
                  <w:r>
                    <w:rPr>
                      <w:rFonts w:hint="default" w:ascii="Times New Roman" w:hAnsi="Times New Roman" w:cs="Times New Roman"/>
                      <w:color w:val="auto"/>
                      <w:sz w:val="21"/>
                      <w:szCs w:val="21"/>
                    </w:rPr>
                    <w:t>Ⅳ类</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Ⅲ类</w:t>
                  </w:r>
                  <w:r>
                    <w:rPr>
                      <w:rFonts w:hint="eastAsia" w:ascii="Times New Roman" w:hAnsi="Times New Roman" w:cs="Times New Roman"/>
                      <w:color w:val="auto"/>
                      <w:sz w:val="21"/>
                      <w:szCs w:val="21"/>
                      <w:lang w:val="en-US" w:eastAsia="zh-CN"/>
                    </w:rPr>
                    <w:t>考核要求</w:t>
                  </w:r>
                </w:p>
              </w:tc>
              <w:tc>
                <w:tcPr>
                  <w:tcW w:w="418" w:type="pct"/>
                  <w:tcBorders>
                    <w:tl2br w:val="nil"/>
                    <w:tr2bl w:val="nil"/>
                  </w:tcBorders>
                  <w:noWrap w:val="0"/>
                  <w:vAlign w:val="center"/>
                </w:tcPr>
                <w:p w14:paraId="57808374">
                  <w:pPr>
                    <w:spacing w:beforeLines="0" w:afterLines="0"/>
                    <w:jc w:val="center"/>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符合</w:t>
                  </w:r>
                </w:p>
              </w:tc>
            </w:tr>
            <w:tr w14:paraId="3581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noWrap w:val="0"/>
                  <w:vAlign w:val="center"/>
                </w:tcPr>
                <w:p w14:paraId="01A3615F">
                  <w:pPr>
                    <w:spacing w:beforeLines="0" w:afterLines="0"/>
                    <w:jc w:val="center"/>
                    <w:rPr>
                      <w:rFonts w:hint="default" w:ascii="Times New Roman" w:hAnsi="Times New Roman" w:eastAsia="宋体" w:cs="Times New Roman"/>
                      <w:b w:val="0"/>
                      <w:bCs/>
                      <w:color w:val="auto"/>
                      <w:sz w:val="21"/>
                      <w:szCs w:val="21"/>
                    </w:rPr>
                  </w:pPr>
                  <w:r>
                    <w:rPr>
                      <w:rFonts w:hint="default" w:ascii="Times New Roman" w:hAnsi="Times New Roman" w:cs="Times New Roman"/>
                      <w:b w:val="0"/>
                      <w:bCs/>
                      <w:color w:val="auto"/>
                      <w:sz w:val="21"/>
                      <w:szCs w:val="21"/>
                    </w:rPr>
                    <w:t>环境风险防控</w:t>
                  </w:r>
                </w:p>
              </w:tc>
              <w:tc>
                <w:tcPr>
                  <w:tcW w:w="2642" w:type="pct"/>
                  <w:tcBorders>
                    <w:tl2br w:val="nil"/>
                    <w:tr2bl w:val="nil"/>
                  </w:tcBorders>
                  <w:noWrap w:val="0"/>
                  <w:vAlign w:val="center"/>
                </w:tcPr>
                <w:p w14:paraId="72B98555">
                  <w:pPr>
                    <w:spacing w:beforeLines="0" w:afterLines="0"/>
                    <w:jc w:val="center"/>
                    <w:rPr>
                      <w:rFonts w:hint="default" w:ascii="Times New Roman" w:hAnsi="Times New Roman" w:eastAsia="宋体" w:cs="Times New Roman"/>
                      <w:b w:val="0"/>
                      <w:bCs/>
                      <w:color w:val="auto"/>
                      <w:sz w:val="21"/>
                      <w:szCs w:val="21"/>
                    </w:rPr>
                  </w:pPr>
                  <w:r>
                    <w:rPr>
                      <w:rFonts w:hint="default" w:ascii="Times New Roman" w:hAnsi="Times New Roman" w:cs="Times New Roman"/>
                      <w:color w:val="auto"/>
                      <w:sz w:val="21"/>
                      <w:szCs w:val="21"/>
                    </w:rPr>
                    <w:t>严格管控类农用地，禁止高毒高风险农药使用。</w:t>
                  </w:r>
                </w:p>
              </w:tc>
              <w:tc>
                <w:tcPr>
                  <w:tcW w:w="1497" w:type="pct"/>
                  <w:tcBorders>
                    <w:tl2br w:val="nil"/>
                    <w:tr2bl w:val="nil"/>
                  </w:tcBorders>
                  <w:noWrap w:val="0"/>
                  <w:vAlign w:val="center"/>
                </w:tcPr>
                <w:p w14:paraId="30CCC6EE">
                  <w:pPr>
                    <w:spacing w:beforeLines="0" w:afterLine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本项目不涉及使用</w:t>
                  </w:r>
                  <w:r>
                    <w:rPr>
                      <w:rFonts w:hint="default" w:ascii="Times New Roman" w:hAnsi="Times New Roman" w:cs="Times New Roman"/>
                      <w:color w:val="auto"/>
                      <w:sz w:val="21"/>
                      <w:szCs w:val="21"/>
                    </w:rPr>
                    <w:t>高毒高风险农药</w:t>
                  </w:r>
                </w:p>
              </w:tc>
              <w:tc>
                <w:tcPr>
                  <w:tcW w:w="418" w:type="pct"/>
                  <w:tcBorders>
                    <w:tl2br w:val="nil"/>
                    <w:tr2bl w:val="nil"/>
                  </w:tcBorders>
                  <w:noWrap w:val="0"/>
                  <w:vAlign w:val="center"/>
                </w:tcPr>
                <w:p w14:paraId="7210D227">
                  <w:pPr>
                    <w:spacing w:beforeLines="0" w:afterLines="0"/>
                    <w:jc w:val="center"/>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符合</w:t>
                  </w:r>
                </w:p>
              </w:tc>
            </w:tr>
            <w:tr w14:paraId="2DAE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noWrap w:val="0"/>
                  <w:vAlign w:val="center"/>
                </w:tcPr>
                <w:p w14:paraId="7DE0357C">
                  <w:pPr>
                    <w:spacing w:beforeLines="0" w:afterLines="0"/>
                    <w:jc w:val="center"/>
                    <w:rPr>
                      <w:rFonts w:hint="default" w:ascii="Times New Roman" w:hAnsi="Times New Roman" w:eastAsia="宋体" w:cs="Times New Roman"/>
                      <w:b w:val="0"/>
                      <w:bCs/>
                      <w:color w:val="auto"/>
                      <w:sz w:val="21"/>
                      <w:szCs w:val="21"/>
                    </w:rPr>
                  </w:pPr>
                  <w:r>
                    <w:rPr>
                      <w:rFonts w:hint="default" w:ascii="Times New Roman" w:hAnsi="Times New Roman" w:cs="Times New Roman"/>
                      <w:b w:val="0"/>
                      <w:bCs/>
                      <w:color w:val="auto"/>
                      <w:sz w:val="21"/>
                      <w:szCs w:val="21"/>
                    </w:rPr>
                    <w:t>资源开发效率要求</w:t>
                  </w:r>
                </w:p>
              </w:tc>
              <w:tc>
                <w:tcPr>
                  <w:tcW w:w="2642" w:type="pct"/>
                  <w:tcBorders>
                    <w:tl2br w:val="nil"/>
                    <w:tr2bl w:val="nil"/>
                  </w:tcBorders>
                  <w:noWrap w:val="0"/>
                  <w:vAlign w:val="center"/>
                </w:tcPr>
                <w:p w14:paraId="78179D06">
                  <w:pPr>
                    <w:spacing w:beforeLines="0" w:afterLines="0"/>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w:t>
                  </w:r>
                </w:p>
              </w:tc>
              <w:tc>
                <w:tcPr>
                  <w:tcW w:w="1497" w:type="pct"/>
                  <w:tcBorders>
                    <w:tl2br w:val="nil"/>
                    <w:tr2bl w:val="nil"/>
                  </w:tcBorders>
                  <w:noWrap w:val="0"/>
                  <w:vAlign w:val="center"/>
                </w:tcPr>
                <w:p w14:paraId="11EDE575">
                  <w:pPr>
                    <w:spacing w:beforeLines="0" w:afterLine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c>
                <w:tcPr>
                  <w:tcW w:w="418" w:type="pct"/>
                  <w:tcBorders>
                    <w:tl2br w:val="nil"/>
                    <w:tr2bl w:val="nil"/>
                  </w:tcBorders>
                  <w:noWrap w:val="0"/>
                  <w:vAlign w:val="center"/>
                </w:tcPr>
                <w:p w14:paraId="49D781AF">
                  <w:pPr>
                    <w:spacing w:beforeLines="0" w:afterLines="0"/>
                    <w:jc w:val="center"/>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w:t>
                  </w:r>
                </w:p>
              </w:tc>
            </w:tr>
            <w:tr w14:paraId="7786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noWrap w:val="0"/>
                  <w:vAlign w:val="center"/>
                </w:tcPr>
                <w:p w14:paraId="46998DB4">
                  <w:pPr>
                    <w:spacing w:beforeLines="0" w:afterLine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2</w:t>
                  </w:r>
                </w:p>
              </w:tc>
              <w:tc>
                <w:tcPr>
                  <w:tcW w:w="4557" w:type="pct"/>
                  <w:gridSpan w:val="3"/>
                  <w:tcBorders>
                    <w:tl2br w:val="nil"/>
                    <w:tr2bl w:val="nil"/>
                  </w:tcBorders>
                  <w:noWrap w:val="0"/>
                  <w:vAlign w:val="center"/>
                </w:tcPr>
                <w:p w14:paraId="75B6E1CF">
                  <w:pPr>
                    <w:spacing w:beforeLines="0" w:afterLines="0"/>
                    <w:jc w:val="both"/>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rPr>
                    <w:t>安宁市乡镇生活污染重点管控单元</w:t>
                  </w:r>
                  <w:r>
                    <w:rPr>
                      <w:rFonts w:hint="eastAsia" w:ascii="Times New Roman" w:hAnsi="Times New Roman" w:cs="Times New Roman"/>
                      <w:b w:val="0"/>
                      <w:bCs w:val="0"/>
                      <w:color w:val="auto"/>
                      <w:sz w:val="21"/>
                      <w:szCs w:val="21"/>
                      <w:lang w:eastAsia="zh-CN"/>
                    </w:rPr>
                    <w:t>（</w:t>
                  </w:r>
                  <w:r>
                    <w:rPr>
                      <w:rFonts w:hint="default" w:ascii="Times New Roman" w:hAnsi="Times New Roman" w:cs="Times New Roman"/>
                      <w:b w:val="0"/>
                      <w:bCs w:val="0"/>
                      <w:color w:val="auto"/>
                      <w:sz w:val="21"/>
                      <w:szCs w:val="21"/>
                    </w:rPr>
                    <w:t>ZH53018120006</w:t>
                  </w:r>
                  <w:r>
                    <w:rPr>
                      <w:rFonts w:hint="default" w:ascii="Times New Roman" w:hAnsi="Times New Roman" w:cs="Times New Roman"/>
                      <w:b w:val="0"/>
                      <w:bCs w:val="0"/>
                      <w:color w:val="auto"/>
                      <w:sz w:val="21"/>
                      <w:szCs w:val="21"/>
                      <w:lang w:eastAsia="zh-CN"/>
                    </w:rPr>
                    <w:t>）</w:t>
                  </w:r>
                </w:p>
              </w:tc>
            </w:tr>
            <w:tr w14:paraId="53E0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shd w:val="clear" w:color="auto" w:fill="auto"/>
                  <w:noWrap w:val="0"/>
                  <w:vAlign w:val="center"/>
                </w:tcPr>
                <w:p w14:paraId="2EF53D70">
                  <w:pPr>
                    <w:spacing w:beforeLines="0" w:afterLines="0"/>
                    <w:jc w:val="center"/>
                    <w:rPr>
                      <w:rFonts w:hint="default" w:ascii="Times New Roman" w:hAnsi="Times New Roman" w:eastAsia="宋体" w:cs="Times New Roman"/>
                      <w:b w:val="0"/>
                      <w:bCs/>
                      <w:color w:val="0000FF"/>
                      <w:kern w:val="2"/>
                      <w:sz w:val="21"/>
                      <w:szCs w:val="21"/>
                      <w:lang w:val="en-US" w:eastAsia="zh-CN" w:bidi="ar-SA"/>
                    </w:rPr>
                  </w:pPr>
                  <w:r>
                    <w:rPr>
                      <w:rFonts w:hint="default" w:ascii="Times New Roman" w:hAnsi="Times New Roman" w:cs="Times New Roman"/>
                      <w:b w:val="0"/>
                      <w:bCs/>
                      <w:sz w:val="21"/>
                      <w:szCs w:val="21"/>
                    </w:rPr>
                    <w:t>空间布局约束</w:t>
                  </w:r>
                </w:p>
              </w:tc>
              <w:tc>
                <w:tcPr>
                  <w:tcW w:w="2642" w:type="pct"/>
                  <w:tcBorders>
                    <w:tl2br w:val="nil"/>
                    <w:tr2bl w:val="nil"/>
                  </w:tcBorders>
                  <w:noWrap w:val="0"/>
                  <w:vAlign w:val="center"/>
                </w:tcPr>
                <w:p w14:paraId="3ACA7651">
                  <w:pPr>
                    <w:spacing w:beforeLines="0" w:afterLines="0"/>
                    <w:jc w:val="center"/>
                    <w:rPr>
                      <w:rFonts w:hint="default" w:ascii="Times New Roman" w:hAnsi="Times New Roman" w:eastAsia="宋体" w:cs="Times New Roman"/>
                      <w:color w:val="0000FF"/>
                      <w:sz w:val="21"/>
                      <w:szCs w:val="21"/>
                    </w:rPr>
                  </w:pPr>
                  <w:r>
                    <w:rPr>
                      <w:rFonts w:hint="default" w:ascii="Times New Roman" w:hAnsi="Times New Roman" w:cs="Times New Roman"/>
                      <w:sz w:val="21"/>
                      <w:szCs w:val="21"/>
                    </w:rPr>
                    <w:t>引导人口和产业向城镇开发区集聚，向文化汇聚地和休闲中心发展。</w:t>
                  </w:r>
                </w:p>
              </w:tc>
              <w:tc>
                <w:tcPr>
                  <w:tcW w:w="1497" w:type="pct"/>
                  <w:tcBorders>
                    <w:tl2br w:val="nil"/>
                    <w:tr2bl w:val="nil"/>
                  </w:tcBorders>
                  <w:noWrap w:val="0"/>
                  <w:vAlign w:val="center"/>
                </w:tcPr>
                <w:p w14:paraId="4AF647F8">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本项目为引水工程，属于民生工程，与</w:t>
                  </w:r>
                  <w:r>
                    <w:rPr>
                      <w:rFonts w:hint="eastAsia" w:ascii="Times New Roman" w:hAnsi="Times New Roman" w:cs="Times New Roman"/>
                      <w:color w:val="auto"/>
                      <w:sz w:val="21"/>
                      <w:szCs w:val="21"/>
                      <w:lang w:val="en-US" w:eastAsia="zh-CN"/>
                    </w:rPr>
                    <w:t>左栏管理</w:t>
                  </w:r>
                  <w:r>
                    <w:rPr>
                      <w:rFonts w:hint="default" w:ascii="Times New Roman" w:hAnsi="Times New Roman" w:cs="Times New Roman"/>
                      <w:color w:val="auto"/>
                      <w:sz w:val="21"/>
                      <w:szCs w:val="21"/>
                    </w:rPr>
                    <w:t>要求</w:t>
                  </w:r>
                  <w:r>
                    <w:rPr>
                      <w:rFonts w:hint="eastAsia" w:ascii="Times New Roman" w:hAnsi="Times New Roman" w:cs="Times New Roman"/>
                      <w:color w:val="auto"/>
                      <w:sz w:val="21"/>
                      <w:szCs w:val="21"/>
                      <w:lang w:val="en-US" w:eastAsia="zh-CN"/>
                    </w:rPr>
                    <w:t>不冲突</w:t>
                  </w:r>
                </w:p>
              </w:tc>
              <w:tc>
                <w:tcPr>
                  <w:tcW w:w="418" w:type="pct"/>
                  <w:tcBorders>
                    <w:tl2br w:val="nil"/>
                    <w:tr2bl w:val="nil"/>
                  </w:tcBorders>
                  <w:noWrap w:val="0"/>
                  <w:vAlign w:val="center"/>
                </w:tcPr>
                <w:p w14:paraId="70835BCB">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符合</w:t>
                  </w:r>
                </w:p>
              </w:tc>
            </w:tr>
            <w:tr w14:paraId="428D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tcBorders>
                    <w:tl2br w:val="nil"/>
                    <w:tr2bl w:val="nil"/>
                  </w:tcBorders>
                  <w:shd w:val="clear" w:color="auto" w:fill="auto"/>
                  <w:noWrap w:val="0"/>
                  <w:vAlign w:val="center"/>
                </w:tcPr>
                <w:p w14:paraId="663D0277">
                  <w:pPr>
                    <w:spacing w:beforeLines="0" w:afterLines="0"/>
                    <w:jc w:val="center"/>
                    <w:rPr>
                      <w:rFonts w:hint="default" w:ascii="Times New Roman" w:hAnsi="Times New Roman" w:eastAsia="宋体" w:cs="Times New Roman"/>
                      <w:b w:val="0"/>
                      <w:bCs/>
                      <w:color w:val="0000FF"/>
                      <w:kern w:val="2"/>
                      <w:sz w:val="21"/>
                      <w:szCs w:val="21"/>
                      <w:lang w:val="en-US" w:eastAsia="zh-CN" w:bidi="ar-SA"/>
                    </w:rPr>
                  </w:pPr>
                  <w:r>
                    <w:rPr>
                      <w:rFonts w:hint="default" w:ascii="Times New Roman" w:hAnsi="Times New Roman" w:cs="Times New Roman"/>
                      <w:b w:val="0"/>
                      <w:bCs/>
                      <w:sz w:val="21"/>
                      <w:szCs w:val="21"/>
                    </w:rPr>
                    <w:t>污染物排放管控</w:t>
                  </w:r>
                </w:p>
              </w:tc>
              <w:tc>
                <w:tcPr>
                  <w:tcW w:w="2642" w:type="pct"/>
                  <w:tcBorders>
                    <w:tl2br w:val="nil"/>
                    <w:tr2bl w:val="nil"/>
                  </w:tcBorders>
                  <w:noWrap w:val="0"/>
                  <w:vAlign w:val="center"/>
                </w:tcPr>
                <w:p w14:paraId="554A9F8F">
                  <w:pPr>
                    <w:spacing w:beforeLines="0" w:afterLines="0"/>
                    <w:jc w:val="center"/>
                    <w:rPr>
                      <w:rFonts w:hint="default" w:ascii="Times New Roman" w:hAnsi="Times New Roman" w:eastAsia="宋体" w:cs="Times New Roman"/>
                      <w:color w:val="0000FF"/>
                      <w:sz w:val="21"/>
                      <w:szCs w:val="21"/>
                    </w:rPr>
                  </w:pPr>
                  <w:r>
                    <w:rPr>
                      <w:rFonts w:hint="default" w:ascii="Times New Roman" w:hAnsi="Times New Roman" w:cs="Times New Roman"/>
                      <w:sz w:val="21"/>
                      <w:szCs w:val="21"/>
                    </w:rPr>
                    <w:t>1.完善生活污水收集处理系统，因地制宜，梯次推进农村生活污水治理工作，减少生活污水直接进入城区河道及湖库。</w:t>
                  </w:r>
                  <w:r>
                    <w:rPr>
                      <w:rFonts w:hint="default" w:ascii="Times New Roman" w:hAnsi="Times New Roman" w:cs="Times New Roman"/>
                      <w:sz w:val="21"/>
                      <w:szCs w:val="21"/>
                    </w:rPr>
                    <w:br w:type="textWrapping"/>
                  </w:r>
                  <w:r>
                    <w:rPr>
                      <w:rFonts w:hint="default" w:ascii="Times New Roman" w:hAnsi="Times New Roman" w:cs="Times New Roman"/>
                      <w:sz w:val="21"/>
                      <w:szCs w:val="21"/>
                    </w:rPr>
                    <w:t>2.到2025年农村生活污水治理率达100%。</w:t>
                  </w:r>
                  <w:r>
                    <w:rPr>
                      <w:rFonts w:hint="default" w:ascii="Times New Roman" w:hAnsi="Times New Roman" w:cs="Times New Roman"/>
                      <w:sz w:val="21"/>
                      <w:szCs w:val="21"/>
                    </w:rPr>
                    <w:br w:type="textWrapping"/>
                  </w:r>
                  <w:r>
                    <w:rPr>
                      <w:rFonts w:hint="default" w:ascii="Times New Roman" w:hAnsi="Times New Roman" w:cs="Times New Roman"/>
                      <w:sz w:val="21"/>
                      <w:szCs w:val="21"/>
                    </w:rPr>
                    <w:t>3.城市污水管网尚未配套的地区，房地产开发项目应自行建设污水处理设施，污水处理后达标排放。</w:t>
                  </w:r>
                  <w:r>
                    <w:rPr>
                      <w:rFonts w:hint="default" w:ascii="Times New Roman" w:hAnsi="Times New Roman" w:cs="Times New Roman"/>
                      <w:sz w:val="21"/>
                      <w:szCs w:val="21"/>
                    </w:rPr>
                    <w:br w:type="textWrapping"/>
                  </w:r>
                  <w:r>
                    <w:rPr>
                      <w:rFonts w:hint="default" w:ascii="Times New Roman" w:hAnsi="Times New Roman" w:cs="Times New Roman"/>
                      <w:sz w:val="21"/>
                      <w:szCs w:val="21"/>
                    </w:rPr>
                    <w:t>4.按国家、省、市相关标准要求建设、改造、提升满足实际需求的环卫基础设施。</w:t>
                  </w:r>
                </w:p>
              </w:tc>
              <w:tc>
                <w:tcPr>
                  <w:tcW w:w="1497" w:type="pct"/>
                  <w:tcBorders>
                    <w:tl2br w:val="nil"/>
                    <w:tr2bl w:val="nil"/>
                  </w:tcBorders>
                  <w:noWrap w:val="0"/>
                  <w:vAlign w:val="center"/>
                </w:tcPr>
                <w:p w14:paraId="11459834">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本项目为引水工程，属于民生工程，不产生排放废水，与</w:t>
                  </w:r>
                  <w:r>
                    <w:rPr>
                      <w:rFonts w:hint="eastAsia" w:ascii="Times New Roman" w:hAnsi="Times New Roman" w:cs="Times New Roman"/>
                      <w:color w:val="auto"/>
                      <w:sz w:val="21"/>
                      <w:szCs w:val="21"/>
                      <w:lang w:val="en-US" w:eastAsia="zh-CN"/>
                    </w:rPr>
                    <w:t>左栏管理</w:t>
                  </w:r>
                  <w:r>
                    <w:rPr>
                      <w:rFonts w:hint="default" w:ascii="Times New Roman" w:hAnsi="Times New Roman" w:cs="Times New Roman"/>
                      <w:color w:val="auto"/>
                      <w:sz w:val="21"/>
                      <w:szCs w:val="21"/>
                    </w:rPr>
                    <w:t>要求</w:t>
                  </w:r>
                  <w:r>
                    <w:rPr>
                      <w:rFonts w:hint="eastAsia" w:ascii="Times New Roman" w:hAnsi="Times New Roman" w:cs="Times New Roman"/>
                      <w:color w:val="auto"/>
                      <w:sz w:val="21"/>
                      <w:szCs w:val="21"/>
                      <w:lang w:val="en-US" w:eastAsia="zh-CN"/>
                    </w:rPr>
                    <w:t>不冲突</w:t>
                  </w:r>
                </w:p>
              </w:tc>
              <w:tc>
                <w:tcPr>
                  <w:tcW w:w="418" w:type="pct"/>
                  <w:tcBorders>
                    <w:tl2br w:val="nil"/>
                    <w:tr2bl w:val="nil"/>
                  </w:tcBorders>
                  <w:noWrap w:val="0"/>
                  <w:vAlign w:val="center"/>
                </w:tcPr>
                <w:p w14:paraId="221D39CB">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符合</w:t>
                  </w:r>
                </w:p>
              </w:tc>
            </w:tr>
            <w:tr w14:paraId="3E48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shd w:val="clear" w:color="auto" w:fill="auto"/>
                  <w:vAlign w:val="center"/>
                </w:tcPr>
                <w:p w14:paraId="1E699BC7">
                  <w:pPr>
                    <w:spacing w:beforeLines="0" w:afterLines="0"/>
                    <w:jc w:val="center"/>
                    <w:rPr>
                      <w:rFonts w:hint="default" w:ascii="Times New Roman" w:hAnsi="Times New Roman" w:eastAsia="宋体" w:cs="Times New Roman"/>
                      <w:b w:val="0"/>
                      <w:bCs/>
                      <w:color w:val="0000FF"/>
                      <w:kern w:val="2"/>
                      <w:sz w:val="21"/>
                      <w:szCs w:val="21"/>
                      <w:lang w:val="en-US" w:eastAsia="zh-CN" w:bidi="ar-SA"/>
                    </w:rPr>
                  </w:pPr>
                  <w:r>
                    <w:rPr>
                      <w:rFonts w:hint="default" w:ascii="Times New Roman" w:hAnsi="Times New Roman" w:cs="Times New Roman"/>
                      <w:b w:val="0"/>
                      <w:bCs/>
                      <w:sz w:val="21"/>
                      <w:szCs w:val="21"/>
                    </w:rPr>
                    <w:t>环境风险防控</w:t>
                  </w:r>
                </w:p>
              </w:tc>
              <w:tc>
                <w:tcPr>
                  <w:tcW w:w="2642" w:type="pct"/>
                  <w:vAlign w:val="center"/>
                </w:tcPr>
                <w:p w14:paraId="008DD651">
                  <w:pPr>
                    <w:spacing w:beforeLines="0" w:afterLine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建立健全突发环境事件预警应急机制，定期组织开展应急演练。</w:t>
                  </w:r>
                </w:p>
              </w:tc>
              <w:tc>
                <w:tcPr>
                  <w:tcW w:w="1497" w:type="pct"/>
                  <w:vAlign w:val="center"/>
                </w:tcPr>
                <w:p w14:paraId="47E1952D">
                  <w:pPr>
                    <w:spacing w:beforeLines="0" w:afterLine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本项目为引水工程，属于民生工程，将按相关要求</w:t>
                  </w:r>
                  <w:r>
                    <w:rPr>
                      <w:rFonts w:hint="default" w:ascii="Times New Roman" w:hAnsi="Times New Roman" w:eastAsia="宋体" w:cs="Times New Roman"/>
                      <w:color w:val="auto"/>
                      <w:sz w:val="21"/>
                      <w:szCs w:val="21"/>
                      <w:highlight w:val="none"/>
                      <w:lang w:val="en-US" w:eastAsia="zh-CN"/>
                    </w:rPr>
                    <w:t>组织开展应急演练</w:t>
                  </w:r>
                </w:p>
              </w:tc>
              <w:tc>
                <w:tcPr>
                  <w:tcW w:w="418" w:type="pct"/>
                  <w:vAlign w:val="center"/>
                </w:tcPr>
                <w:p w14:paraId="133D8C17">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符合</w:t>
                  </w:r>
                </w:p>
              </w:tc>
            </w:tr>
            <w:tr w14:paraId="568F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shd w:val="clear" w:color="auto" w:fill="auto"/>
                  <w:vAlign w:val="center"/>
                </w:tcPr>
                <w:p w14:paraId="1818BC62">
                  <w:pPr>
                    <w:spacing w:beforeLines="0" w:afterLines="0"/>
                    <w:jc w:val="center"/>
                    <w:rPr>
                      <w:rFonts w:hint="default" w:ascii="Times New Roman" w:hAnsi="Times New Roman" w:eastAsia="宋体" w:cs="Times New Roman"/>
                      <w:b w:val="0"/>
                      <w:bCs/>
                      <w:color w:val="0000FF"/>
                      <w:kern w:val="2"/>
                      <w:sz w:val="21"/>
                      <w:szCs w:val="21"/>
                      <w:lang w:val="en-US" w:eastAsia="zh-CN" w:bidi="ar-SA"/>
                    </w:rPr>
                  </w:pPr>
                  <w:r>
                    <w:rPr>
                      <w:rFonts w:hint="default" w:ascii="Times New Roman" w:hAnsi="Times New Roman" w:cs="Times New Roman"/>
                      <w:b w:val="0"/>
                      <w:bCs/>
                      <w:sz w:val="21"/>
                      <w:szCs w:val="21"/>
                    </w:rPr>
                    <w:t>资源开发效率要求</w:t>
                  </w:r>
                </w:p>
              </w:tc>
              <w:tc>
                <w:tcPr>
                  <w:tcW w:w="2642" w:type="pct"/>
                  <w:vAlign w:val="center"/>
                </w:tcPr>
                <w:p w14:paraId="6A69D761">
                  <w:pPr>
                    <w:spacing w:beforeLines="0" w:afterLine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1497" w:type="pct"/>
                  <w:vAlign w:val="center"/>
                </w:tcPr>
                <w:p w14:paraId="6983F3D1">
                  <w:pPr>
                    <w:spacing w:beforeLines="0" w:afterLine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418" w:type="pct"/>
                  <w:vAlign w:val="center"/>
                </w:tcPr>
                <w:p w14:paraId="1FDB1FC0">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w:t>
                  </w:r>
                </w:p>
              </w:tc>
            </w:tr>
            <w:tr w14:paraId="74FB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shd w:val="clear" w:color="auto" w:fill="auto"/>
                  <w:vAlign w:val="center"/>
                </w:tcPr>
                <w:p w14:paraId="0DBAB74C">
                  <w:pPr>
                    <w:spacing w:beforeLines="0" w:afterLines="0"/>
                    <w:jc w:val="center"/>
                    <w:rPr>
                      <w:rFonts w:hint="default" w:ascii="Times New Roman" w:hAnsi="Times New Roman" w:eastAsia="宋体" w:cs="Times New Roman"/>
                      <w:b w:val="0"/>
                      <w:bCs/>
                      <w:sz w:val="21"/>
                      <w:szCs w:val="21"/>
                      <w:lang w:val="en-US" w:eastAsia="zh-CN"/>
                    </w:rPr>
                  </w:pPr>
                  <w:r>
                    <w:rPr>
                      <w:rFonts w:hint="default" w:ascii="Times New Roman" w:hAnsi="Times New Roman" w:cs="Times New Roman"/>
                      <w:b w:val="0"/>
                      <w:bCs/>
                      <w:sz w:val="21"/>
                      <w:szCs w:val="21"/>
                      <w:lang w:val="en-US" w:eastAsia="zh-CN"/>
                    </w:rPr>
                    <w:t>3</w:t>
                  </w:r>
                </w:p>
              </w:tc>
              <w:tc>
                <w:tcPr>
                  <w:tcW w:w="4557" w:type="pct"/>
                  <w:gridSpan w:val="3"/>
                </w:tcPr>
                <w:p w14:paraId="73945376">
                  <w:pPr>
                    <w:spacing w:beforeLines="0" w:afterLines="0"/>
                    <w:jc w:val="both"/>
                    <w:rPr>
                      <w:rFonts w:hint="default" w:ascii="Times New Roman" w:hAnsi="Times New Roman" w:eastAsia="宋体" w:cs="Times New Roman"/>
                      <w:color w:val="0000FF"/>
                      <w:sz w:val="21"/>
                      <w:szCs w:val="21"/>
                      <w:highlight w:val="none"/>
                    </w:rPr>
                  </w:pPr>
                  <w:r>
                    <w:rPr>
                      <w:rFonts w:hint="default" w:ascii="Times New Roman" w:hAnsi="Times New Roman" w:cs="Times New Roman"/>
                      <w:sz w:val="21"/>
                      <w:szCs w:val="21"/>
                    </w:rPr>
                    <w:t>安宁市一般管控单元</w:t>
                  </w:r>
                </w:p>
              </w:tc>
            </w:tr>
            <w:tr w14:paraId="72CA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shd w:val="clear" w:color="auto" w:fill="auto"/>
                  <w:vAlign w:val="center"/>
                </w:tcPr>
                <w:p w14:paraId="476E57C0">
                  <w:pPr>
                    <w:spacing w:beforeLines="0" w:afterLines="0"/>
                    <w:jc w:val="center"/>
                    <w:rPr>
                      <w:rFonts w:hint="default" w:ascii="Times New Roman" w:hAnsi="Times New Roman" w:eastAsia="宋体" w:cs="Times New Roman"/>
                      <w:b w:val="0"/>
                      <w:bCs/>
                      <w:color w:val="0000FF"/>
                      <w:kern w:val="2"/>
                      <w:sz w:val="21"/>
                      <w:szCs w:val="21"/>
                      <w:lang w:val="en-US" w:eastAsia="zh-CN" w:bidi="ar-SA"/>
                    </w:rPr>
                  </w:pPr>
                  <w:r>
                    <w:rPr>
                      <w:rFonts w:hint="default" w:ascii="Times New Roman" w:hAnsi="Times New Roman" w:cs="Times New Roman"/>
                      <w:b w:val="0"/>
                      <w:bCs/>
                      <w:sz w:val="21"/>
                      <w:szCs w:val="21"/>
                    </w:rPr>
                    <w:t>空间布局约束</w:t>
                  </w:r>
                </w:p>
              </w:tc>
              <w:tc>
                <w:tcPr>
                  <w:tcW w:w="2642" w:type="pct"/>
                  <w:vAlign w:val="center"/>
                </w:tcPr>
                <w:p w14:paraId="17246DBB">
                  <w:pPr>
                    <w:spacing w:beforeLines="0" w:afterLines="0"/>
                    <w:jc w:val="center"/>
                    <w:rPr>
                      <w:rFonts w:hint="default" w:ascii="Times New Roman" w:hAnsi="Times New Roman" w:eastAsia="宋体" w:cs="Times New Roman"/>
                      <w:color w:val="0000FF"/>
                      <w:sz w:val="21"/>
                      <w:szCs w:val="21"/>
                    </w:rPr>
                  </w:pPr>
                  <w:r>
                    <w:rPr>
                      <w:rFonts w:hint="default" w:ascii="Times New Roman" w:hAnsi="Times New Roman" w:cs="Times New Roman"/>
                      <w:sz w:val="21"/>
                      <w:szCs w:val="21"/>
                    </w:rPr>
                    <w:t>1.禁止在林地、河湖管理范围内新建、改建、扩建房地产开发项目。</w:t>
                  </w:r>
                  <w:r>
                    <w:rPr>
                      <w:rFonts w:hint="default" w:ascii="Times New Roman" w:hAnsi="Times New Roman" w:cs="Times New Roman"/>
                      <w:sz w:val="21"/>
                      <w:szCs w:val="21"/>
                    </w:rPr>
                    <w:br w:type="textWrapping"/>
                  </w:r>
                  <w:r>
                    <w:rPr>
                      <w:rFonts w:hint="default" w:ascii="Times New Roman" w:hAnsi="Times New Roman" w:cs="Times New Roman"/>
                      <w:sz w:val="21"/>
                      <w:szCs w:val="21"/>
                    </w:rPr>
                    <w:t>2.禁止围湖造田和侵占江河滩地。</w:t>
                  </w:r>
                  <w:r>
                    <w:rPr>
                      <w:rFonts w:hint="default" w:ascii="Times New Roman" w:hAnsi="Times New Roman" w:cs="Times New Roman"/>
                      <w:sz w:val="21"/>
                      <w:szCs w:val="21"/>
                    </w:rPr>
                    <w:br w:type="textWrapping"/>
                  </w:r>
                  <w:r>
                    <w:rPr>
                      <w:rFonts w:hint="default" w:ascii="Times New Roman" w:hAnsi="Times New Roman" w:cs="Times New Roman"/>
                      <w:sz w:val="21"/>
                      <w:szCs w:val="21"/>
                    </w:rPr>
                    <w:t>3.禁止企业向滩涂、沼泽、荒地等未利用地非法排污、倾倒有毒有害物质。</w:t>
                  </w:r>
                </w:p>
              </w:tc>
              <w:tc>
                <w:tcPr>
                  <w:tcW w:w="1497" w:type="pct"/>
                  <w:vAlign w:val="center"/>
                </w:tcPr>
                <w:p w14:paraId="3D143287">
                  <w:pPr>
                    <w:spacing w:beforeLines="0" w:afterLines="0"/>
                    <w:jc w:val="center"/>
                    <w:rPr>
                      <w:rFonts w:hint="default" w:ascii="Times New Roman" w:hAnsi="Times New Roman" w:eastAsia="宋体" w:cs="Times New Roman"/>
                      <w:color w:val="0000FF"/>
                      <w:sz w:val="21"/>
                      <w:szCs w:val="21"/>
                      <w:highlight w:val="none"/>
                      <w:lang w:val="en-US"/>
                    </w:rPr>
                  </w:pPr>
                  <w:r>
                    <w:rPr>
                      <w:rFonts w:hint="eastAsia" w:ascii="Times New Roman" w:hAnsi="Times New Roman" w:cs="Times New Roman"/>
                      <w:color w:val="auto"/>
                      <w:sz w:val="21"/>
                      <w:szCs w:val="21"/>
                      <w:highlight w:val="none"/>
                      <w:lang w:val="en-US" w:eastAsia="zh-CN"/>
                    </w:rPr>
                    <w:t>本项目为引水工程，属于民生工程，不属于</w:t>
                  </w:r>
                  <w:r>
                    <w:rPr>
                      <w:rFonts w:hint="eastAsia" w:ascii="Times New Roman" w:hAnsi="Times New Roman" w:cs="Times New Roman"/>
                      <w:color w:val="auto"/>
                      <w:sz w:val="21"/>
                      <w:szCs w:val="21"/>
                      <w:lang w:val="en-US" w:eastAsia="zh-CN"/>
                    </w:rPr>
                    <w:t>左栏禁止建设活动</w:t>
                  </w:r>
                </w:p>
              </w:tc>
              <w:tc>
                <w:tcPr>
                  <w:tcW w:w="418" w:type="pct"/>
                  <w:vAlign w:val="center"/>
                </w:tcPr>
                <w:p w14:paraId="03AE0821">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符合</w:t>
                  </w:r>
                </w:p>
              </w:tc>
            </w:tr>
            <w:tr w14:paraId="2C5F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shd w:val="clear" w:color="auto" w:fill="auto"/>
                  <w:vAlign w:val="center"/>
                </w:tcPr>
                <w:p w14:paraId="09A7B33B">
                  <w:pPr>
                    <w:spacing w:beforeLines="0" w:afterLines="0"/>
                    <w:jc w:val="center"/>
                    <w:rPr>
                      <w:rFonts w:hint="default" w:ascii="Times New Roman" w:hAnsi="Times New Roman" w:eastAsia="宋体" w:cs="Times New Roman"/>
                      <w:b w:val="0"/>
                      <w:bCs/>
                      <w:color w:val="0000FF"/>
                      <w:kern w:val="2"/>
                      <w:sz w:val="21"/>
                      <w:szCs w:val="21"/>
                      <w:lang w:val="en-US" w:eastAsia="zh-CN" w:bidi="ar-SA"/>
                    </w:rPr>
                  </w:pPr>
                  <w:r>
                    <w:rPr>
                      <w:rFonts w:hint="default" w:ascii="Times New Roman" w:hAnsi="Times New Roman" w:cs="Times New Roman"/>
                      <w:b w:val="0"/>
                      <w:bCs/>
                      <w:sz w:val="21"/>
                      <w:szCs w:val="21"/>
                    </w:rPr>
                    <w:t>污染物排放管控</w:t>
                  </w:r>
                </w:p>
              </w:tc>
              <w:tc>
                <w:tcPr>
                  <w:tcW w:w="2642" w:type="pct"/>
                  <w:vAlign w:val="center"/>
                </w:tcPr>
                <w:p w14:paraId="01FB1BEF">
                  <w:pPr>
                    <w:spacing w:beforeLines="0" w:afterLines="0"/>
                    <w:jc w:val="center"/>
                    <w:rPr>
                      <w:rFonts w:hint="default" w:ascii="Times New Roman" w:hAnsi="Times New Roman" w:eastAsia="宋体" w:cs="Times New Roman"/>
                      <w:color w:val="0000FF"/>
                      <w:sz w:val="21"/>
                      <w:szCs w:val="21"/>
                    </w:rPr>
                  </w:pPr>
                  <w:r>
                    <w:rPr>
                      <w:rFonts w:hint="default" w:ascii="Times New Roman" w:hAnsi="Times New Roman" w:cs="Times New Roman"/>
                      <w:sz w:val="21"/>
                      <w:szCs w:val="21"/>
                    </w:rPr>
                    <w:t>1.严格控制“两高”行业新增产能，新、改、扩建项目要实行产能等量或减量置换。2.严格用地准入，工业用地及商业用地供地前，自然资源部门需对拟供地块进行土壤环境状况调查，评估环境污染风险后方可供地。3.禁止使用炸鱼、毒鱼、电鱼等破坏渔业资源方法进行捕捞。4.禁止在禁渔区、禁渔期进行捕捞。禁止使用小于最小网目尺寸的网具进行捕捞，未依法取得捕捞许可证擅自捕捞。</w:t>
                  </w:r>
                </w:p>
              </w:tc>
              <w:tc>
                <w:tcPr>
                  <w:tcW w:w="1497" w:type="pct"/>
                  <w:vAlign w:val="center"/>
                </w:tcPr>
                <w:p w14:paraId="0A73A904">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本项目为引水工程，属于民生工程，不属于</w:t>
                  </w:r>
                  <w:r>
                    <w:rPr>
                      <w:rFonts w:hint="eastAsia" w:ascii="Times New Roman" w:hAnsi="Times New Roman" w:cs="Times New Roman"/>
                      <w:color w:val="auto"/>
                      <w:sz w:val="21"/>
                      <w:szCs w:val="21"/>
                      <w:lang w:val="en-US" w:eastAsia="zh-CN"/>
                    </w:rPr>
                    <w:t>左栏禁止建设活动</w:t>
                  </w:r>
                </w:p>
              </w:tc>
              <w:tc>
                <w:tcPr>
                  <w:tcW w:w="418" w:type="pct"/>
                  <w:vAlign w:val="center"/>
                </w:tcPr>
                <w:p w14:paraId="094FE86E">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符合</w:t>
                  </w:r>
                </w:p>
              </w:tc>
            </w:tr>
            <w:tr w14:paraId="1CC9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shd w:val="clear" w:color="auto" w:fill="auto"/>
                  <w:vAlign w:val="center"/>
                </w:tcPr>
                <w:p w14:paraId="2E2D85C5">
                  <w:pPr>
                    <w:spacing w:beforeLines="0" w:afterLines="0"/>
                    <w:jc w:val="center"/>
                    <w:rPr>
                      <w:rFonts w:hint="default" w:ascii="Times New Roman" w:hAnsi="Times New Roman" w:eastAsia="宋体" w:cs="Times New Roman"/>
                      <w:b w:val="0"/>
                      <w:bCs/>
                      <w:color w:val="0000FF"/>
                      <w:kern w:val="2"/>
                      <w:sz w:val="21"/>
                      <w:szCs w:val="21"/>
                      <w:lang w:val="en-US" w:eastAsia="zh-CN" w:bidi="ar-SA"/>
                    </w:rPr>
                  </w:pPr>
                  <w:r>
                    <w:rPr>
                      <w:rFonts w:hint="default" w:ascii="Times New Roman" w:hAnsi="Times New Roman" w:cs="Times New Roman"/>
                      <w:b w:val="0"/>
                      <w:bCs/>
                      <w:sz w:val="21"/>
                      <w:szCs w:val="21"/>
                    </w:rPr>
                    <w:t>环境风险防控</w:t>
                  </w:r>
                </w:p>
              </w:tc>
              <w:tc>
                <w:tcPr>
                  <w:tcW w:w="2642" w:type="pct"/>
                  <w:vAlign w:val="center"/>
                </w:tcPr>
                <w:p w14:paraId="0A7D4172">
                  <w:pPr>
                    <w:spacing w:beforeLines="0" w:afterLines="0"/>
                    <w:jc w:val="center"/>
                    <w:rPr>
                      <w:rFonts w:hint="default" w:ascii="Times New Roman" w:hAnsi="Times New Roman" w:eastAsia="宋体" w:cs="Times New Roman"/>
                      <w:color w:val="0000FF"/>
                      <w:sz w:val="21"/>
                      <w:szCs w:val="21"/>
                    </w:rPr>
                  </w:pPr>
                  <w:r>
                    <w:rPr>
                      <w:rFonts w:hint="default" w:ascii="Times New Roman" w:hAnsi="Times New Roman" w:cs="Times New Roman"/>
                      <w:sz w:val="21"/>
                      <w:szCs w:val="21"/>
                    </w:rPr>
                    <w:t>1.严格限制《环境保护综合名录》</w:t>
                  </w:r>
                  <w:r>
                    <w:rPr>
                      <w:rFonts w:hint="eastAsia" w:ascii="Times New Roman" w:hAnsi="Times New Roman" w:cs="Times New Roman"/>
                      <w:sz w:val="21"/>
                      <w:szCs w:val="21"/>
                      <w:lang w:eastAsia="zh-CN"/>
                    </w:rPr>
                    <w:t>（</w:t>
                  </w:r>
                  <w:r>
                    <w:rPr>
                      <w:rFonts w:hint="default" w:ascii="Times New Roman" w:hAnsi="Times New Roman" w:cs="Times New Roman"/>
                      <w:sz w:val="21"/>
                      <w:szCs w:val="21"/>
                    </w:rPr>
                    <w:t>2021年版）中“高污染、高环境风险”产品与工艺装备。2.禁止使用剧毒、高残留以及可能二次中毒的农药。3.严格污染场地开发利用和流转审批，在影响健康地块修复达标之前，禁止建设居民区、学校、医疗和养老机构。</w:t>
                  </w:r>
                </w:p>
              </w:tc>
              <w:tc>
                <w:tcPr>
                  <w:tcW w:w="1497" w:type="pct"/>
                  <w:vAlign w:val="center"/>
                </w:tcPr>
                <w:p w14:paraId="4F5D7C42">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本项目为引水工程，属于民生工程，不属于</w:t>
                  </w:r>
                  <w:r>
                    <w:rPr>
                      <w:rFonts w:hint="eastAsia" w:ascii="Times New Roman" w:hAnsi="Times New Roman" w:cs="Times New Roman"/>
                      <w:color w:val="auto"/>
                      <w:sz w:val="21"/>
                      <w:szCs w:val="21"/>
                      <w:lang w:val="en-US" w:eastAsia="zh-CN"/>
                    </w:rPr>
                    <w:t>左栏禁止建设活动</w:t>
                  </w:r>
                </w:p>
              </w:tc>
              <w:tc>
                <w:tcPr>
                  <w:tcW w:w="418" w:type="pct"/>
                  <w:vAlign w:val="center"/>
                </w:tcPr>
                <w:p w14:paraId="127241B3">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符合</w:t>
                  </w:r>
                </w:p>
              </w:tc>
            </w:tr>
            <w:tr w14:paraId="7ADF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2" w:type="pct"/>
                  <w:shd w:val="clear" w:color="auto" w:fill="auto"/>
                  <w:vAlign w:val="center"/>
                </w:tcPr>
                <w:p w14:paraId="2D4BB200">
                  <w:pPr>
                    <w:spacing w:beforeLines="0" w:afterLines="0"/>
                    <w:jc w:val="center"/>
                    <w:rPr>
                      <w:rFonts w:hint="default" w:ascii="Times New Roman" w:hAnsi="Times New Roman" w:eastAsia="宋体" w:cs="Times New Roman"/>
                      <w:b w:val="0"/>
                      <w:bCs/>
                      <w:color w:val="0000FF"/>
                      <w:kern w:val="2"/>
                      <w:sz w:val="21"/>
                      <w:szCs w:val="21"/>
                      <w:lang w:val="en-US" w:eastAsia="zh-CN" w:bidi="ar-SA"/>
                    </w:rPr>
                  </w:pPr>
                  <w:r>
                    <w:rPr>
                      <w:rFonts w:hint="default" w:ascii="Times New Roman" w:hAnsi="Times New Roman" w:cs="Times New Roman"/>
                      <w:b w:val="0"/>
                      <w:bCs/>
                      <w:sz w:val="21"/>
                      <w:szCs w:val="21"/>
                    </w:rPr>
                    <w:t>资源开发效率要求</w:t>
                  </w:r>
                </w:p>
              </w:tc>
              <w:tc>
                <w:tcPr>
                  <w:tcW w:w="2642" w:type="pct"/>
                  <w:vAlign w:val="center"/>
                </w:tcPr>
                <w:p w14:paraId="1F9AD2B4">
                  <w:pPr>
                    <w:spacing w:beforeLines="0" w:afterLine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1.禁止新建、改扩建《高耗水工艺、技术和装备淘汰目录》中项目，现有企业应限期关停退出。2.禁止建设不符合《云南省用水定额》标准的项目。新建、扩建和改建《禁止用地项目目录</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2012年本）》</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国土资发〔2012〕98号）中建设项目或者采用所列工艺技术、装备、规模的建设项目，国土资源管理部门和投资管理部门不得办理相关手续。3.新建、改建和扩建《产业结构调整指导目录</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2024年本）》明令淘汰的落后工艺技术，装备或者生产明令淘汰产品的建设项目，国土资源管理部门和投资管理部门一律不得办理相关手续。4.新建、扩建和改建《限制用地项目目录</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2012年本）》</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国土资发〔2012〕98号）中建设项目，必须符合目录规定条件，国土资源管理部门和投资管理部门方可办理相关手续。</w:t>
                  </w:r>
                </w:p>
              </w:tc>
              <w:tc>
                <w:tcPr>
                  <w:tcW w:w="1497" w:type="pct"/>
                  <w:vAlign w:val="center"/>
                </w:tcPr>
                <w:p w14:paraId="05F1B460">
                  <w:pPr>
                    <w:spacing w:beforeLines="0" w:afterLine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本项目为引水工程，属于民生工程，不属于左栏禁止建设活动</w:t>
                  </w:r>
                </w:p>
              </w:tc>
              <w:tc>
                <w:tcPr>
                  <w:tcW w:w="418" w:type="pct"/>
                  <w:vAlign w:val="center"/>
                </w:tcPr>
                <w:p w14:paraId="3EE8BFB1">
                  <w:pPr>
                    <w:spacing w:beforeLines="0" w:afterLines="0"/>
                    <w:jc w:val="center"/>
                    <w:rPr>
                      <w:rFonts w:hint="default" w:ascii="Times New Roman" w:hAnsi="Times New Roman" w:eastAsia="宋体" w:cs="Times New Roman"/>
                      <w:color w:val="0000FF"/>
                      <w:sz w:val="21"/>
                      <w:szCs w:val="21"/>
                      <w:highlight w:val="none"/>
                    </w:rPr>
                  </w:pPr>
                  <w:r>
                    <w:rPr>
                      <w:rFonts w:hint="eastAsia" w:ascii="Times New Roman" w:hAnsi="Times New Roman" w:cs="Times New Roman"/>
                      <w:color w:val="auto"/>
                      <w:sz w:val="21"/>
                      <w:szCs w:val="21"/>
                      <w:highlight w:val="none"/>
                      <w:lang w:val="en-US" w:eastAsia="zh-CN"/>
                    </w:rPr>
                    <w:t>符合</w:t>
                  </w:r>
                </w:p>
              </w:tc>
            </w:tr>
          </w:tbl>
          <w:p w14:paraId="416D49E1">
            <w:pPr>
              <w:keepNext w:val="0"/>
              <w:keepLines w:val="0"/>
              <w:pageBreakBefore w:val="0"/>
              <w:widowControl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综上分析，本项目的建设符合《昆明市生态环境分区管控动态更新方案</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2023年）》的相关要求。</w:t>
            </w:r>
          </w:p>
          <w:p w14:paraId="17F49A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Lines="0" w:line="360" w:lineRule="auto"/>
              <w:jc w:val="both"/>
              <w:textAlignment w:val="auto"/>
              <w:rPr>
                <w:rFonts w:hint="default" w:ascii="Times New Roman" w:hAnsi="Times New Roman" w:eastAsia="宋体" w:cs="Times New Roman"/>
                <w:b/>
                <w:bCs w:val="0"/>
                <w:color w:val="auto"/>
                <w:sz w:val="24"/>
                <w:szCs w:val="24"/>
                <w:lang w:val="en-US" w:eastAsia="zh-CN"/>
              </w:rPr>
            </w:pPr>
            <w:r>
              <w:rPr>
                <w:rFonts w:hint="default" w:ascii="Times New Roman" w:hAnsi="Times New Roman" w:eastAsia="宋体" w:cs="Times New Roman"/>
                <w:b/>
                <w:bCs w:val="0"/>
                <w:color w:val="auto"/>
                <w:sz w:val="24"/>
                <w:szCs w:val="24"/>
                <w:lang w:val="en-US" w:eastAsia="zh-CN"/>
              </w:rPr>
              <w:t>2、</w:t>
            </w:r>
            <w:r>
              <w:rPr>
                <w:rFonts w:hint="default" w:ascii="Times New Roman" w:hAnsi="Times New Roman" w:eastAsia="宋体" w:cs="Times New Roman"/>
                <w:b/>
                <w:bCs/>
                <w:color w:val="auto"/>
                <w:sz w:val="24"/>
                <w:szCs w:val="24"/>
              </w:rPr>
              <w:t>与《</w:t>
            </w:r>
            <w:r>
              <w:rPr>
                <w:rFonts w:hint="default" w:ascii="Times New Roman" w:hAnsi="Times New Roman" w:cs="Times New Roman"/>
                <w:b/>
                <w:bCs/>
                <w:color w:val="auto"/>
                <w:sz w:val="24"/>
                <w:szCs w:val="24"/>
                <w:lang w:val="en-US" w:eastAsia="zh-CN"/>
              </w:rPr>
              <w:t>云南省</w:t>
            </w:r>
            <w:r>
              <w:rPr>
                <w:rFonts w:hint="default" w:ascii="Times New Roman" w:hAnsi="Times New Roman" w:eastAsia="宋体" w:cs="Times New Roman"/>
                <w:b/>
                <w:bCs/>
                <w:color w:val="auto"/>
                <w:sz w:val="24"/>
                <w:szCs w:val="24"/>
              </w:rPr>
              <w:t>长江经济带发展负面清单指南</w:t>
            </w:r>
            <w:r>
              <w:rPr>
                <w:rFonts w:hint="default" w:ascii="Times New Roman" w:hAnsi="Times New Roman" w:cs="Times New Roman"/>
                <w:b/>
                <w:bCs/>
                <w:color w:val="auto"/>
                <w:sz w:val="24"/>
                <w:szCs w:val="24"/>
                <w:lang w:val="en-US" w:eastAsia="zh-CN"/>
              </w:rPr>
              <w:t>实施细则</w:t>
            </w:r>
            <w:r>
              <w:rPr>
                <w:rFonts w:hint="eastAsia" w:ascii="Times New Roman" w:hAnsi="Times New Roman" w:cs="Times New Roman"/>
                <w:b/>
                <w:bCs/>
                <w:color w:val="auto"/>
                <w:sz w:val="24"/>
                <w:szCs w:val="24"/>
                <w:lang w:eastAsia="zh-CN"/>
              </w:rPr>
              <w:t>（</w:t>
            </w:r>
            <w:r>
              <w:rPr>
                <w:rFonts w:hint="default" w:ascii="Times New Roman" w:hAnsi="Times New Roman" w:eastAsia="宋体" w:cs="Times New Roman"/>
                <w:b/>
                <w:bCs/>
                <w:color w:val="auto"/>
                <w:sz w:val="24"/>
                <w:szCs w:val="24"/>
              </w:rPr>
              <w:t>试行</w:t>
            </w:r>
            <w:r>
              <w:rPr>
                <w:rFonts w:hint="default" w:ascii="Times New Roman" w:hAnsi="Times New Roman" w:cs="Times New Roman"/>
                <w:color w:val="auto"/>
                <w:sz w:val="24"/>
                <w:szCs w:val="24"/>
                <w:lang w:eastAsia="zh-CN"/>
              </w:rPr>
              <w:t>，</w:t>
            </w:r>
            <w:r>
              <w:rPr>
                <w:rFonts w:hint="default" w:ascii="Times New Roman" w:hAnsi="Times New Roman" w:cs="Times New Roman"/>
                <w:b/>
                <w:bCs/>
                <w:color w:val="auto"/>
                <w:sz w:val="24"/>
                <w:szCs w:val="24"/>
                <w:lang w:val="en-US" w:eastAsia="zh-CN"/>
              </w:rPr>
              <w:t>2022年版</w:t>
            </w:r>
            <w:r>
              <w:rPr>
                <w:rFonts w:hint="default" w:ascii="Times New Roman" w:hAnsi="Times New Roman" w:eastAsia="宋体" w:cs="Times New Roman"/>
                <w:b/>
                <w:bCs/>
                <w:color w:val="auto"/>
                <w:sz w:val="24"/>
                <w:szCs w:val="24"/>
              </w:rPr>
              <w:t>）》符合性分析</w:t>
            </w:r>
          </w:p>
          <w:p w14:paraId="1866400D">
            <w:pPr>
              <w:keepNext w:val="0"/>
              <w:keepLines w:val="0"/>
              <w:pageBreakBefore w:val="0"/>
              <w:widowControl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w:t>
            </w:r>
            <w:r>
              <w:rPr>
                <w:rFonts w:hint="default" w:ascii="Times New Roman" w:hAnsi="Times New Roman" w:cs="Times New Roman"/>
                <w:color w:val="auto"/>
                <w:sz w:val="24"/>
                <w:szCs w:val="24"/>
                <w:lang w:val="en-US" w:eastAsia="zh-CN"/>
              </w:rPr>
              <w:t>云南</w:t>
            </w:r>
            <w:r>
              <w:rPr>
                <w:rFonts w:hint="default" w:ascii="Times New Roman" w:hAnsi="Times New Roman" w:eastAsia="宋体" w:cs="Times New Roman"/>
                <w:color w:val="auto"/>
                <w:sz w:val="24"/>
                <w:szCs w:val="24"/>
                <w:lang w:val="en-US" w:eastAsia="zh-CN"/>
              </w:rPr>
              <w:t>省</w:t>
            </w:r>
            <w:r>
              <w:rPr>
                <w:rFonts w:hint="default" w:ascii="Times New Roman" w:hAnsi="Times New Roman" w:eastAsia="宋体" w:cs="Times New Roman"/>
                <w:color w:val="auto"/>
                <w:sz w:val="24"/>
                <w:szCs w:val="24"/>
              </w:rPr>
              <w:t>推动长江经济带发展领导小组办公室“关于印发《</w:t>
            </w:r>
            <w:r>
              <w:rPr>
                <w:rFonts w:hint="default" w:ascii="Times New Roman" w:hAnsi="Times New Roman" w:eastAsia="宋体" w:cs="Times New Roman"/>
                <w:color w:val="auto"/>
                <w:sz w:val="24"/>
                <w:szCs w:val="24"/>
                <w:lang w:val="en-US" w:eastAsia="zh-CN"/>
              </w:rPr>
              <w:t>云南省</w:t>
            </w:r>
            <w:r>
              <w:rPr>
                <w:rFonts w:hint="default" w:ascii="Times New Roman" w:hAnsi="Times New Roman" w:eastAsia="宋体" w:cs="Times New Roman"/>
                <w:color w:val="auto"/>
                <w:sz w:val="24"/>
                <w:szCs w:val="24"/>
              </w:rPr>
              <w:t>长江经济带发展负面清单指南</w:t>
            </w:r>
            <w:r>
              <w:rPr>
                <w:rFonts w:hint="default" w:ascii="Times New Roman" w:hAnsi="Times New Roman" w:eastAsia="宋体" w:cs="Times New Roman"/>
                <w:color w:val="auto"/>
                <w:sz w:val="24"/>
                <w:szCs w:val="24"/>
                <w:lang w:val="en-US" w:eastAsia="zh-CN"/>
              </w:rPr>
              <w:t>实施细则</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试行，2022 年版）》的通知”</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云发改基础〔2022〕894 号）。本项目与该负面清单</w:t>
            </w:r>
            <w:r>
              <w:rPr>
                <w:rFonts w:hint="default" w:ascii="Times New Roman" w:hAnsi="Times New Roman" w:eastAsia="宋体" w:cs="Times New Roman"/>
                <w:color w:val="auto"/>
                <w:sz w:val="24"/>
                <w:szCs w:val="24"/>
                <w:lang w:val="en-US" w:eastAsia="zh-CN"/>
              </w:rPr>
              <w:t>指南实施细则的</w:t>
            </w:r>
            <w:r>
              <w:rPr>
                <w:rFonts w:hint="default" w:ascii="Times New Roman" w:hAnsi="Times New Roman" w:eastAsia="宋体" w:cs="Times New Roman"/>
                <w:color w:val="auto"/>
                <w:sz w:val="24"/>
                <w:szCs w:val="24"/>
              </w:rPr>
              <w:t>符合性分析见</w:t>
            </w:r>
            <w:r>
              <w:rPr>
                <w:rFonts w:hint="default" w:ascii="Times New Roman" w:hAnsi="Times New Roman" w:eastAsia="宋体" w:cs="Times New Roman"/>
                <w:color w:val="auto"/>
                <w:sz w:val="24"/>
                <w:szCs w:val="24"/>
                <w:lang w:val="en-US" w:eastAsia="zh-CN"/>
              </w:rPr>
              <w:t>下</w:t>
            </w:r>
            <w:r>
              <w:rPr>
                <w:rFonts w:hint="default" w:ascii="Times New Roman" w:hAnsi="Times New Roman" w:eastAsia="宋体" w:cs="Times New Roman"/>
                <w:color w:val="auto"/>
                <w:sz w:val="24"/>
                <w:szCs w:val="24"/>
              </w:rPr>
              <w:t>表。</w:t>
            </w:r>
          </w:p>
          <w:p w14:paraId="778B83E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rPr>
              <w:t>表</w:t>
            </w:r>
            <w:r>
              <w:rPr>
                <w:rFonts w:hint="default" w:ascii="Times New Roman" w:hAnsi="Times New Roman" w:eastAsia="TimesNewRomanPS-BoldMT" w:cs="Times New Roman"/>
                <w:b/>
                <w:bCs/>
                <w:color w:val="auto"/>
                <w:sz w:val="24"/>
                <w:szCs w:val="24"/>
              </w:rPr>
              <w:t>1-</w:t>
            </w:r>
            <w:r>
              <w:rPr>
                <w:rFonts w:hint="default" w:ascii="Times New Roman" w:hAnsi="Times New Roman" w:eastAsia="TimesNewRomanPS-BoldMT" w:cs="Times New Roman"/>
                <w:b/>
                <w:bCs/>
                <w:color w:val="auto"/>
                <w:sz w:val="24"/>
                <w:szCs w:val="24"/>
                <w:lang w:val="en-US" w:eastAsia="zh-CN"/>
              </w:rPr>
              <w:t xml:space="preserve">3    </w:t>
            </w:r>
            <w:r>
              <w:rPr>
                <w:rFonts w:hint="default" w:ascii="Times New Roman" w:hAnsi="Times New Roman" w:eastAsia="宋体" w:cs="Times New Roman"/>
                <w:b/>
                <w:bCs/>
                <w:color w:val="auto"/>
                <w:sz w:val="24"/>
                <w:szCs w:val="24"/>
              </w:rPr>
              <w:t>与长江经济带发展负面清单符合性分析</w:t>
            </w:r>
          </w:p>
          <w:tbl>
            <w:tblPr>
              <w:tblStyle w:val="26"/>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3982"/>
              <w:gridCol w:w="2573"/>
              <w:gridCol w:w="668"/>
            </w:tblGrid>
            <w:tr w14:paraId="145E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049646D7">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序号</w:t>
                  </w:r>
                </w:p>
              </w:tc>
              <w:tc>
                <w:tcPr>
                  <w:tcW w:w="2588" w:type="pct"/>
                  <w:tcBorders>
                    <w:tl2br w:val="nil"/>
                    <w:tr2bl w:val="nil"/>
                  </w:tcBorders>
                  <w:noWrap w:val="0"/>
                  <w:vAlign w:val="center"/>
                </w:tcPr>
                <w:p w14:paraId="3AFC9F15">
                  <w:pPr>
                    <w:spacing w:beforeLines="0" w:afterLines="0"/>
                    <w:jc w:val="center"/>
                    <w:rPr>
                      <w:rFonts w:hint="default" w:ascii="Times New Roman" w:hAnsi="Times New Roman" w:eastAsia="宋体" w:cs="Times New Roman"/>
                      <w:color w:val="auto"/>
                      <w:sz w:val="21"/>
                      <w:szCs w:val="24"/>
                      <w:lang w:eastAsia="zh-CN"/>
                    </w:rPr>
                  </w:pPr>
                  <w:r>
                    <w:rPr>
                      <w:rFonts w:hint="default" w:ascii="Times New Roman" w:hAnsi="Times New Roman" w:cs="Times New Roman"/>
                      <w:color w:val="auto"/>
                      <w:sz w:val="21"/>
                      <w:szCs w:val="24"/>
                      <w:lang w:val="en-US" w:eastAsia="zh-CN"/>
                    </w:rPr>
                    <w:t>文件内容</w:t>
                  </w:r>
                </w:p>
              </w:tc>
              <w:tc>
                <w:tcPr>
                  <w:tcW w:w="1672" w:type="pct"/>
                  <w:tcBorders>
                    <w:tl2br w:val="nil"/>
                    <w:tr2bl w:val="nil"/>
                  </w:tcBorders>
                  <w:noWrap w:val="0"/>
                  <w:vAlign w:val="center"/>
                </w:tcPr>
                <w:p w14:paraId="52160C1E">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本项目</w:t>
                  </w:r>
                </w:p>
              </w:tc>
              <w:tc>
                <w:tcPr>
                  <w:tcW w:w="434" w:type="pct"/>
                  <w:tcBorders>
                    <w:tl2br w:val="nil"/>
                    <w:tr2bl w:val="nil"/>
                  </w:tcBorders>
                  <w:noWrap w:val="0"/>
                  <w:vAlign w:val="center"/>
                </w:tcPr>
                <w:p w14:paraId="369943F5">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符合性</w:t>
                  </w:r>
                </w:p>
              </w:tc>
            </w:tr>
            <w:tr w14:paraId="5F48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1E62DF46">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1</w:t>
                  </w:r>
                </w:p>
              </w:tc>
              <w:tc>
                <w:tcPr>
                  <w:tcW w:w="2588" w:type="pct"/>
                  <w:tcBorders>
                    <w:tl2br w:val="nil"/>
                    <w:tr2bl w:val="nil"/>
                  </w:tcBorders>
                  <w:noWrap w:val="0"/>
                  <w:vAlign w:val="center"/>
                </w:tcPr>
                <w:p w14:paraId="55089F5E">
                  <w:pPr>
                    <w:spacing w:beforeLines="0" w:afterLines="0"/>
                    <w:jc w:val="center"/>
                    <w:rPr>
                      <w:rFonts w:hint="default" w:ascii="Times New Roman" w:hAnsi="Times New Roman" w:cs="Times New Roman"/>
                      <w:sz w:val="21"/>
                      <w:szCs w:val="21"/>
                    </w:rPr>
                  </w:pPr>
                  <w:r>
                    <w:rPr>
                      <w:rFonts w:hint="default" w:ascii="Times New Roman" w:hAnsi="Times New Roman" w:cs="Times New Roman"/>
                      <w:sz w:val="21"/>
                      <w:szCs w:val="21"/>
                    </w:rPr>
                    <w:t>禁止新建、改建和扩建不符合《全国内河航道与港口布局规划》等全国港口规划和《昭通市港口码头岸线规划</w:t>
                  </w:r>
                  <w:r>
                    <w:rPr>
                      <w:rFonts w:hint="eastAsia" w:ascii="Times New Roman" w:hAnsi="Times New Roman" w:cs="Times New Roman"/>
                      <w:sz w:val="21"/>
                      <w:szCs w:val="21"/>
                      <w:lang w:eastAsia="zh-CN"/>
                    </w:rPr>
                    <w:t>（</w:t>
                  </w:r>
                  <w:r>
                    <w:rPr>
                      <w:rFonts w:hint="default" w:ascii="Times New Roman" w:hAnsi="Times New Roman" w:cs="Times New Roman"/>
                      <w:sz w:val="21"/>
                      <w:szCs w:val="21"/>
                    </w:rPr>
                    <w:t>金沙江段2019年-2035年）》《景洪港总体规划</w:t>
                  </w:r>
                  <w:r>
                    <w:rPr>
                      <w:rFonts w:hint="eastAsia" w:ascii="Times New Roman" w:hAnsi="Times New Roman" w:cs="Times New Roman"/>
                      <w:sz w:val="21"/>
                      <w:szCs w:val="21"/>
                      <w:lang w:eastAsia="zh-CN"/>
                    </w:rPr>
                    <w:t>（</w:t>
                  </w:r>
                  <w:r>
                    <w:rPr>
                      <w:rFonts w:hint="default" w:ascii="Times New Roman" w:hAnsi="Times New Roman" w:cs="Times New Roman"/>
                      <w:sz w:val="21"/>
                      <w:szCs w:val="21"/>
                    </w:rPr>
                    <w:t>2019—2035年）》等州</w:t>
                  </w:r>
                  <w:r>
                    <w:rPr>
                      <w:rFonts w:hint="eastAsia" w:ascii="Times New Roman" w:hAnsi="Times New Roman" w:cs="Times New Roman"/>
                      <w:sz w:val="21"/>
                      <w:szCs w:val="21"/>
                      <w:lang w:eastAsia="zh-CN"/>
                    </w:rPr>
                    <w:t>（</w:t>
                  </w:r>
                  <w:r>
                    <w:rPr>
                      <w:rFonts w:hint="default" w:ascii="Times New Roman" w:hAnsi="Times New Roman" w:cs="Times New Roman"/>
                      <w:sz w:val="21"/>
                      <w:szCs w:val="21"/>
                    </w:rPr>
                    <w:t>市）级以上港口布局规划以及港口总体规划的码头项目。</w:t>
                  </w:r>
                </w:p>
              </w:tc>
              <w:tc>
                <w:tcPr>
                  <w:tcW w:w="1672" w:type="pct"/>
                  <w:tcBorders>
                    <w:tl2br w:val="nil"/>
                    <w:tr2bl w:val="nil"/>
                  </w:tcBorders>
                  <w:noWrap w:val="0"/>
                  <w:vAlign w:val="center"/>
                </w:tcPr>
                <w:p w14:paraId="6ED3525C">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本项目属于引水管网项目，不涉及码头、过长江通道等。</w:t>
                  </w:r>
                </w:p>
              </w:tc>
              <w:tc>
                <w:tcPr>
                  <w:tcW w:w="434" w:type="pct"/>
                  <w:tcBorders>
                    <w:tl2br w:val="nil"/>
                    <w:tr2bl w:val="nil"/>
                  </w:tcBorders>
                  <w:noWrap w:val="0"/>
                  <w:vAlign w:val="center"/>
                </w:tcPr>
                <w:p w14:paraId="3A5F4990">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符合</w:t>
                  </w:r>
                </w:p>
              </w:tc>
            </w:tr>
            <w:tr w14:paraId="72D6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64E632E4">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2</w:t>
                  </w:r>
                </w:p>
              </w:tc>
              <w:tc>
                <w:tcPr>
                  <w:tcW w:w="2588" w:type="pct"/>
                  <w:tcBorders>
                    <w:tl2br w:val="nil"/>
                    <w:tr2bl w:val="nil"/>
                  </w:tcBorders>
                  <w:noWrap w:val="0"/>
                  <w:vAlign w:val="center"/>
                </w:tcPr>
                <w:p w14:paraId="5C12B214">
                  <w:pPr>
                    <w:spacing w:beforeLines="0" w:afterLines="0"/>
                    <w:jc w:val="center"/>
                    <w:rPr>
                      <w:rFonts w:hint="default" w:ascii="Times New Roman" w:hAnsi="Times New Roman" w:cs="Times New Roman"/>
                      <w:sz w:val="21"/>
                      <w:szCs w:val="21"/>
                    </w:rPr>
                  </w:pPr>
                  <w:r>
                    <w:rPr>
                      <w:rFonts w:hint="default" w:ascii="Times New Roman" w:hAnsi="Times New Roman" w:cs="Times New Roman"/>
                      <w:sz w:val="21"/>
                      <w:szCs w:val="21"/>
                    </w:rPr>
                    <w:t>禁止在自然保护区核心区、缓冲区的岸线和河段范围内投资建设旅游和生产经营项目。禁止建设与自然保护区保护方向不一致的旅游项目。禁止在自然保护区内进行开矿、采石、挖沙等活动。禁止在自然保护区的核心区和缓冲区内建设任何生产设施，禁止在自然保护区的实验区内建设污染环境、破坏资源或者景观的生产设施。</w:t>
                  </w:r>
                </w:p>
              </w:tc>
              <w:tc>
                <w:tcPr>
                  <w:tcW w:w="1672" w:type="pct"/>
                  <w:tcBorders>
                    <w:tl2br w:val="nil"/>
                    <w:tr2bl w:val="nil"/>
                  </w:tcBorders>
                  <w:noWrap w:val="0"/>
                  <w:vAlign w:val="center"/>
                </w:tcPr>
                <w:p w14:paraId="37AEAADB">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本项目位于项目位于安宁市县街街道办事处、八街街道办事处等区域，项目区不涉及自然保护区核心区、缓冲区、风景名胜区核心景区等敏感目标。</w:t>
                  </w:r>
                </w:p>
              </w:tc>
              <w:tc>
                <w:tcPr>
                  <w:tcW w:w="434" w:type="pct"/>
                  <w:tcBorders>
                    <w:tl2br w:val="nil"/>
                    <w:tr2bl w:val="nil"/>
                  </w:tcBorders>
                  <w:noWrap w:val="0"/>
                  <w:vAlign w:val="center"/>
                </w:tcPr>
                <w:p w14:paraId="5D493FF3">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符合</w:t>
                  </w:r>
                </w:p>
              </w:tc>
            </w:tr>
            <w:tr w14:paraId="32CF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2204C2FA">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3</w:t>
                  </w:r>
                </w:p>
              </w:tc>
              <w:tc>
                <w:tcPr>
                  <w:tcW w:w="2588" w:type="pct"/>
                  <w:tcBorders>
                    <w:tl2br w:val="nil"/>
                    <w:tr2bl w:val="nil"/>
                  </w:tcBorders>
                  <w:noWrap w:val="0"/>
                  <w:vAlign w:val="center"/>
                </w:tcPr>
                <w:p w14:paraId="0155BCE6">
                  <w:pPr>
                    <w:spacing w:beforeLines="0" w:afterLines="0"/>
                    <w:jc w:val="center"/>
                    <w:rPr>
                      <w:rFonts w:hint="default" w:ascii="Times New Roman" w:hAnsi="Times New Roman" w:cs="Times New Roman"/>
                      <w:sz w:val="21"/>
                      <w:szCs w:val="21"/>
                    </w:rPr>
                  </w:pPr>
                  <w:r>
                    <w:rPr>
                      <w:rFonts w:hint="default" w:ascii="Times New Roman" w:hAnsi="Times New Roman" w:cs="Times New Roman"/>
                      <w:sz w:val="21"/>
                      <w:szCs w:val="21"/>
                    </w:rPr>
                    <w:t>禁止在风景名胜区核心景区的岸线和河段范围内投资建设与风景名胜资源保护无关的项目。禁止在风景名胜区内进行开山、采石、开矿、开荒、修坟立碑等破坏景观、植被和地形地貌的活动以及修建储存爆炸性、易燃性、放射性、毒害性、腐蚀性物品的设施；禁止在风景名胜区内设立开发区和在核心景区内建设宾馆、会所、培训中心、疗养院以及与风景名胜资源保护无关的投资建设项目。</w:t>
                  </w:r>
                </w:p>
              </w:tc>
              <w:tc>
                <w:tcPr>
                  <w:tcW w:w="1672" w:type="pct"/>
                  <w:tcBorders>
                    <w:tl2br w:val="nil"/>
                    <w:tr2bl w:val="nil"/>
                  </w:tcBorders>
                  <w:noWrap w:val="0"/>
                  <w:vAlign w:val="center"/>
                </w:tcPr>
                <w:p w14:paraId="46612311">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本项目位于项目位于</w:t>
                  </w:r>
                  <w:r>
                    <w:rPr>
                      <w:rFonts w:hint="default" w:ascii="Times New Roman" w:hAnsi="Times New Roman" w:eastAsia="宋体" w:cs="Times New Roman"/>
                      <w:color w:val="auto"/>
                      <w:sz w:val="21"/>
                      <w:szCs w:val="24"/>
                      <w:lang w:eastAsia="zh-CN"/>
                    </w:rPr>
                    <w:t>安宁市县街街道办事处、八街街道办事处等区域</w:t>
                  </w:r>
                  <w:r>
                    <w:rPr>
                      <w:rFonts w:hint="default" w:ascii="Times New Roman" w:hAnsi="Times New Roman" w:eastAsia="宋体" w:cs="Times New Roman"/>
                      <w:color w:val="auto"/>
                      <w:sz w:val="21"/>
                      <w:szCs w:val="24"/>
                    </w:rPr>
                    <w:t>，项目</w:t>
                  </w:r>
                  <w:r>
                    <w:rPr>
                      <w:rFonts w:hint="default" w:ascii="Times New Roman" w:hAnsi="Times New Roman" w:cs="Times New Roman"/>
                      <w:color w:val="auto"/>
                      <w:sz w:val="21"/>
                      <w:szCs w:val="24"/>
                      <w:lang w:val="en-US" w:eastAsia="zh-CN"/>
                    </w:rPr>
                    <w:t>不</w:t>
                  </w:r>
                  <w:r>
                    <w:rPr>
                      <w:rFonts w:hint="default" w:ascii="Times New Roman" w:hAnsi="Times New Roman" w:eastAsia="宋体" w:cs="Times New Roman"/>
                      <w:color w:val="auto"/>
                      <w:sz w:val="21"/>
                      <w:szCs w:val="24"/>
                    </w:rPr>
                    <w:t>涉及</w:t>
                  </w:r>
                  <w:r>
                    <w:rPr>
                      <w:rFonts w:hint="default" w:ascii="Times New Roman" w:hAnsi="Times New Roman" w:eastAsia="宋体" w:cs="Times New Roman"/>
                      <w:color w:val="auto"/>
                      <w:sz w:val="21"/>
                      <w:szCs w:val="24"/>
                      <w:lang w:val="en-US" w:eastAsia="zh-CN"/>
                    </w:rPr>
                    <w:t>车木河水库</w:t>
                  </w:r>
                  <w:r>
                    <w:rPr>
                      <w:rFonts w:hint="default" w:ascii="Times New Roman" w:hAnsi="Times New Roman" w:eastAsia="宋体" w:cs="Times New Roman"/>
                      <w:color w:val="auto"/>
                      <w:sz w:val="21"/>
                      <w:szCs w:val="24"/>
                    </w:rPr>
                    <w:t>饮用水水源保护区</w:t>
                  </w:r>
                  <w:r>
                    <w:rPr>
                      <w:rFonts w:hint="default" w:ascii="Times New Roman" w:hAnsi="Times New Roman" w:eastAsia="宋体" w:cs="Times New Roman"/>
                      <w:color w:val="auto"/>
                      <w:sz w:val="21"/>
                      <w:szCs w:val="24"/>
                      <w:lang w:eastAsia="zh-CN"/>
                    </w:rPr>
                    <w:t>，</w:t>
                  </w:r>
                  <w:r>
                    <w:rPr>
                      <w:rFonts w:hint="default" w:ascii="Times New Roman" w:hAnsi="Times New Roman" w:eastAsia="宋体" w:cs="Times New Roman"/>
                      <w:color w:val="auto"/>
                      <w:sz w:val="21"/>
                      <w:szCs w:val="24"/>
                      <w:lang w:val="en-US" w:eastAsia="zh-CN"/>
                    </w:rPr>
                    <w:t>项目引水管线子工程属于供水设施，同时根据叠图确认，不在车木河水库</w:t>
                  </w:r>
                  <w:r>
                    <w:rPr>
                      <w:rFonts w:hint="default" w:ascii="Times New Roman" w:hAnsi="Times New Roman" w:eastAsia="宋体" w:cs="Times New Roman"/>
                      <w:color w:val="auto"/>
                      <w:sz w:val="21"/>
                      <w:szCs w:val="24"/>
                    </w:rPr>
                    <w:t>水功能一级、二级区的保护区和保留区。</w:t>
                  </w:r>
                </w:p>
              </w:tc>
              <w:tc>
                <w:tcPr>
                  <w:tcW w:w="434" w:type="pct"/>
                  <w:tcBorders>
                    <w:tl2br w:val="nil"/>
                    <w:tr2bl w:val="nil"/>
                  </w:tcBorders>
                  <w:noWrap w:val="0"/>
                  <w:vAlign w:val="center"/>
                </w:tcPr>
                <w:p w14:paraId="31D191CE">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447B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3598D28A">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4</w:t>
                  </w:r>
                </w:p>
              </w:tc>
              <w:tc>
                <w:tcPr>
                  <w:tcW w:w="2588" w:type="pct"/>
                  <w:tcBorders>
                    <w:tl2br w:val="nil"/>
                    <w:tr2bl w:val="nil"/>
                  </w:tcBorders>
                  <w:noWrap w:val="0"/>
                  <w:vAlign w:val="center"/>
                </w:tcPr>
                <w:p w14:paraId="5610C5FA">
                  <w:pPr>
                    <w:spacing w:beforeLines="0" w:afterLines="0"/>
                    <w:jc w:val="center"/>
                    <w:rPr>
                      <w:rFonts w:hint="default" w:ascii="Times New Roman" w:hAnsi="Times New Roman" w:cs="Times New Roman"/>
                      <w:sz w:val="21"/>
                      <w:szCs w:val="21"/>
                    </w:rPr>
                  </w:pPr>
                  <w:r>
                    <w:rPr>
                      <w:rFonts w:hint="default" w:ascii="Times New Roman" w:hAnsi="Times New Roman" w:cs="Times New Roman"/>
                      <w:sz w:val="21"/>
                      <w:szCs w:val="21"/>
                    </w:rPr>
                    <w:t>禁止在饮用水水源一级保护区的岸线和河段范围内新建、改建、扩建与供水设施和保护水源无关的投资建设项目，以及网箱养殖、畜禽养殖、旅游等可能污染饮用水水体的投资建设项目。禁止在饮用水水源二级保护区的岸线和河段范围内新建、改建、扩建排放污染物的投资建设项目。</w:t>
                  </w:r>
                </w:p>
              </w:tc>
              <w:tc>
                <w:tcPr>
                  <w:tcW w:w="1672" w:type="pct"/>
                  <w:tcBorders>
                    <w:tl2br w:val="nil"/>
                    <w:tr2bl w:val="nil"/>
                  </w:tcBorders>
                  <w:noWrap w:val="0"/>
                  <w:vAlign w:val="center"/>
                </w:tcPr>
                <w:p w14:paraId="00738D97">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本项目位于</w:t>
                  </w:r>
                  <w:r>
                    <w:rPr>
                      <w:rFonts w:hint="default" w:ascii="Times New Roman" w:hAnsi="Times New Roman" w:eastAsia="宋体" w:cs="Times New Roman"/>
                      <w:color w:val="auto"/>
                      <w:sz w:val="21"/>
                      <w:szCs w:val="24"/>
                      <w:lang w:eastAsia="zh-CN"/>
                    </w:rPr>
                    <w:t>安宁市县街街道办事处、八街街道办事处等区域</w:t>
                  </w:r>
                  <w:r>
                    <w:rPr>
                      <w:rFonts w:hint="default" w:ascii="Times New Roman" w:hAnsi="Times New Roman" w:eastAsia="宋体" w:cs="Times New Roman"/>
                      <w:color w:val="auto"/>
                      <w:sz w:val="21"/>
                      <w:szCs w:val="24"/>
                    </w:rPr>
                    <w:t>，项目区不涉及水产种质资源保护区及国家湿地公园</w:t>
                  </w:r>
                </w:p>
              </w:tc>
              <w:tc>
                <w:tcPr>
                  <w:tcW w:w="434" w:type="pct"/>
                  <w:tcBorders>
                    <w:tl2br w:val="nil"/>
                    <w:tr2bl w:val="nil"/>
                  </w:tcBorders>
                  <w:noWrap w:val="0"/>
                  <w:vAlign w:val="center"/>
                </w:tcPr>
                <w:p w14:paraId="423A5CD6">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78CE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3E49B1EB">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5</w:t>
                  </w:r>
                </w:p>
              </w:tc>
              <w:tc>
                <w:tcPr>
                  <w:tcW w:w="2588" w:type="pct"/>
                  <w:tcBorders>
                    <w:tl2br w:val="nil"/>
                    <w:tr2bl w:val="nil"/>
                  </w:tcBorders>
                  <w:noWrap w:val="0"/>
                  <w:vAlign w:val="center"/>
                </w:tcPr>
                <w:p w14:paraId="61CDFC74">
                  <w:pPr>
                    <w:spacing w:beforeLines="0" w:afterLines="0"/>
                    <w:jc w:val="center"/>
                    <w:rPr>
                      <w:rFonts w:hint="default" w:ascii="Times New Roman" w:hAnsi="Times New Roman" w:cs="Times New Roman"/>
                      <w:sz w:val="21"/>
                      <w:szCs w:val="21"/>
                    </w:rPr>
                  </w:pPr>
                  <w:r>
                    <w:rPr>
                      <w:rFonts w:hint="default" w:ascii="Times New Roman" w:hAnsi="Times New Roman" w:cs="Times New Roman"/>
                      <w:sz w:val="21"/>
                      <w:szCs w:val="21"/>
                    </w:rPr>
                    <w:t>禁止在水产种质资源保护区的岸线和河段范围内新建围湖造田、围湖造地或围填海等投资建设项目。禁止擅自征收、占用国家湿地公园的土地；禁止在国家湿地公园内挖沙、采矿，以及建设度假村、高尔夫球场等任何不符合主体功能定位的投资建设项目。</w:t>
                  </w:r>
                </w:p>
              </w:tc>
              <w:tc>
                <w:tcPr>
                  <w:tcW w:w="1672" w:type="pct"/>
                  <w:tcBorders>
                    <w:tl2br w:val="nil"/>
                    <w:tr2bl w:val="nil"/>
                  </w:tcBorders>
                  <w:noWrap w:val="0"/>
                  <w:vAlign w:val="center"/>
                </w:tcPr>
                <w:p w14:paraId="6309C0AE">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本项目属于</w:t>
                  </w:r>
                  <w:r>
                    <w:rPr>
                      <w:rFonts w:hint="default" w:ascii="Times New Roman" w:hAnsi="Times New Roman" w:eastAsia="宋体" w:cs="Times New Roman"/>
                      <w:color w:val="auto"/>
                      <w:sz w:val="21"/>
                      <w:szCs w:val="24"/>
                      <w:lang w:val="en-US" w:eastAsia="zh-CN"/>
                    </w:rPr>
                    <w:t>引水管网</w:t>
                  </w:r>
                  <w:r>
                    <w:rPr>
                      <w:rFonts w:hint="default" w:ascii="Times New Roman" w:hAnsi="Times New Roman" w:eastAsia="宋体" w:cs="Times New Roman"/>
                      <w:color w:val="auto"/>
                      <w:sz w:val="21"/>
                      <w:szCs w:val="24"/>
                    </w:rPr>
                    <w:t>建设项目，位于</w:t>
                  </w:r>
                  <w:r>
                    <w:rPr>
                      <w:rFonts w:hint="default" w:ascii="Times New Roman" w:hAnsi="Times New Roman" w:eastAsia="宋体" w:cs="Times New Roman"/>
                      <w:color w:val="auto"/>
                      <w:sz w:val="21"/>
                      <w:szCs w:val="24"/>
                      <w:lang w:eastAsia="zh-CN"/>
                    </w:rPr>
                    <w:t>安宁市县街街道办事处、八街街道办事处等区域</w:t>
                  </w:r>
                  <w:r>
                    <w:rPr>
                      <w:rFonts w:hint="default" w:ascii="Times New Roman" w:hAnsi="Times New Roman" w:eastAsia="宋体" w:cs="Times New Roman"/>
                      <w:color w:val="auto"/>
                      <w:sz w:val="21"/>
                      <w:szCs w:val="24"/>
                    </w:rPr>
                    <w:t>，本项目不在《长江岸线保护和开发利用总体规划》划定的岸线保护区以及《全国重要江河湖泊水功能区划》划定的河段保护区、保留区内</w:t>
                  </w:r>
                </w:p>
              </w:tc>
              <w:tc>
                <w:tcPr>
                  <w:tcW w:w="434" w:type="pct"/>
                  <w:tcBorders>
                    <w:tl2br w:val="nil"/>
                    <w:tr2bl w:val="nil"/>
                  </w:tcBorders>
                  <w:noWrap w:val="0"/>
                  <w:vAlign w:val="center"/>
                </w:tcPr>
                <w:p w14:paraId="0A814D9B">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05A7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31C557C8">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6</w:t>
                  </w:r>
                </w:p>
              </w:tc>
              <w:tc>
                <w:tcPr>
                  <w:tcW w:w="2588" w:type="pct"/>
                  <w:tcBorders>
                    <w:tl2br w:val="nil"/>
                    <w:tr2bl w:val="nil"/>
                  </w:tcBorders>
                  <w:noWrap w:val="0"/>
                  <w:vAlign w:val="center"/>
                </w:tcPr>
                <w:p w14:paraId="5EC9EE3A">
                  <w:pPr>
                    <w:spacing w:beforeLines="0" w:afterLine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rPr>
                    <w:t>禁止违法利用、占用长江流域河湖岸线。禁止在金沙江岸线保护区和保留区内投资建设除事关公共安全及公众利益的防洪护岸、河道治理、供水、生态环境保护、航道整治、国家重要基础设施以外的项目。禁止在金沙江干流、九大高原湖泊保护区、保留区内投资建设不利于水资源及自然生态保护的项目。</w:t>
                  </w:r>
                </w:p>
              </w:tc>
              <w:tc>
                <w:tcPr>
                  <w:tcW w:w="1672" w:type="pct"/>
                  <w:tcBorders>
                    <w:tl2br w:val="nil"/>
                    <w:tr2bl w:val="nil"/>
                  </w:tcBorders>
                  <w:noWrap w:val="0"/>
                  <w:vAlign w:val="center"/>
                </w:tcPr>
                <w:p w14:paraId="0373830A">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本项目位于安宁市县街街道办事处、八街街道办事处等区域，项目为引水管网建设项目，属于民生工程，</w:t>
                  </w:r>
                  <w:r>
                    <w:rPr>
                      <w:rFonts w:hint="default" w:ascii="Times New Roman" w:hAnsi="Times New Roman" w:cs="Times New Roman"/>
                      <w:color w:val="auto"/>
                      <w:sz w:val="21"/>
                      <w:szCs w:val="24"/>
                      <w:highlight w:val="none"/>
                      <w:lang w:val="en-US" w:eastAsia="zh-CN"/>
                    </w:rPr>
                    <w:t>不属于</w:t>
                  </w:r>
                  <w:r>
                    <w:rPr>
                      <w:rFonts w:hint="default" w:ascii="Times New Roman" w:hAnsi="Times New Roman" w:eastAsia="宋体" w:cs="Times New Roman"/>
                      <w:color w:val="auto"/>
                      <w:sz w:val="21"/>
                      <w:szCs w:val="24"/>
                      <w:highlight w:val="none"/>
                      <w:lang w:val="en-US" w:eastAsia="zh-CN"/>
                    </w:rPr>
                    <w:t>长江干支流及湖泊</w:t>
                  </w:r>
                  <w:r>
                    <w:rPr>
                      <w:rFonts w:hint="default" w:ascii="Times New Roman" w:hAnsi="Times New Roman" w:cs="Times New Roman"/>
                      <w:color w:val="auto"/>
                      <w:sz w:val="21"/>
                      <w:szCs w:val="24"/>
                      <w:highlight w:val="none"/>
                      <w:lang w:val="en-US" w:eastAsia="zh-CN"/>
                    </w:rPr>
                    <w:t>区域，同时项目各子项不设置排污口</w:t>
                  </w:r>
                </w:p>
              </w:tc>
              <w:tc>
                <w:tcPr>
                  <w:tcW w:w="434" w:type="pct"/>
                  <w:tcBorders>
                    <w:tl2br w:val="nil"/>
                    <w:tr2bl w:val="nil"/>
                  </w:tcBorders>
                  <w:noWrap w:val="0"/>
                  <w:vAlign w:val="center"/>
                </w:tcPr>
                <w:p w14:paraId="7EBB4B14">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符合</w:t>
                  </w:r>
                </w:p>
              </w:tc>
            </w:tr>
            <w:tr w14:paraId="044C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1C259CAE">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7</w:t>
                  </w:r>
                </w:p>
              </w:tc>
              <w:tc>
                <w:tcPr>
                  <w:tcW w:w="2588" w:type="pct"/>
                  <w:tcBorders>
                    <w:tl2br w:val="nil"/>
                    <w:tr2bl w:val="nil"/>
                  </w:tcBorders>
                  <w:noWrap w:val="0"/>
                  <w:vAlign w:val="center"/>
                </w:tcPr>
                <w:p w14:paraId="01B03CA9">
                  <w:pPr>
                    <w:spacing w:beforeLines="0" w:afterLine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rPr>
                    <w:t>禁止在金沙江干流、长江一级支流建设除党中央、国务院、国家投资主管部门、省级有关部门批复同意以外的过江基础设施项目；禁止未经许可在金沙江干流、长江一级支流、九大高原湖泊流域新设、改设或扩大排污口。</w:t>
                  </w:r>
                </w:p>
              </w:tc>
              <w:tc>
                <w:tcPr>
                  <w:tcW w:w="1672" w:type="pct"/>
                  <w:tcBorders>
                    <w:tl2br w:val="nil"/>
                    <w:tr2bl w:val="nil"/>
                  </w:tcBorders>
                  <w:noWrap w:val="0"/>
                  <w:vAlign w:val="center"/>
                </w:tcPr>
                <w:p w14:paraId="54A7B48A">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本项目属于引水管网建设项目，不</w:t>
                  </w:r>
                  <w:r>
                    <w:rPr>
                      <w:rFonts w:hint="default" w:ascii="Times New Roman" w:hAnsi="Times New Roman" w:cs="Times New Roman"/>
                      <w:color w:val="auto"/>
                      <w:sz w:val="21"/>
                      <w:szCs w:val="24"/>
                      <w:highlight w:val="none"/>
                      <w:lang w:val="en-US" w:eastAsia="zh-CN"/>
                    </w:rPr>
                    <w:t>涉及</w:t>
                  </w:r>
                  <w:r>
                    <w:rPr>
                      <w:rFonts w:hint="default" w:ascii="Times New Roman" w:hAnsi="Times New Roman" w:eastAsia="宋体" w:cs="Times New Roman"/>
                      <w:color w:val="auto"/>
                      <w:sz w:val="21"/>
                      <w:szCs w:val="24"/>
                      <w:highlight w:val="none"/>
                      <w:lang w:val="en-US" w:eastAsia="zh-CN"/>
                    </w:rPr>
                    <w:t>生产性捕捞</w:t>
                  </w:r>
                  <w:r>
                    <w:rPr>
                      <w:rFonts w:hint="default" w:ascii="Times New Roman" w:hAnsi="Times New Roman" w:cs="Times New Roman"/>
                      <w:color w:val="auto"/>
                      <w:sz w:val="21"/>
                      <w:szCs w:val="24"/>
                      <w:highlight w:val="none"/>
                      <w:lang w:val="en-US" w:eastAsia="zh-CN"/>
                    </w:rPr>
                    <w:t>活动</w:t>
                  </w:r>
                </w:p>
              </w:tc>
              <w:tc>
                <w:tcPr>
                  <w:tcW w:w="434" w:type="pct"/>
                  <w:tcBorders>
                    <w:tl2br w:val="nil"/>
                    <w:tr2bl w:val="nil"/>
                  </w:tcBorders>
                  <w:noWrap w:val="0"/>
                  <w:vAlign w:val="center"/>
                </w:tcPr>
                <w:p w14:paraId="26BFC0B1">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符合</w:t>
                  </w:r>
                </w:p>
              </w:tc>
            </w:tr>
            <w:tr w14:paraId="14E6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0D252EAF">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8</w:t>
                  </w:r>
                </w:p>
              </w:tc>
              <w:tc>
                <w:tcPr>
                  <w:tcW w:w="2588" w:type="pct"/>
                  <w:tcBorders>
                    <w:tl2br w:val="nil"/>
                    <w:tr2bl w:val="nil"/>
                  </w:tcBorders>
                  <w:noWrap w:val="0"/>
                  <w:vAlign w:val="center"/>
                </w:tcPr>
                <w:p w14:paraId="4D8FE177">
                  <w:pPr>
                    <w:spacing w:beforeLines="0" w:afterLine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rPr>
                    <w:t>禁止在金沙江干流、长江一级支流、水生生物保护区和长江流域禁捕水域开展天然渔业资源生产性捕捞。</w:t>
                  </w:r>
                </w:p>
              </w:tc>
              <w:tc>
                <w:tcPr>
                  <w:tcW w:w="1672" w:type="pct"/>
                  <w:tcBorders>
                    <w:tl2br w:val="nil"/>
                    <w:tr2bl w:val="nil"/>
                  </w:tcBorders>
                  <w:noWrap w:val="0"/>
                  <w:vAlign w:val="center"/>
                </w:tcPr>
                <w:p w14:paraId="25007445">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本项目属于引水管网建设项目，不属于左栏所列禁止建设项目范畴</w:t>
                  </w:r>
                </w:p>
              </w:tc>
              <w:tc>
                <w:tcPr>
                  <w:tcW w:w="434" w:type="pct"/>
                  <w:tcBorders>
                    <w:tl2br w:val="nil"/>
                    <w:tr2bl w:val="nil"/>
                  </w:tcBorders>
                  <w:noWrap w:val="0"/>
                  <w:vAlign w:val="center"/>
                </w:tcPr>
                <w:p w14:paraId="2780086C">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符合</w:t>
                  </w:r>
                </w:p>
              </w:tc>
            </w:tr>
            <w:tr w14:paraId="55CF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5E4326C1">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9</w:t>
                  </w:r>
                </w:p>
              </w:tc>
              <w:tc>
                <w:tcPr>
                  <w:tcW w:w="2588" w:type="pct"/>
                  <w:tcBorders>
                    <w:tl2br w:val="nil"/>
                    <w:tr2bl w:val="nil"/>
                  </w:tcBorders>
                  <w:noWrap w:val="0"/>
                  <w:vAlign w:val="center"/>
                </w:tcPr>
                <w:p w14:paraId="08629A6E">
                  <w:pPr>
                    <w:spacing w:beforeLines="0" w:afterLine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rPr>
                    <w:t>禁止在金沙江干流，长江一级支流和九大高原湖泊岸线一公里范围内新建、扩建化工园区和化工项目。禁止在金沙江干流岸线三公里范围内和长江一级支流岸线一公里范围内新建、改建、扩建尾矿库、冶炼渣库和磷石膏库，以提升安全、生态环境保护水平为目的的改建除外。</w:t>
                  </w:r>
                </w:p>
              </w:tc>
              <w:tc>
                <w:tcPr>
                  <w:tcW w:w="1672" w:type="pct"/>
                  <w:tcBorders>
                    <w:tl2br w:val="nil"/>
                    <w:tr2bl w:val="nil"/>
                  </w:tcBorders>
                  <w:noWrap w:val="0"/>
                  <w:vAlign w:val="center"/>
                </w:tcPr>
                <w:p w14:paraId="09B97A35">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本项目属于引水管网建设项目，不属于左栏所列禁止建设项目范畴，符合国家产业政策</w:t>
                  </w:r>
                </w:p>
              </w:tc>
              <w:tc>
                <w:tcPr>
                  <w:tcW w:w="434" w:type="pct"/>
                  <w:tcBorders>
                    <w:tl2br w:val="nil"/>
                    <w:tr2bl w:val="nil"/>
                  </w:tcBorders>
                  <w:noWrap w:val="0"/>
                  <w:vAlign w:val="center"/>
                </w:tcPr>
                <w:p w14:paraId="6EF44676">
                  <w:pPr>
                    <w:spacing w:beforeLines="0" w:afterLines="0"/>
                    <w:jc w:val="center"/>
                    <w:rPr>
                      <w:rFonts w:hint="default" w:ascii="Times New Roman" w:hAnsi="Times New Roman" w:eastAsia="宋体" w:cs="Times New Roman"/>
                      <w:color w:val="auto"/>
                      <w:sz w:val="21"/>
                      <w:szCs w:val="24"/>
                      <w:lang w:eastAsia="zh-CN"/>
                    </w:rPr>
                  </w:pPr>
                  <w:r>
                    <w:rPr>
                      <w:rFonts w:hint="default" w:ascii="Times New Roman" w:hAnsi="Times New Roman" w:eastAsia="宋体" w:cs="Times New Roman"/>
                      <w:color w:val="auto"/>
                      <w:sz w:val="21"/>
                      <w:szCs w:val="24"/>
                    </w:rPr>
                    <w:t>符合</w:t>
                  </w:r>
                </w:p>
              </w:tc>
            </w:tr>
            <w:tr w14:paraId="3DE9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43224EDF">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10</w:t>
                  </w:r>
                </w:p>
              </w:tc>
              <w:tc>
                <w:tcPr>
                  <w:tcW w:w="2588" w:type="pct"/>
                  <w:tcBorders>
                    <w:tl2br w:val="nil"/>
                    <w:tr2bl w:val="nil"/>
                  </w:tcBorders>
                  <w:noWrap w:val="0"/>
                  <w:vAlign w:val="center"/>
                </w:tcPr>
                <w:p w14:paraId="7D6231A0">
                  <w:pPr>
                    <w:spacing w:beforeLines="0" w:afterLine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rPr>
                    <w:t>禁止在合规园区外新建、扩建钢铁、石化、化工、焦化、建材、有色、制浆造纸行业中的高污染项目。</w:t>
                  </w:r>
                </w:p>
              </w:tc>
              <w:tc>
                <w:tcPr>
                  <w:tcW w:w="1672" w:type="pct"/>
                  <w:tcBorders>
                    <w:tl2br w:val="nil"/>
                    <w:tr2bl w:val="nil"/>
                  </w:tcBorders>
                  <w:noWrap w:val="0"/>
                  <w:vAlign w:val="center"/>
                </w:tcPr>
                <w:p w14:paraId="3ADB3B45">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本项目属于引水管网建设项目，不属于左栏所列禁止建设项目范畴</w:t>
                  </w:r>
                </w:p>
              </w:tc>
              <w:tc>
                <w:tcPr>
                  <w:tcW w:w="434" w:type="pct"/>
                  <w:tcBorders>
                    <w:tl2br w:val="nil"/>
                    <w:tr2bl w:val="nil"/>
                  </w:tcBorders>
                  <w:noWrap w:val="0"/>
                  <w:vAlign w:val="center"/>
                </w:tcPr>
                <w:p w14:paraId="68383D14">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7343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4FB4803A">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11</w:t>
                  </w:r>
                </w:p>
              </w:tc>
              <w:tc>
                <w:tcPr>
                  <w:tcW w:w="2588" w:type="pct"/>
                  <w:tcBorders>
                    <w:tl2br w:val="nil"/>
                    <w:tr2bl w:val="nil"/>
                  </w:tcBorders>
                  <w:noWrap w:val="0"/>
                  <w:vAlign w:val="center"/>
                </w:tcPr>
                <w:p w14:paraId="0BDF353F">
                  <w:pPr>
                    <w:spacing w:beforeLines="0" w:afterLine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rPr>
                    <w:t>禁止新建、扩建不符合国家石化、现代煤化工等产业布局规划的项目。禁止列入《云南省城镇人口密集区危险化学品生产企业搬迁改造名单》的搬迁改造企业在原址新建、扩建危险化学品生产项目。</w:t>
                  </w:r>
                </w:p>
              </w:tc>
              <w:tc>
                <w:tcPr>
                  <w:tcW w:w="1672" w:type="pct"/>
                  <w:tcBorders>
                    <w:tl2br w:val="nil"/>
                    <w:tr2bl w:val="nil"/>
                  </w:tcBorders>
                  <w:noWrap w:val="0"/>
                  <w:vAlign w:val="center"/>
                </w:tcPr>
                <w:p w14:paraId="0007441F">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本项目属于引水管网建设项目，不属于左栏所列禁止建设项目范畴</w:t>
                  </w:r>
                </w:p>
              </w:tc>
              <w:tc>
                <w:tcPr>
                  <w:tcW w:w="434" w:type="pct"/>
                  <w:tcBorders>
                    <w:tl2br w:val="nil"/>
                    <w:tr2bl w:val="nil"/>
                  </w:tcBorders>
                  <w:noWrap w:val="0"/>
                  <w:vAlign w:val="center"/>
                </w:tcPr>
                <w:p w14:paraId="6B3A1768">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202E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 w:type="pct"/>
                  <w:tcBorders>
                    <w:tl2br w:val="nil"/>
                    <w:tr2bl w:val="nil"/>
                  </w:tcBorders>
                  <w:noWrap w:val="0"/>
                  <w:vAlign w:val="center"/>
                </w:tcPr>
                <w:p w14:paraId="1260DDDF">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12</w:t>
                  </w:r>
                </w:p>
              </w:tc>
              <w:tc>
                <w:tcPr>
                  <w:tcW w:w="2588" w:type="pct"/>
                  <w:tcBorders>
                    <w:tl2br w:val="nil"/>
                    <w:tr2bl w:val="nil"/>
                  </w:tcBorders>
                  <w:noWrap w:val="0"/>
                  <w:vAlign w:val="center"/>
                </w:tcPr>
                <w:p w14:paraId="67EDC617">
                  <w:pPr>
                    <w:spacing w:beforeLines="0" w:afterLine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rPr>
                    <w:t>禁止新建、扩建法律法规和相关政策明令禁止的落后产能项目，依法依规关停退出能耗、环保、质量、安全不达标产能和技术落后产能。禁止新建、扩建不符合国家产能置换要求的过剩产能行业的项目。禁止新建、扩建不符合要求的高耗能、高排放项目，推动退出重点高耗能行业“限制类”产能。禁止建设高毒高残留以及对环境影响大的农药原药生产装置，严控尿素、磷铵、电石、焦炭、黄磷、烧碱、纯碱、聚氯乙烯等行业新增产能。</w:t>
                  </w:r>
                </w:p>
              </w:tc>
              <w:tc>
                <w:tcPr>
                  <w:tcW w:w="1672" w:type="pct"/>
                  <w:tcBorders>
                    <w:tl2br w:val="nil"/>
                    <w:tr2bl w:val="nil"/>
                  </w:tcBorders>
                  <w:noWrap w:val="0"/>
                  <w:vAlign w:val="center"/>
                </w:tcPr>
                <w:p w14:paraId="61F8D7AF">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本项目符合法律法规及相关政策规定。</w:t>
                  </w:r>
                </w:p>
              </w:tc>
              <w:tc>
                <w:tcPr>
                  <w:tcW w:w="434" w:type="pct"/>
                  <w:tcBorders>
                    <w:tl2br w:val="nil"/>
                    <w:tr2bl w:val="nil"/>
                  </w:tcBorders>
                  <w:noWrap w:val="0"/>
                  <w:vAlign w:val="center"/>
                </w:tcPr>
                <w:p w14:paraId="32E60E43">
                  <w:pPr>
                    <w:spacing w:beforeLines="0" w:afterLine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符合</w:t>
                  </w:r>
                </w:p>
              </w:tc>
            </w:tr>
          </w:tbl>
          <w:p w14:paraId="657D6DD1">
            <w:pPr>
              <w:keepNext w:val="0"/>
              <w:keepLines w:val="0"/>
              <w:pageBreakBefore w:val="0"/>
              <w:widowControl w:val="0"/>
              <w:kinsoku/>
              <w:wordWrap/>
              <w:overflowPunct/>
              <w:topLinePunct w:val="0"/>
              <w:autoSpaceDE/>
              <w:autoSpaceDN/>
              <w:bidi w:val="0"/>
              <w:adjustRightInd/>
              <w:snapToGrid/>
              <w:spacing w:before="157" w:beforeLines="50" w:afterLines="0"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根据</w:t>
            </w:r>
            <w:r>
              <w:rPr>
                <w:rFonts w:hint="default" w:ascii="Times New Roman" w:hAnsi="Times New Roman" w:cs="Times New Roman"/>
                <w:color w:val="auto"/>
                <w:sz w:val="24"/>
                <w:szCs w:val="24"/>
                <w:lang w:val="en-US" w:eastAsia="zh-CN"/>
              </w:rPr>
              <w:t>上</w:t>
            </w:r>
            <w:r>
              <w:rPr>
                <w:rFonts w:hint="default" w:ascii="Times New Roman" w:hAnsi="Times New Roman" w:eastAsia="宋体" w:cs="Times New Roman"/>
                <w:color w:val="auto"/>
                <w:sz w:val="24"/>
                <w:szCs w:val="24"/>
              </w:rPr>
              <w:t>表分析结果，本项目与《</w:t>
            </w:r>
            <w:r>
              <w:rPr>
                <w:rFonts w:hint="default" w:ascii="Times New Roman" w:hAnsi="Times New Roman" w:cs="Times New Roman"/>
                <w:color w:val="auto"/>
                <w:sz w:val="24"/>
                <w:szCs w:val="24"/>
                <w:lang w:val="en-US" w:eastAsia="zh-CN"/>
              </w:rPr>
              <w:t>云南省</w:t>
            </w:r>
            <w:r>
              <w:rPr>
                <w:rFonts w:hint="default" w:ascii="Times New Roman" w:hAnsi="Times New Roman" w:eastAsia="宋体" w:cs="Times New Roman"/>
                <w:color w:val="auto"/>
                <w:sz w:val="24"/>
                <w:szCs w:val="24"/>
              </w:rPr>
              <w:t>长江经济带发展负面清单指南</w:t>
            </w:r>
            <w:r>
              <w:rPr>
                <w:rFonts w:hint="default" w:ascii="Times New Roman" w:hAnsi="Times New Roman" w:cs="Times New Roman"/>
                <w:color w:val="auto"/>
                <w:sz w:val="24"/>
                <w:szCs w:val="24"/>
                <w:lang w:val="en-US" w:eastAsia="zh-CN"/>
              </w:rPr>
              <w:t>实施细则</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rPr>
              <w:t>试行</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2022年版</w:t>
            </w:r>
            <w:r>
              <w:rPr>
                <w:rFonts w:hint="default" w:ascii="Times New Roman" w:hAnsi="Times New Roman" w:eastAsia="宋体" w:cs="Times New Roman"/>
                <w:color w:val="auto"/>
                <w:sz w:val="24"/>
                <w:szCs w:val="24"/>
              </w:rPr>
              <w:t>）》符合。</w:t>
            </w:r>
          </w:p>
          <w:p w14:paraId="65ACD38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jc w:val="both"/>
              <w:textAlignment w:val="auto"/>
              <w:rPr>
                <w:rFonts w:hint="default" w:ascii="Times New Roman" w:hAnsi="Times New Roman" w:eastAsia="宋体" w:cs="Times New Roman"/>
                <w:b/>
                <w:bCs w:val="0"/>
                <w:color w:val="auto"/>
                <w:sz w:val="24"/>
                <w:szCs w:val="24"/>
                <w:lang w:val="en-US" w:eastAsia="zh-CN"/>
              </w:rPr>
            </w:pPr>
            <w:r>
              <w:rPr>
                <w:rFonts w:hint="default" w:ascii="Times New Roman" w:hAnsi="Times New Roman" w:eastAsia="宋体" w:cs="Times New Roman"/>
                <w:b/>
                <w:bCs w:val="0"/>
                <w:color w:val="auto"/>
                <w:sz w:val="24"/>
                <w:szCs w:val="24"/>
                <w:lang w:val="en-US" w:eastAsia="zh-CN"/>
              </w:rPr>
              <w:t>3、与</w:t>
            </w:r>
            <w:r>
              <w:rPr>
                <w:rFonts w:hint="default" w:ascii="Times New Roman" w:hAnsi="Times New Roman" w:eastAsia="宋体" w:cs="Times New Roman"/>
                <w:b/>
                <w:bCs w:val="0"/>
                <w:color w:val="auto"/>
                <w:sz w:val="24"/>
                <w:szCs w:val="24"/>
                <w:lang w:eastAsia="zh-CN"/>
              </w:rPr>
              <w:t>《</w:t>
            </w:r>
            <w:r>
              <w:rPr>
                <w:rFonts w:hint="default" w:ascii="Times New Roman" w:hAnsi="Times New Roman" w:eastAsia="宋体" w:cs="Times New Roman"/>
                <w:b/>
                <w:bCs w:val="0"/>
                <w:color w:val="auto"/>
                <w:sz w:val="24"/>
                <w:szCs w:val="24"/>
                <w:lang w:val="en-US" w:eastAsia="zh-CN"/>
              </w:rPr>
              <w:t>安宁市车木河水源地环境保护规划</w:t>
            </w:r>
            <w:r>
              <w:rPr>
                <w:rFonts w:hint="default" w:ascii="Times New Roman" w:hAnsi="Times New Roman" w:eastAsia="宋体" w:cs="Times New Roman"/>
                <w:b/>
                <w:bCs w:val="0"/>
                <w:color w:val="auto"/>
                <w:sz w:val="24"/>
                <w:szCs w:val="24"/>
                <w:lang w:eastAsia="zh-CN"/>
              </w:rPr>
              <w:t>》</w:t>
            </w:r>
            <w:r>
              <w:rPr>
                <w:rFonts w:hint="eastAsia" w:ascii="Times New Roman" w:hAnsi="Times New Roman" w:cs="Times New Roman"/>
                <w:b/>
                <w:bCs w:val="0"/>
                <w:color w:val="auto"/>
                <w:sz w:val="24"/>
                <w:szCs w:val="24"/>
                <w:lang w:val="en-US" w:eastAsia="zh-CN"/>
              </w:rPr>
              <w:t>符合</w:t>
            </w:r>
            <w:r>
              <w:rPr>
                <w:rFonts w:hint="default" w:ascii="Times New Roman" w:hAnsi="Times New Roman" w:eastAsia="宋体" w:cs="Times New Roman"/>
                <w:b/>
                <w:bCs w:val="0"/>
                <w:color w:val="auto"/>
                <w:sz w:val="24"/>
                <w:szCs w:val="24"/>
                <w:lang w:val="en-US" w:eastAsia="zh-CN"/>
              </w:rPr>
              <w:t>性分析</w:t>
            </w:r>
          </w:p>
          <w:p w14:paraId="15A401A9">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val="en-US" w:eastAsia="zh-CN"/>
              </w:rPr>
              <w:t>3.1</w:t>
            </w:r>
            <w:r>
              <w:rPr>
                <w:rFonts w:hint="default" w:ascii="Times New Roman" w:hAnsi="Times New Roman" w:eastAsia="宋体" w:cs="Times New Roman"/>
                <w:b/>
                <w:bCs/>
                <w:color w:val="auto"/>
                <w:sz w:val="24"/>
                <w:szCs w:val="24"/>
                <w:lang w:eastAsia="zh-CN"/>
              </w:rPr>
              <w:t>《安宁市车木河水源地环境保护规划》相关要求</w:t>
            </w:r>
          </w:p>
          <w:p w14:paraId="38CD8E5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根据《安宁市车木河水源地环境保护规划》，对各级保护区的管理要求与控制措施如下：</w:t>
            </w:r>
          </w:p>
          <w:p w14:paraId="3CCB492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1）一级保护区管理要求与控制措施</w:t>
            </w:r>
          </w:p>
          <w:p w14:paraId="41911BB9">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一级保护区地表水休按GB3838-2002《地表水环境质量标准》Ⅱ类标准进行保护。一级保护区为核心保护区域，禁止一切对水体可能产生污染的行为，包括从事种植、放养禽畜、旅游等；现有耕地必须退耕；不允许新增、扩建排污口，原有排污口必须拆除。</w:t>
            </w:r>
          </w:p>
          <w:p w14:paraId="1E46C7F3">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一级保护区内，应实施封闭式管理，拆除一级保护区与水源保护不相关的建</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构）筑物，建成水库与河道天然防护体系。逐步搬迁一级保护区内人口。</w:t>
            </w:r>
          </w:p>
          <w:p w14:paraId="77A64080">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2）二级、准保护区管理要求与控制措施</w:t>
            </w:r>
          </w:p>
          <w:p w14:paraId="763527DE">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二级保护区地表水体按GB3838-2002《地表水环境质量标准》Ⅲ类标准进行保护，同时应保证一级保护区水质能满足规定的标准。限制对水体可能产生污染影响的行为：禁止新增、扩建排污口；原有排污口必须进行改造，削减污染物排放量。</w:t>
            </w:r>
          </w:p>
          <w:p w14:paraId="276C359F">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准保护区内，直接或间接向水域排放废水，必须符合国家和地方规定的废水排放标准。同时必须满足区域环境总量控制要求。当排放总量不能保证保护区内水质满足规定的标准时，必须削减排污负荷。</w:t>
            </w:r>
          </w:p>
          <w:p w14:paraId="7F437CFC">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二级保护区和准保护区内，应限制人口的机械增长，鼓励水源保护区内人口外迁，采用政策引导、政策性移民的方式减少水源保护区内总人口。应妥善处理生活垃圾，建设农村分散污水处理设施。调整农业产业结构，发展生态农业，科学种田，严格控制化肥、农药的使用。大力发展绿色环保食品，种植无公害农产品。通过优化整合资源，综合利用各类可再生资源，完善农村环境基础设施建设。有效地控制面源污染，保护生态资源和森林植被，在建设与发展中保护环境和水资源。</w:t>
            </w:r>
          </w:p>
          <w:p w14:paraId="40BA8F1E">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3）饮用水水源地二级保护区污染防治工程</w:t>
            </w:r>
          </w:p>
          <w:p w14:paraId="7E9021F6">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根据入河污染源的情况，建议在水库上游入水库水适当距离布设水生植物净化池，在池中布设针对性水生植物，能降解、转化水体中的污染物，修复水生态系统，净化和过滤入库的地表径流，降低水污染物浓度，提高入库水的质量。在水面及河道与农田</w:t>
            </w:r>
            <w:r>
              <w:rPr>
                <w:rFonts w:hint="default" w:ascii="Times New Roman" w:hAnsi="Times New Roman" w:cs="Times New Roman"/>
                <w:color w:val="auto"/>
                <w:sz w:val="24"/>
                <w:szCs w:val="24"/>
                <w:lang w:eastAsia="zh-CN"/>
              </w:rPr>
              <w:t>间</w:t>
            </w:r>
            <w:r>
              <w:rPr>
                <w:rFonts w:hint="default" w:ascii="Times New Roman" w:hAnsi="Times New Roman" w:eastAsia="宋体" w:cs="Times New Roman"/>
                <w:color w:val="auto"/>
                <w:sz w:val="24"/>
                <w:szCs w:val="24"/>
                <w:lang w:eastAsia="zh-CN"/>
              </w:rPr>
              <w:t>恢复一定宽度的湿地，对农田面源污染物起到净化作用。</w:t>
            </w:r>
          </w:p>
          <w:p w14:paraId="5B738AFE">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val="en-US" w:eastAsia="zh-CN"/>
              </w:rPr>
              <w:t>3.2</w:t>
            </w:r>
            <w:r>
              <w:rPr>
                <w:rFonts w:hint="default" w:ascii="Times New Roman" w:hAnsi="Times New Roman" w:eastAsia="宋体" w:cs="Times New Roman"/>
                <w:b/>
                <w:bCs/>
                <w:color w:val="auto"/>
                <w:sz w:val="24"/>
                <w:szCs w:val="24"/>
                <w:lang w:eastAsia="zh-CN"/>
              </w:rPr>
              <w:t>《安宁市人民政府关于加强车木河水库饮用水源保护的通告》相关要求</w:t>
            </w:r>
          </w:p>
          <w:p w14:paraId="25F4CB2A">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根据《安宁市人民政府关于加强车木河水库饮用水源保护的通告》，对各级保护区的管理要求与控制措施如下：</w:t>
            </w:r>
          </w:p>
          <w:p w14:paraId="23AB51F0">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1）在准保护区禁止下列行为</w:t>
            </w:r>
          </w:p>
          <w:p w14:paraId="1482D3FC">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新建、扩建直接或</w:t>
            </w:r>
            <w:r>
              <w:rPr>
                <w:rFonts w:hint="default" w:ascii="Times New Roman" w:hAnsi="Times New Roman" w:cs="Times New Roman"/>
                <w:color w:val="auto"/>
                <w:sz w:val="24"/>
                <w:szCs w:val="24"/>
                <w:lang w:eastAsia="zh-CN"/>
              </w:rPr>
              <w:t>间接</w:t>
            </w:r>
            <w:r>
              <w:rPr>
                <w:rFonts w:hint="default" w:ascii="Times New Roman" w:hAnsi="Times New Roman" w:eastAsia="宋体" w:cs="Times New Roman"/>
                <w:color w:val="auto"/>
                <w:sz w:val="24"/>
                <w:szCs w:val="24"/>
                <w:lang w:eastAsia="zh-CN"/>
              </w:rPr>
              <w:t>向水体排放污染物的建设项目在禁止开垦区内开垦土地：盗伐滥伐林木，破坏水源涵养林、防护林和保护水源的其他植被；损毁防汛、水文、水质监测、环境监测等设施；使用高毒、高残留农药；使用含磷洗涤用品及不可自然降解的塑料制品；移动或者破坏界桩、界碎、防护设施。</w:t>
            </w:r>
          </w:p>
          <w:p w14:paraId="589DD24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2）在二级保护区内，除遵守准保护区内的规定外，还禁止下列行为</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新建、扩建危害水源、污染水质的建设项目建设规模化音禽养殖场破坏水库枢纽工程、</w:t>
            </w:r>
            <w:r>
              <w:rPr>
                <w:rFonts w:hint="default" w:ascii="Times New Roman" w:hAnsi="Times New Roman" w:cs="Times New Roman"/>
                <w:color w:val="auto"/>
                <w:sz w:val="24"/>
                <w:szCs w:val="24"/>
                <w:lang w:eastAsia="zh-CN"/>
              </w:rPr>
              <w:t>堤防</w:t>
            </w:r>
            <w:r>
              <w:rPr>
                <w:rFonts w:hint="default" w:ascii="Times New Roman" w:hAnsi="Times New Roman" w:eastAsia="宋体" w:cs="Times New Roman"/>
                <w:color w:val="auto"/>
                <w:sz w:val="24"/>
                <w:szCs w:val="24"/>
                <w:lang w:eastAsia="zh-CN"/>
              </w:rPr>
              <w:t>、护岸等；旅游、露营、野炊：设置储存有害化学物品的仓库；未经法定部门审批、无安全防护措施运输酸液、碱液、毒性液体、有机溶剂、油类、高毒高残留农药等刑毒和危险物品的车辆通行；采矿、采石、挖沙、取土等危害水质和危害</w:t>
            </w:r>
            <w:r>
              <w:rPr>
                <w:rFonts w:hint="default" w:ascii="Times New Roman" w:hAnsi="Times New Roman" w:cs="Times New Roman"/>
                <w:color w:val="auto"/>
                <w:sz w:val="24"/>
                <w:szCs w:val="24"/>
                <w:lang w:eastAsia="zh-CN"/>
              </w:rPr>
              <w:t>堤防</w:t>
            </w:r>
            <w:r>
              <w:rPr>
                <w:rFonts w:hint="default" w:ascii="Times New Roman" w:hAnsi="Times New Roman" w:eastAsia="宋体" w:cs="Times New Roman"/>
                <w:color w:val="auto"/>
                <w:sz w:val="24"/>
                <w:szCs w:val="24"/>
                <w:lang w:eastAsia="zh-CN"/>
              </w:rPr>
              <w:t>、护岸的活动。</w:t>
            </w:r>
          </w:p>
          <w:p w14:paraId="31CA09B0">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3）在一级保护区内，除遵守准保护区、二级保护区内的规定外，还禁止下列行为：</w:t>
            </w:r>
          </w:p>
          <w:p w14:paraId="0CFB9C49">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在已征用的国有土地上擅自从事种植、养殖和建盖构筑物等；设置排污口，直接或间接向水体排放污水、废液：与水源保护无关的产生污染的船只下水：向水域、陆域倾倒、堆放、掩埋废液、废渣、病死畜禽及其他废弃物在水域或者临近水源的地方洗刷车辆、衣物、蔬菜、水果和其他器具；毒鱼、炸鱼、电鱼、钓鱼、捕鱼、排猎其他水生动物和水禽；围滩造田、围库造塘、网箱养殖和放养畜禽；设置商业、饮食、服务网点；可能污染水源的其他行为。</w:t>
            </w:r>
          </w:p>
          <w:p w14:paraId="13A85704">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val="en-US" w:eastAsia="zh-CN"/>
              </w:rPr>
              <w:t>3.3</w:t>
            </w:r>
            <w:r>
              <w:rPr>
                <w:rFonts w:hint="eastAsia" w:ascii="Times New Roman" w:hAnsi="Times New Roman" w:cs="Times New Roman"/>
                <w:b/>
                <w:bCs/>
                <w:color w:val="auto"/>
                <w:sz w:val="24"/>
                <w:szCs w:val="24"/>
                <w:lang w:eastAsia="zh-CN"/>
              </w:rPr>
              <w:t>符合</w:t>
            </w:r>
            <w:r>
              <w:rPr>
                <w:rFonts w:hint="default" w:ascii="Times New Roman" w:hAnsi="Times New Roman" w:eastAsia="宋体" w:cs="Times New Roman"/>
                <w:b/>
                <w:bCs/>
                <w:color w:val="auto"/>
                <w:sz w:val="24"/>
                <w:szCs w:val="24"/>
                <w:lang w:eastAsia="zh-CN"/>
              </w:rPr>
              <w:t>性分析</w:t>
            </w:r>
          </w:p>
          <w:p w14:paraId="16C1A50D">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本次评价将项目区位置与车木河水库饮用水源地保护区位置进行叠图可知，</w:t>
            </w:r>
            <w:r>
              <w:rPr>
                <w:rFonts w:hint="default" w:ascii="Times New Roman" w:hAnsi="Times New Roman" w:cs="Times New Roman"/>
                <w:b w:val="0"/>
                <w:bCs w:val="0"/>
                <w:color w:val="auto"/>
                <w:sz w:val="24"/>
                <w:szCs w:val="24"/>
                <w:lang w:val="en-US" w:eastAsia="zh-CN"/>
              </w:rPr>
              <w:t>本次工程</w:t>
            </w:r>
            <w:r>
              <w:rPr>
                <w:rFonts w:hint="default" w:ascii="Times New Roman" w:hAnsi="Times New Roman" w:cs="Times New Roman"/>
                <w:color w:val="auto"/>
                <w:sz w:val="24"/>
                <w:szCs w:val="24"/>
                <w:lang w:val="en-US" w:eastAsia="zh-CN"/>
              </w:rPr>
              <w:t>所有实施内容均</w:t>
            </w:r>
            <w:r>
              <w:rPr>
                <w:rFonts w:hint="default" w:ascii="Times New Roman" w:hAnsi="Times New Roman" w:eastAsia="宋体" w:cs="Times New Roman"/>
                <w:color w:val="auto"/>
                <w:sz w:val="24"/>
                <w:szCs w:val="24"/>
                <w:lang w:val="en-US" w:eastAsia="zh-CN"/>
              </w:rPr>
              <w:t>不在</w:t>
            </w:r>
            <w:r>
              <w:rPr>
                <w:rFonts w:hint="default" w:ascii="Times New Roman" w:hAnsi="Times New Roman" w:eastAsia="宋体" w:cs="Times New Roman"/>
                <w:color w:val="auto"/>
                <w:sz w:val="24"/>
                <w:szCs w:val="24"/>
                <w:lang w:eastAsia="zh-CN"/>
              </w:rPr>
              <w:t>车木河水库饮用水源地保护区的一级保护区和二级保护区</w:t>
            </w:r>
            <w:r>
              <w:rPr>
                <w:rFonts w:hint="default" w:ascii="Times New Roman" w:hAnsi="Times New Roman" w:eastAsia="宋体" w:cs="Times New Roman"/>
                <w:color w:val="auto"/>
                <w:sz w:val="24"/>
                <w:szCs w:val="24"/>
                <w:lang w:val="en-US" w:eastAsia="zh-CN"/>
              </w:rPr>
              <w:t>及准</w:t>
            </w:r>
            <w:r>
              <w:rPr>
                <w:rFonts w:hint="default" w:ascii="Times New Roman" w:hAnsi="Times New Roman" w:eastAsia="宋体" w:cs="Times New Roman"/>
                <w:color w:val="auto"/>
                <w:sz w:val="24"/>
                <w:szCs w:val="24"/>
                <w:lang w:eastAsia="zh-CN"/>
              </w:rPr>
              <w:t>保护区</w:t>
            </w:r>
            <w:r>
              <w:rPr>
                <w:rFonts w:hint="default" w:ascii="Times New Roman" w:hAnsi="Times New Roman" w:eastAsia="宋体" w:cs="Times New Roman"/>
                <w:color w:val="auto"/>
                <w:sz w:val="24"/>
                <w:szCs w:val="24"/>
                <w:lang w:val="en-US" w:eastAsia="zh-CN"/>
              </w:rPr>
              <w:t>范围</w:t>
            </w:r>
            <w:r>
              <w:rPr>
                <w:rFonts w:hint="default" w:ascii="Times New Roman" w:hAnsi="Times New Roman" w:eastAsia="宋体" w:cs="Times New Roman"/>
                <w:color w:val="auto"/>
                <w:sz w:val="24"/>
                <w:szCs w:val="24"/>
                <w:lang w:eastAsia="zh-CN"/>
              </w:rPr>
              <w:t>，详见附图。</w:t>
            </w:r>
          </w:p>
          <w:p w14:paraId="1BCABC0F">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根据本项目施工特点及安排，</w:t>
            </w:r>
            <w:r>
              <w:rPr>
                <w:rFonts w:hint="default" w:ascii="Times New Roman" w:hAnsi="Times New Roman" w:eastAsia="宋体" w:cs="Times New Roman"/>
                <w:color w:val="auto"/>
                <w:sz w:val="24"/>
                <w:szCs w:val="24"/>
                <w:lang w:eastAsia="zh-CN"/>
              </w:rPr>
              <w:t>施工人员在附近村庄居住，施工场地内不设置施工生活营地。本项目施工所用的原、辅材料全部外购；沙袋委托沙场灌沙打包，不设置取土场、砂石料场施工</w:t>
            </w:r>
            <w:r>
              <w:rPr>
                <w:rFonts w:hint="default" w:ascii="Times New Roman" w:hAnsi="Times New Roman" w:eastAsia="宋体" w:cs="Times New Roman"/>
                <w:color w:val="auto"/>
                <w:sz w:val="24"/>
                <w:szCs w:val="24"/>
                <w:lang w:val="en-US" w:eastAsia="zh-CN"/>
              </w:rPr>
              <w:t>场地</w:t>
            </w:r>
            <w:r>
              <w:rPr>
                <w:rFonts w:hint="default" w:ascii="Times New Roman" w:hAnsi="Times New Roman" w:eastAsia="宋体" w:cs="Times New Roman"/>
                <w:color w:val="auto"/>
                <w:sz w:val="24"/>
                <w:szCs w:val="24"/>
                <w:lang w:eastAsia="zh-CN"/>
              </w:rPr>
              <w:t>内不设置永久弃渣场；</w:t>
            </w:r>
            <w:r>
              <w:rPr>
                <w:rFonts w:hint="default" w:ascii="Times New Roman" w:hAnsi="Times New Roman" w:cs="Times New Roman"/>
                <w:color w:val="auto"/>
                <w:sz w:val="24"/>
                <w:szCs w:val="24"/>
                <w:lang w:eastAsia="zh-CN"/>
              </w:rPr>
              <w:t>本</w:t>
            </w:r>
            <w:r>
              <w:rPr>
                <w:rFonts w:hint="default" w:ascii="Times New Roman" w:hAnsi="Times New Roman" w:eastAsia="宋体" w:cs="Times New Roman"/>
                <w:color w:val="auto"/>
                <w:sz w:val="24"/>
                <w:szCs w:val="24"/>
                <w:lang w:eastAsia="zh-CN"/>
              </w:rPr>
              <w:t>项目使用商品混凝土，不设混凝土搅拌场；</w:t>
            </w:r>
            <w:r>
              <w:rPr>
                <w:rFonts w:hint="default" w:ascii="Times New Roman" w:hAnsi="Times New Roman" w:eastAsia="宋体" w:cs="Times New Roman"/>
                <w:color w:val="auto"/>
                <w:sz w:val="24"/>
                <w:szCs w:val="24"/>
                <w:lang w:val="en-US" w:eastAsia="zh-CN"/>
              </w:rPr>
              <w:t>本项目为管网引水工程，在运营期不会产生、排放相关污染物。</w:t>
            </w:r>
          </w:p>
          <w:p w14:paraId="195B5197">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综上分析，</w:t>
            </w:r>
            <w:r>
              <w:rPr>
                <w:rFonts w:hint="default" w:ascii="Times New Roman" w:hAnsi="Times New Roman" w:cs="Times New Roman"/>
                <w:color w:val="auto"/>
                <w:sz w:val="24"/>
                <w:szCs w:val="24"/>
                <w:lang w:val="en-US" w:eastAsia="zh-CN"/>
              </w:rPr>
              <w:t>本项目</w:t>
            </w:r>
            <w:r>
              <w:rPr>
                <w:rFonts w:hint="default" w:ascii="Times New Roman" w:hAnsi="Times New Roman" w:cs="Times New Roman"/>
                <w:b w:val="0"/>
                <w:bCs w:val="0"/>
                <w:color w:val="auto"/>
                <w:sz w:val="24"/>
                <w:szCs w:val="24"/>
                <w:lang w:eastAsia="zh-CN"/>
              </w:rPr>
              <w:t>的</w:t>
            </w:r>
            <w:r>
              <w:rPr>
                <w:rFonts w:hint="default" w:ascii="Times New Roman" w:hAnsi="Times New Roman" w:cs="Times New Roman"/>
                <w:b w:val="0"/>
                <w:bCs w:val="0"/>
                <w:color w:val="auto"/>
                <w:sz w:val="24"/>
                <w:szCs w:val="24"/>
                <w:lang w:val="en-US" w:eastAsia="zh-CN"/>
              </w:rPr>
              <w:t>建设、运行</w:t>
            </w:r>
            <w:r>
              <w:rPr>
                <w:rFonts w:hint="default" w:ascii="Times New Roman" w:hAnsi="Times New Roman" w:eastAsia="宋体" w:cs="Times New Roman"/>
                <w:color w:val="auto"/>
                <w:sz w:val="24"/>
                <w:szCs w:val="24"/>
                <w:lang w:eastAsia="zh-CN"/>
              </w:rPr>
              <w:t>符合《安宁市车木河水源地环境保护规划</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2006-2020年）》及《安宁市人民政府关于加强车木河水库饮用水源保护的通告</w:t>
            </w:r>
            <w:r>
              <w:rPr>
                <w:rFonts w:hint="default" w:ascii="Times New Roman" w:hAnsi="Times New Roman" w:cs="Times New Roman"/>
                <w:color w:val="auto"/>
                <w:sz w:val="24"/>
                <w:szCs w:val="24"/>
                <w:lang w:eastAsia="zh-CN"/>
              </w:rPr>
              <w:t>》等</w:t>
            </w:r>
            <w:r>
              <w:rPr>
                <w:rFonts w:hint="default" w:ascii="Times New Roman" w:hAnsi="Times New Roman" w:eastAsia="宋体" w:cs="Times New Roman"/>
                <w:color w:val="auto"/>
                <w:sz w:val="24"/>
                <w:szCs w:val="24"/>
                <w:lang w:val="en-US" w:eastAsia="zh-CN"/>
              </w:rPr>
              <w:t>相关要求</w:t>
            </w:r>
            <w:r>
              <w:rPr>
                <w:rFonts w:hint="default" w:ascii="Times New Roman" w:hAnsi="Times New Roman" w:eastAsia="宋体" w:cs="Times New Roman"/>
                <w:color w:val="auto"/>
                <w:sz w:val="24"/>
                <w:szCs w:val="24"/>
                <w:lang w:eastAsia="zh-CN"/>
              </w:rPr>
              <w:t>。</w:t>
            </w:r>
          </w:p>
          <w:p w14:paraId="344D603E">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lang w:val="en-US" w:eastAsia="zh-CN"/>
              </w:rPr>
              <w:t>4、</w:t>
            </w:r>
            <w:r>
              <w:rPr>
                <w:rFonts w:hint="default" w:ascii="Times New Roman" w:hAnsi="Times New Roman" w:eastAsia="宋体" w:cs="Times New Roman"/>
                <w:b/>
                <w:bCs w:val="0"/>
                <w:color w:val="auto"/>
                <w:sz w:val="24"/>
                <w:szCs w:val="24"/>
              </w:rPr>
              <w:t>与《昆明市河道管理条例》符合性分析</w:t>
            </w:r>
          </w:p>
          <w:p w14:paraId="18FD7A99">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根据《昆明市河道管理条例》第二十条河道的管理范围为：已划定规划控制线的为河道绿化带外其他符合性分析缘以内的范围；尚未划定河道规划控制线的为两岸堤防之间的水域、湿地、滩涂</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含可耕地）、两岸堤防及护堤地。护堤地的宽度为堤防背水坡脚线水平外延不少于</w:t>
            </w:r>
            <w:r>
              <w:rPr>
                <w:rFonts w:hint="default" w:ascii="Times New Roman" w:hAnsi="Times New Roman" w:eastAsia="TimesNewRomanPSMT" w:cs="Times New Roman"/>
                <w:color w:val="auto"/>
                <w:sz w:val="24"/>
                <w:szCs w:val="24"/>
              </w:rPr>
              <w:t xml:space="preserve">2 </w:t>
            </w:r>
            <w:r>
              <w:rPr>
                <w:rFonts w:hint="default" w:ascii="Times New Roman" w:hAnsi="Times New Roman" w:eastAsia="宋体" w:cs="Times New Roman"/>
                <w:color w:val="auto"/>
                <w:sz w:val="24"/>
                <w:szCs w:val="24"/>
              </w:rPr>
              <w:t>米的区域，无背水坡脚线的为堤防上口线水平外延不少于</w:t>
            </w:r>
            <w:r>
              <w:rPr>
                <w:rFonts w:hint="default" w:ascii="Times New Roman" w:hAnsi="Times New Roman" w:eastAsia="TimesNewRomanPSMT" w:cs="Times New Roman"/>
                <w:color w:val="auto"/>
                <w:sz w:val="24"/>
                <w:szCs w:val="24"/>
              </w:rPr>
              <w:t xml:space="preserve">5 </w:t>
            </w:r>
            <w:r>
              <w:rPr>
                <w:rFonts w:hint="default" w:ascii="Times New Roman" w:hAnsi="Times New Roman" w:eastAsia="宋体" w:cs="Times New Roman"/>
                <w:color w:val="auto"/>
                <w:sz w:val="24"/>
                <w:szCs w:val="24"/>
              </w:rPr>
              <w:t>米的区域。</w:t>
            </w:r>
          </w:p>
          <w:p w14:paraId="18B9B0E3">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河道的保护范围为河道管理范围以外</w:t>
            </w:r>
            <w:r>
              <w:rPr>
                <w:rFonts w:hint="default" w:ascii="Times New Roman" w:hAnsi="Times New Roman" w:eastAsia="TimesNewRomanPSMT" w:cs="Times New Roman"/>
                <w:color w:val="auto"/>
                <w:sz w:val="24"/>
                <w:szCs w:val="24"/>
              </w:rPr>
              <w:t xml:space="preserve">100 </w:t>
            </w:r>
            <w:r>
              <w:rPr>
                <w:rFonts w:hint="default" w:ascii="Times New Roman" w:hAnsi="Times New Roman" w:eastAsia="宋体" w:cs="Times New Roman"/>
                <w:color w:val="auto"/>
                <w:sz w:val="24"/>
                <w:szCs w:val="24"/>
              </w:rPr>
              <w:t>米以内的区域。</w:t>
            </w:r>
          </w:p>
          <w:p w14:paraId="0E2949F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根据上述规定，本项目涉及河道保护范围的</w:t>
            </w:r>
            <w:r>
              <w:rPr>
                <w:rFonts w:hint="default" w:ascii="Times New Roman" w:hAnsi="Times New Roman" w:eastAsia="宋体" w:cs="Times New Roman"/>
                <w:b w:val="0"/>
                <w:bCs w:val="0"/>
                <w:color w:val="auto"/>
                <w:sz w:val="24"/>
                <w:szCs w:val="24"/>
                <w:lang w:val="en-US" w:eastAsia="zh-CN"/>
              </w:rPr>
              <w:t>工程</w:t>
            </w:r>
            <w:r>
              <w:rPr>
                <w:rFonts w:hint="default" w:ascii="Times New Roman" w:hAnsi="Times New Roman" w:eastAsia="宋体" w:cs="Times New Roman"/>
                <w:b w:val="0"/>
                <w:bCs w:val="0"/>
                <w:color w:val="auto"/>
                <w:sz w:val="24"/>
                <w:szCs w:val="24"/>
                <w:lang w:eastAsia="zh-CN"/>
              </w:rPr>
              <w:t>为</w:t>
            </w:r>
            <w:r>
              <w:rPr>
                <w:rFonts w:hint="default" w:ascii="Times New Roman" w:hAnsi="Times New Roman" w:cs="Times New Roman"/>
                <w:b w:val="0"/>
                <w:bCs w:val="0"/>
                <w:color w:val="auto"/>
                <w:sz w:val="24"/>
                <w:szCs w:val="24"/>
                <w:lang w:val="en-US" w:eastAsia="zh-CN"/>
              </w:rPr>
              <w:t>本工程所实施的</w:t>
            </w:r>
            <w:r>
              <w:rPr>
                <w:rFonts w:hint="default" w:ascii="Times New Roman" w:hAnsi="Times New Roman" w:eastAsia="宋体" w:cs="Times New Roman"/>
                <w:b w:val="0"/>
                <w:bCs w:val="0"/>
                <w:color w:val="auto"/>
                <w:sz w:val="24"/>
                <w:szCs w:val="24"/>
                <w:lang w:val="en-US" w:eastAsia="zh-CN"/>
              </w:rPr>
              <w:t>部分管线沿线</w:t>
            </w:r>
            <w:r>
              <w:rPr>
                <w:rFonts w:hint="default" w:ascii="Times New Roman" w:hAnsi="Times New Roman" w:eastAsia="宋体" w:cs="Times New Roman"/>
                <w:b w:val="0"/>
                <w:bCs w:val="0"/>
                <w:color w:val="auto"/>
                <w:sz w:val="24"/>
                <w:szCs w:val="24"/>
                <w:lang w:eastAsia="zh-CN"/>
              </w:rPr>
              <w:t>。</w:t>
            </w:r>
          </w:p>
          <w:p w14:paraId="5A71924C">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项目与昆明市河道管理条例</w:t>
            </w:r>
            <w:r>
              <w:rPr>
                <w:rFonts w:hint="eastAsia" w:ascii="Times New Roman" w:hAnsi="Times New Roman" w:cs="Times New Roman"/>
                <w:color w:val="auto"/>
                <w:sz w:val="24"/>
                <w:szCs w:val="24"/>
                <w:lang w:eastAsia="zh-CN"/>
              </w:rPr>
              <w:t>（</w:t>
            </w:r>
            <w:r>
              <w:rPr>
                <w:rFonts w:hint="default" w:ascii="Times New Roman" w:hAnsi="Times New Roman" w:eastAsia="TimesNewRomanPSMT" w:cs="Times New Roman"/>
                <w:color w:val="auto"/>
                <w:sz w:val="24"/>
                <w:szCs w:val="24"/>
              </w:rPr>
              <w:t xml:space="preserve">2016 </w:t>
            </w:r>
            <w:r>
              <w:rPr>
                <w:rFonts w:hint="default" w:ascii="Times New Roman" w:hAnsi="Times New Roman" w:eastAsia="宋体" w:cs="Times New Roman"/>
                <w:color w:val="auto"/>
                <w:sz w:val="24"/>
                <w:szCs w:val="24"/>
              </w:rPr>
              <w:t>年修订版）符合性分析见</w:t>
            </w:r>
            <w:r>
              <w:rPr>
                <w:rFonts w:hint="eastAsia" w:ascii="Times New Roman" w:hAnsi="Times New Roman" w:cs="Times New Roman"/>
                <w:color w:val="auto"/>
                <w:sz w:val="24"/>
                <w:szCs w:val="24"/>
                <w:lang w:val="en-US" w:eastAsia="zh-CN"/>
              </w:rPr>
              <w:t>下</w:t>
            </w:r>
            <w:r>
              <w:rPr>
                <w:rFonts w:hint="default" w:ascii="Times New Roman" w:hAnsi="Times New Roman" w:eastAsia="宋体" w:cs="Times New Roman"/>
                <w:color w:val="auto"/>
                <w:sz w:val="24"/>
                <w:szCs w:val="24"/>
              </w:rPr>
              <w:t>表。</w:t>
            </w:r>
          </w:p>
          <w:p w14:paraId="602CE3F1">
            <w:pPr>
              <w:autoSpaceDE w:val="0"/>
              <w:autoSpaceDN w:val="0"/>
              <w:adjustRightInd w:val="0"/>
              <w:snapToGrid w:val="0"/>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TimesNewRomanPS-BoldMT" w:cs="Times New Roman"/>
                <w:b/>
                <w:bCs/>
                <w:color w:val="auto"/>
                <w:sz w:val="24"/>
                <w:szCs w:val="24"/>
              </w:rPr>
              <w:t>1-</w:t>
            </w:r>
            <w:r>
              <w:rPr>
                <w:rFonts w:hint="eastAsia" w:ascii="Times New Roman" w:hAnsi="Times New Roman" w:eastAsia="TimesNewRomanPS-BoldMT" w:cs="Times New Roman"/>
                <w:b/>
                <w:bCs/>
                <w:color w:val="auto"/>
                <w:sz w:val="24"/>
                <w:szCs w:val="24"/>
                <w:lang w:val="en-US" w:eastAsia="zh-CN"/>
              </w:rPr>
              <w:t>4</w:t>
            </w:r>
            <w:r>
              <w:rPr>
                <w:rFonts w:hint="default" w:ascii="Times New Roman" w:hAnsi="Times New Roman" w:eastAsia="TimesNewRomanPS-BoldMT" w:cs="Times New Roman"/>
                <w:b/>
                <w:bCs/>
                <w:color w:val="auto"/>
                <w:sz w:val="24"/>
                <w:szCs w:val="24"/>
              </w:rPr>
              <w:t xml:space="preserve"> </w:t>
            </w:r>
            <w:r>
              <w:rPr>
                <w:rFonts w:hint="default" w:ascii="Times New Roman" w:hAnsi="Times New Roman" w:eastAsia="TimesNewRomanPS-BoldMT"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项目与《昆明河道管理条例》符合性分析</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
              <w:gridCol w:w="2703"/>
              <w:gridCol w:w="3803"/>
              <w:gridCol w:w="720"/>
            </w:tblGrid>
            <w:tr w14:paraId="0687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pct"/>
                  <w:gridSpan w:val="2"/>
                  <w:noWrap w:val="0"/>
                  <w:vAlign w:val="center"/>
                </w:tcPr>
                <w:p w14:paraId="3250046E">
                  <w:pPr>
                    <w:autoSpaceDE w:val="0"/>
                    <w:autoSpaceDN w:val="0"/>
                    <w:adjustRightInd w:val="0"/>
                    <w:snapToGrid w:val="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rPr>
                    <w:t>昆明河道管理条例相关要</w:t>
                  </w:r>
                  <w:r>
                    <w:rPr>
                      <w:rFonts w:hint="default" w:ascii="Times New Roman" w:hAnsi="Times New Roman" w:eastAsia="宋体" w:cs="Times New Roman"/>
                      <w:color w:val="auto"/>
                      <w:sz w:val="21"/>
                      <w:szCs w:val="21"/>
                      <w:lang w:val="en-US" w:eastAsia="zh-CN"/>
                    </w:rPr>
                    <w:t>求</w:t>
                  </w:r>
                </w:p>
              </w:tc>
              <w:tc>
                <w:tcPr>
                  <w:tcW w:w="2472" w:type="pct"/>
                  <w:noWrap w:val="0"/>
                  <w:vAlign w:val="center"/>
                </w:tcPr>
                <w:p w14:paraId="4A9B14C2">
                  <w:pPr>
                    <w:autoSpaceDE w:val="0"/>
                    <w:autoSpaceDN w:val="0"/>
                    <w:adjustRightInd w:val="0"/>
                    <w:snapToGrid w:val="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本项目情况</w:t>
                  </w:r>
                </w:p>
              </w:tc>
              <w:tc>
                <w:tcPr>
                  <w:tcW w:w="468" w:type="pct"/>
                  <w:noWrap w:val="0"/>
                  <w:vAlign w:val="center"/>
                </w:tcPr>
                <w:p w14:paraId="0705FE8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符合性</w:t>
                  </w:r>
                </w:p>
              </w:tc>
            </w:tr>
            <w:tr w14:paraId="1C18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noWrap w:val="0"/>
                  <w:vAlign w:val="center"/>
                </w:tcPr>
                <w:p w14:paraId="342C60AE">
                  <w:pPr>
                    <w:autoSpaceDE w:val="0"/>
                    <w:autoSpaceDN w:val="0"/>
                    <w:adjustRightInd w:val="0"/>
                    <w:snapToGrid w:val="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第二十二条</w:t>
                  </w:r>
                </w:p>
              </w:tc>
              <w:tc>
                <w:tcPr>
                  <w:tcW w:w="1756" w:type="pct"/>
                  <w:noWrap w:val="0"/>
                  <w:vAlign w:val="top"/>
                </w:tcPr>
                <w:p w14:paraId="4A059674">
                  <w:pPr>
                    <w:spacing w:beforeLines="0" w:afterLines="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在河道保护范围内禁止下列行为：</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一）建设排放氮、磷等污染物的工业项目以及污染环境、破坏生态平衡和自然景观的其他项目；</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二）倾倒、扔弃、堆放、储存、掩埋废弃物和其他污染物；</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三）向河道排放污水；</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四）毁林开垦或者违法占用林地资源，盗伐、滥伐护堤林、护岸林；</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五）爆破、打井、采石、取土等影响河势稳定、危害河岸堤防安全和妨碍行洪的活动。</w:t>
                  </w:r>
                </w:p>
              </w:tc>
              <w:tc>
                <w:tcPr>
                  <w:tcW w:w="2472" w:type="pct"/>
                  <w:noWrap w:val="0"/>
                  <w:vAlign w:val="top"/>
                </w:tcPr>
                <w:p w14:paraId="78946A53">
                  <w:pPr>
                    <w:spacing w:beforeLines="0" w:afterLines="0"/>
                    <w:jc w:val="left"/>
                    <w:rPr>
                      <w:rFonts w:hint="default" w:ascii="Times New Roman" w:hAnsi="Times New Roman" w:eastAsia="宋体" w:cs="Times New Roman"/>
                      <w:color w:val="auto"/>
                      <w:sz w:val="21"/>
                      <w:szCs w:val="21"/>
                      <w:highlight w:val="none"/>
                      <w:vertAlign w:val="baseline"/>
                    </w:rPr>
                  </w:pP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一）本项目为</w:t>
                  </w:r>
                  <w:r>
                    <w:rPr>
                      <w:rFonts w:hint="default" w:ascii="Times New Roman" w:hAnsi="Times New Roman" w:eastAsia="宋体" w:cs="Times New Roman"/>
                      <w:color w:val="auto"/>
                      <w:sz w:val="21"/>
                      <w:szCs w:val="21"/>
                      <w:highlight w:val="none"/>
                      <w:lang w:val="en-US" w:eastAsia="zh-CN"/>
                    </w:rPr>
                    <w:t>引水管网</w:t>
                  </w:r>
                  <w:r>
                    <w:rPr>
                      <w:rFonts w:hint="default" w:ascii="Times New Roman" w:hAnsi="Times New Roman" w:eastAsia="宋体" w:cs="Times New Roman"/>
                      <w:color w:val="auto"/>
                      <w:sz w:val="21"/>
                      <w:szCs w:val="21"/>
                      <w:highlight w:val="none"/>
                    </w:rPr>
                    <w:t>建设项目，不属于排放氮、磷等污染物的工业项目。项目位于安宁市主城区</w:t>
                  </w:r>
                  <w:r>
                    <w:rPr>
                      <w:rFonts w:hint="default" w:ascii="Times New Roman" w:hAnsi="Times New Roman" w:eastAsia="宋体" w:cs="Times New Roman"/>
                      <w:color w:val="auto"/>
                      <w:sz w:val="21"/>
                      <w:szCs w:val="21"/>
                      <w:highlight w:val="none"/>
                      <w:lang w:val="en-US" w:eastAsia="zh-CN"/>
                    </w:rPr>
                    <w:t>及周边县区</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多</w:t>
                  </w:r>
                  <w:r>
                    <w:rPr>
                      <w:rFonts w:hint="default" w:ascii="Times New Roman" w:hAnsi="Times New Roman" w:eastAsia="宋体" w:cs="Times New Roman"/>
                      <w:color w:val="auto"/>
                      <w:sz w:val="21"/>
                      <w:szCs w:val="21"/>
                      <w:highlight w:val="none"/>
                    </w:rPr>
                    <w:t>属于城市建成区，项目建设不会破坏生态平衡及自然景观。</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二）项目施工期所产生的固体废弃物中，废土石方委托有资质的单位全部清运至合法弃土消纳场处置，项目场地内不设置弃渣场，产生的建筑垃圾能回收利用的回收利用，不能回收利用的按照管理部分要求处置，产生的生活垃圾委托环卫部门进行清运处置，运营</w:t>
                  </w:r>
                  <w:r>
                    <w:rPr>
                      <w:rFonts w:hint="default" w:ascii="Times New Roman" w:hAnsi="Times New Roman" w:cs="Times New Roman"/>
                      <w:color w:val="auto"/>
                      <w:sz w:val="21"/>
                      <w:szCs w:val="21"/>
                      <w:highlight w:val="none"/>
                      <w:lang w:eastAsia="zh-CN"/>
                    </w:rPr>
                    <w:t>期间</w:t>
                  </w:r>
                  <w:r>
                    <w:rPr>
                      <w:rFonts w:hint="default" w:ascii="Times New Roman" w:hAnsi="Times New Roman" w:eastAsia="宋体" w:cs="Times New Roman"/>
                      <w:color w:val="auto"/>
                      <w:sz w:val="21"/>
                      <w:szCs w:val="21"/>
                      <w:highlight w:val="none"/>
                    </w:rPr>
                    <w:t>不</w:t>
                  </w:r>
                  <w:r>
                    <w:rPr>
                      <w:rFonts w:hint="default" w:ascii="Times New Roman" w:hAnsi="Times New Roman" w:eastAsia="宋体" w:cs="Times New Roman"/>
                      <w:color w:val="auto"/>
                      <w:sz w:val="21"/>
                      <w:szCs w:val="21"/>
                      <w:highlight w:val="none"/>
                      <w:lang w:val="en-US" w:eastAsia="zh-CN"/>
                    </w:rPr>
                    <w:t>存在</w:t>
                  </w:r>
                  <w:r>
                    <w:rPr>
                      <w:rFonts w:hint="default" w:ascii="Times New Roman" w:hAnsi="Times New Roman" w:eastAsia="宋体" w:cs="Times New Roman"/>
                      <w:color w:val="auto"/>
                      <w:sz w:val="21"/>
                      <w:szCs w:val="21"/>
                      <w:highlight w:val="none"/>
                    </w:rPr>
                    <w:t>向河道倾倒、扔弃、堆放、贮存、掩埋废弃物。</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三）项目施工期产生的施工废水采用</w:t>
                  </w:r>
                  <w:r>
                    <w:rPr>
                      <w:rFonts w:hint="default" w:ascii="Times New Roman" w:hAnsi="Times New Roman" w:cs="Times New Roman"/>
                      <w:color w:val="auto"/>
                      <w:sz w:val="21"/>
                      <w:szCs w:val="21"/>
                      <w:highlight w:val="none"/>
                      <w:lang w:eastAsia="zh-CN"/>
                    </w:rPr>
                    <w:t>隔油沉淀池</w:t>
                  </w:r>
                  <w:r>
                    <w:rPr>
                      <w:rFonts w:hint="default" w:ascii="Times New Roman" w:hAnsi="Times New Roman" w:eastAsia="宋体" w:cs="Times New Roman"/>
                      <w:color w:val="auto"/>
                      <w:sz w:val="21"/>
                      <w:szCs w:val="21"/>
                      <w:highlight w:val="none"/>
                    </w:rPr>
                    <w:t>处理后回用于场地洒水降尘，不排入螳螂川；运行期道路设置排污管网接纳沿线生活污水最终进入城市污水处理厂处理。</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四）本项目不涉及毁林开垦或者违法占用林地资源，盗伐、滥伐护堤林、护岸林。</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五）不在项目区内进行爆破、打井、采石、取土等影响河势稳定、危害河岸堤防安全和妨碍行洪的活动。</w:t>
                  </w:r>
                </w:p>
              </w:tc>
              <w:tc>
                <w:tcPr>
                  <w:tcW w:w="468" w:type="pct"/>
                  <w:noWrap w:val="0"/>
                  <w:vAlign w:val="center"/>
                </w:tcPr>
                <w:p w14:paraId="6B73573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符合</w:t>
                  </w:r>
                </w:p>
              </w:tc>
            </w:tr>
            <w:tr w14:paraId="0FC0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noWrap w:val="0"/>
                  <w:vAlign w:val="center"/>
                </w:tcPr>
                <w:p w14:paraId="58026999">
                  <w:pPr>
                    <w:autoSpaceDE w:val="0"/>
                    <w:autoSpaceDN w:val="0"/>
                    <w:adjustRightInd w:val="0"/>
                    <w:snapToGrid w:val="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第二十三条</w:t>
                  </w:r>
                </w:p>
              </w:tc>
              <w:tc>
                <w:tcPr>
                  <w:tcW w:w="1756" w:type="pct"/>
                  <w:noWrap w:val="0"/>
                  <w:vAlign w:val="top"/>
                </w:tcPr>
                <w:p w14:paraId="40AC1586">
                  <w:pPr>
                    <w:spacing w:beforeLines="0" w:afterLines="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在河道管理范围内，除遵守第二十二条规定外，还禁止下列行为：</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一）清洗装贮过油类、有毒污染物的车辆、容器及包装物品；</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二）设置拦河渔具，或者炸鱼、电鱼、毒鱼等活动；</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三）围垦河道，或者建设阻碍行洪的建筑物、构筑物；</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四）擅自填堵、覆盖河道，侵占河床、河堤，改变河道流向。</w:t>
                  </w:r>
                </w:p>
              </w:tc>
              <w:tc>
                <w:tcPr>
                  <w:tcW w:w="2472" w:type="pct"/>
                  <w:noWrap w:val="0"/>
                  <w:vAlign w:val="top"/>
                </w:tcPr>
                <w:p w14:paraId="50002A41">
                  <w:pPr>
                    <w:spacing w:beforeLines="0" w:afterLines="0"/>
                    <w:jc w:val="left"/>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一）本项目为</w:t>
                  </w:r>
                  <w:r>
                    <w:rPr>
                      <w:rFonts w:hint="default" w:ascii="Times New Roman" w:hAnsi="Times New Roman" w:eastAsia="宋体" w:cs="Times New Roman"/>
                      <w:color w:val="auto"/>
                      <w:sz w:val="21"/>
                      <w:szCs w:val="21"/>
                      <w:lang w:val="en-US" w:eastAsia="zh-CN"/>
                    </w:rPr>
                    <w:t>引水管网</w:t>
                  </w:r>
                  <w:r>
                    <w:rPr>
                      <w:rFonts w:hint="default" w:ascii="Times New Roman" w:hAnsi="Times New Roman" w:eastAsia="宋体" w:cs="Times New Roman"/>
                      <w:color w:val="auto"/>
                      <w:sz w:val="21"/>
                      <w:szCs w:val="21"/>
                    </w:rPr>
                    <w:t>建设项目，不在项目区进行装贮过油类、有毒污染物的车辆、容器及包装物品的清洗活动。</w:t>
                  </w:r>
                </w:p>
                <w:p w14:paraId="0AA906E9">
                  <w:pPr>
                    <w:spacing w:beforeLines="0" w:afterLines="0"/>
                    <w:jc w:val="left"/>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二）不涉及设置拦河渔具，或者炸鱼、电鱼、毒鱼等活动。</w:t>
                  </w:r>
                </w:p>
                <w:p w14:paraId="4FAE84DC">
                  <w:pPr>
                    <w:spacing w:beforeLines="0" w:afterLines="0"/>
                    <w:jc w:val="left"/>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三）不涉及围垦河道，或者建设阻碍行洪的建筑物、构筑物的建设。</w:t>
                  </w:r>
                </w:p>
                <w:p w14:paraId="2C086EEC">
                  <w:pPr>
                    <w:spacing w:beforeLines="0" w:afterLines="0"/>
                    <w:jc w:val="left"/>
                    <w:rPr>
                      <w:rFonts w:hint="default"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四）不涉及填堵、覆盖河道，侵占河床、河堤，改变河道流向行为。</w:t>
                  </w:r>
                </w:p>
              </w:tc>
              <w:tc>
                <w:tcPr>
                  <w:tcW w:w="468" w:type="pct"/>
                  <w:noWrap w:val="0"/>
                  <w:vAlign w:val="center"/>
                </w:tcPr>
                <w:p w14:paraId="02433CDD">
                  <w:pPr>
                    <w:spacing w:beforeLines="0" w:afterLines="0"/>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4EF0D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noWrap w:val="0"/>
                  <w:vAlign w:val="center"/>
                </w:tcPr>
                <w:p w14:paraId="15D0E6CE">
                  <w:pPr>
                    <w:autoSpaceDE w:val="0"/>
                    <w:autoSpaceDN w:val="0"/>
                    <w:adjustRightInd w:val="0"/>
                    <w:snapToGrid w:val="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第二十</w:t>
                  </w:r>
                  <w:r>
                    <w:rPr>
                      <w:rFonts w:hint="default" w:ascii="Times New Roman" w:hAnsi="Times New Roman" w:cs="Times New Roman"/>
                      <w:color w:val="auto"/>
                      <w:sz w:val="21"/>
                      <w:szCs w:val="21"/>
                      <w:vertAlign w:val="baseline"/>
                      <w:lang w:val="en-US" w:eastAsia="zh-CN"/>
                    </w:rPr>
                    <w:t>七</w:t>
                  </w:r>
                  <w:r>
                    <w:rPr>
                      <w:rFonts w:hint="default" w:ascii="Times New Roman" w:hAnsi="Times New Roman" w:eastAsia="宋体" w:cs="Times New Roman"/>
                      <w:color w:val="auto"/>
                      <w:sz w:val="21"/>
                      <w:szCs w:val="21"/>
                      <w:vertAlign w:val="baseline"/>
                      <w:lang w:val="en-US" w:eastAsia="zh-CN"/>
                    </w:rPr>
                    <w:t>条</w:t>
                  </w:r>
                </w:p>
              </w:tc>
              <w:tc>
                <w:tcPr>
                  <w:tcW w:w="1756" w:type="pct"/>
                  <w:noWrap w:val="0"/>
                  <w:vAlign w:val="top"/>
                </w:tcPr>
                <w:p w14:paraId="388E8118">
                  <w:pPr>
                    <w:spacing w:beforeLines="0" w:afterLines="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建设单位确需在河道管理范围内建设以下工程项目的，工程建设项目应当符合河道规划，其建设方案应当经水行政主管部门或者滇池行政主管部门审查同意并按照基本建设程序办理审批手续：</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一）修建开发水利、防治水害、治理河道的各类工程；</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二）建设跨河、穿河、穿堤、临河的桥梁、码头、道路、渡口、管道、缆线、取水口、排水口等工程设施。</w:t>
                  </w:r>
                </w:p>
              </w:tc>
              <w:tc>
                <w:tcPr>
                  <w:tcW w:w="2472" w:type="pct"/>
                  <w:noWrap w:val="0"/>
                  <w:vAlign w:val="top"/>
                </w:tcPr>
                <w:p w14:paraId="046D5498">
                  <w:pPr>
                    <w:spacing w:beforeLines="0" w:afterLines="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本工程为</w:t>
                  </w:r>
                  <w:r>
                    <w:rPr>
                      <w:rFonts w:hint="default" w:ascii="Times New Roman" w:hAnsi="Times New Roman" w:eastAsia="宋体" w:cs="Times New Roman"/>
                      <w:color w:val="auto"/>
                      <w:sz w:val="21"/>
                      <w:szCs w:val="21"/>
                      <w:lang w:val="en-US" w:eastAsia="zh-CN"/>
                    </w:rPr>
                    <w:t>引水管网</w:t>
                  </w:r>
                  <w:r>
                    <w:rPr>
                      <w:rFonts w:hint="default" w:ascii="Times New Roman" w:hAnsi="Times New Roman" w:eastAsia="宋体" w:cs="Times New Roman"/>
                      <w:color w:val="auto"/>
                      <w:sz w:val="21"/>
                      <w:szCs w:val="21"/>
                    </w:rPr>
                    <w:t>建设项目，</w:t>
                  </w:r>
                  <w:r>
                    <w:rPr>
                      <w:rFonts w:hint="default" w:ascii="Times New Roman" w:hAnsi="Times New Roman" w:cs="Times New Roman"/>
                      <w:color w:val="auto"/>
                      <w:sz w:val="21"/>
                      <w:szCs w:val="21"/>
                      <w:lang w:val="en-US" w:eastAsia="zh-CN"/>
                    </w:rPr>
                    <w:t>项目前身为</w:t>
                  </w:r>
                  <w:r>
                    <w:rPr>
                      <w:rFonts w:hint="default" w:ascii="Times New Roman" w:hAnsi="Times New Roman" w:eastAsia="宋体" w:cs="Times New Roman"/>
                      <w:b w:val="0"/>
                      <w:bCs w:val="0"/>
                      <w:color w:val="auto"/>
                      <w:sz w:val="21"/>
                      <w:szCs w:val="21"/>
                      <w:lang w:val="en-US" w:eastAsia="zh-CN"/>
                    </w:rPr>
                    <w:t>安宁市车木河水库引水管线建设工程</w:t>
                  </w:r>
                  <w:r>
                    <w:rPr>
                      <w:rFonts w:hint="eastAsia" w:ascii="Times New Roman" w:hAnsi="Times New Roman"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三期）</w:t>
                  </w:r>
                  <w:r>
                    <w:rPr>
                      <w:rFonts w:hint="default" w:ascii="Times New Roman" w:hAnsi="Times New Roman" w:eastAsia="宋体" w:cs="Times New Roman"/>
                      <w:color w:val="auto"/>
                      <w:sz w:val="21"/>
                      <w:szCs w:val="21"/>
                      <w:lang w:val="en-US" w:eastAsia="zh-CN"/>
                    </w:rPr>
                    <w:t>，</w:t>
                  </w:r>
                  <w:r>
                    <w:rPr>
                      <w:rFonts w:hint="default" w:ascii="Times New Roman" w:hAnsi="Times New Roman" w:cs="Times New Roman"/>
                      <w:color w:val="auto"/>
                      <w:sz w:val="21"/>
                      <w:szCs w:val="21"/>
                      <w:lang w:val="en-US" w:eastAsia="zh-CN"/>
                    </w:rPr>
                    <w:t>根据调查，前序项目</w:t>
                  </w:r>
                  <w:r>
                    <w:rPr>
                      <w:rFonts w:hint="default" w:ascii="Times New Roman" w:hAnsi="Times New Roman" w:eastAsia="宋体" w:cs="Times New Roman"/>
                      <w:color w:val="auto"/>
                      <w:sz w:val="21"/>
                      <w:szCs w:val="21"/>
                      <w:lang w:val="en-US" w:eastAsia="zh-CN"/>
                    </w:rPr>
                    <w:t>已取得水行政主管部门</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eastAsia="zh-CN"/>
                    </w:rPr>
                    <w:t>安宁市水务局）</w:t>
                  </w:r>
                  <w:r>
                    <w:rPr>
                      <w:rFonts w:hint="default" w:ascii="Times New Roman" w:hAnsi="Times New Roman" w:eastAsia="宋体" w:cs="Times New Roman"/>
                      <w:color w:val="auto"/>
                      <w:sz w:val="21"/>
                      <w:szCs w:val="21"/>
                      <w:lang w:val="en-US" w:eastAsia="zh-CN"/>
                    </w:rPr>
                    <w:t>的审查意见</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eastAsia="zh-CN"/>
                    </w:rPr>
                    <w:t>初步设计报告《批复》）。</w:t>
                  </w:r>
                </w:p>
              </w:tc>
              <w:tc>
                <w:tcPr>
                  <w:tcW w:w="468" w:type="pct"/>
                  <w:noWrap w:val="0"/>
                  <w:vAlign w:val="center"/>
                </w:tcPr>
                <w:p w14:paraId="667062D5">
                  <w:pPr>
                    <w:spacing w:beforeLines="0" w:afterLines="0"/>
                    <w:jc w:val="left"/>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097C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noWrap w:val="0"/>
                  <w:vAlign w:val="center"/>
                </w:tcPr>
                <w:p w14:paraId="2374808F">
                  <w:pPr>
                    <w:autoSpaceDE w:val="0"/>
                    <w:autoSpaceDN w:val="0"/>
                    <w:adjustRightInd w:val="0"/>
                    <w:snapToGrid w:val="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第二十八条</w:t>
                  </w:r>
                </w:p>
              </w:tc>
              <w:tc>
                <w:tcPr>
                  <w:tcW w:w="1756" w:type="pct"/>
                  <w:noWrap w:val="0"/>
                  <w:vAlign w:val="top"/>
                </w:tcPr>
                <w:p w14:paraId="2BF459A3">
                  <w:pPr>
                    <w:spacing w:beforeLines="0" w:afterLines="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施工围堰或者临时阻水设施在影响防洪安全时，建设单位应当按照防汛指挥机构的紧急处理决定，限期清除或者采取其他紧急补救措施；施工结束后，应当及时清理现场和清除施工围堰等遗留物。</w:t>
                  </w:r>
                </w:p>
              </w:tc>
              <w:tc>
                <w:tcPr>
                  <w:tcW w:w="2472" w:type="pct"/>
                  <w:noWrap w:val="0"/>
                  <w:vAlign w:val="top"/>
                </w:tcPr>
                <w:p w14:paraId="2765390D">
                  <w:pPr>
                    <w:spacing w:beforeLines="0" w:afterLines="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本工程为</w:t>
                  </w:r>
                  <w:r>
                    <w:rPr>
                      <w:rFonts w:hint="default" w:ascii="Times New Roman" w:hAnsi="Times New Roman" w:eastAsia="宋体" w:cs="Times New Roman"/>
                      <w:color w:val="auto"/>
                      <w:sz w:val="21"/>
                      <w:szCs w:val="21"/>
                      <w:lang w:val="en-US" w:eastAsia="zh-CN"/>
                    </w:rPr>
                    <w:t>引水管网</w:t>
                  </w:r>
                  <w:r>
                    <w:rPr>
                      <w:rFonts w:hint="default" w:ascii="Times New Roman" w:hAnsi="Times New Roman" w:eastAsia="宋体" w:cs="Times New Roman"/>
                      <w:color w:val="auto"/>
                      <w:sz w:val="21"/>
                      <w:szCs w:val="21"/>
                    </w:rPr>
                    <w:t>建设项目，</w:t>
                  </w:r>
                  <w:r>
                    <w:rPr>
                      <w:rFonts w:hint="default" w:ascii="Times New Roman" w:hAnsi="Times New Roman" w:eastAsia="宋体" w:cs="Times New Roman"/>
                      <w:color w:val="auto"/>
                      <w:sz w:val="21"/>
                      <w:szCs w:val="21"/>
                      <w:lang w:val="en-US" w:eastAsia="zh-CN"/>
                    </w:rPr>
                    <w:t>根据施工时序安排，不在雨季施工，因此不会影响防洪安全；同时，根据施工方案，在</w:t>
                  </w:r>
                  <w:r>
                    <w:rPr>
                      <w:rFonts w:hint="default" w:ascii="Times New Roman" w:hAnsi="Times New Roman" w:eastAsia="宋体" w:cs="Times New Roman"/>
                      <w:color w:val="auto"/>
                      <w:sz w:val="21"/>
                      <w:szCs w:val="21"/>
                    </w:rPr>
                    <w:t>涉及施工围堰或者临时阻水设施的建设</w:t>
                  </w:r>
                  <w:r>
                    <w:rPr>
                      <w:rFonts w:hint="default" w:ascii="Times New Roman" w:hAnsi="Times New Roman" w:eastAsia="宋体" w:cs="Times New Roman"/>
                      <w:color w:val="auto"/>
                      <w:sz w:val="21"/>
                      <w:szCs w:val="21"/>
                      <w:lang w:val="en-US" w:eastAsia="zh-CN"/>
                    </w:rPr>
                    <w:t>时，会遵照</w:t>
                  </w:r>
                  <w:r>
                    <w:rPr>
                      <w:rFonts w:hint="default" w:ascii="Times New Roman" w:hAnsi="Times New Roman" w:eastAsia="宋体" w:cs="Times New Roman"/>
                      <w:color w:val="auto"/>
                      <w:sz w:val="21"/>
                      <w:szCs w:val="21"/>
                    </w:rPr>
                    <w:t>防汛指挥机构的紧急处理决定，限期清除或者采取其他紧急补救措施。</w:t>
                  </w:r>
                </w:p>
              </w:tc>
              <w:tc>
                <w:tcPr>
                  <w:tcW w:w="468" w:type="pct"/>
                  <w:noWrap w:val="0"/>
                  <w:vAlign w:val="center"/>
                </w:tcPr>
                <w:p w14:paraId="6CA5E8EE">
                  <w:pPr>
                    <w:spacing w:beforeLines="0" w:afterLines="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符合</w:t>
                  </w:r>
                </w:p>
              </w:tc>
            </w:tr>
          </w:tbl>
          <w:p w14:paraId="4C967E85">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根据上表分析结果，拟建项目符合《昆明市河道管理条例》</w:t>
            </w:r>
            <w:r>
              <w:rPr>
                <w:rFonts w:hint="eastAsia" w:ascii="Times New Roman" w:hAnsi="Times New Roman" w:cs="Times New Roman"/>
                <w:color w:val="auto"/>
                <w:sz w:val="24"/>
                <w:szCs w:val="24"/>
                <w:lang w:eastAsia="zh-CN"/>
              </w:rPr>
              <w:t>（</w:t>
            </w:r>
            <w:r>
              <w:rPr>
                <w:rFonts w:hint="default" w:ascii="Times New Roman" w:hAnsi="Times New Roman" w:eastAsia="TimesNewRomanPSMT" w:cs="Times New Roman"/>
                <w:color w:val="auto"/>
                <w:sz w:val="24"/>
                <w:szCs w:val="24"/>
              </w:rPr>
              <w:t xml:space="preserve">2016 </w:t>
            </w:r>
            <w:r>
              <w:rPr>
                <w:rFonts w:hint="default" w:ascii="Times New Roman" w:hAnsi="Times New Roman" w:eastAsia="宋体" w:cs="Times New Roman"/>
                <w:color w:val="auto"/>
                <w:sz w:val="24"/>
                <w:szCs w:val="24"/>
              </w:rPr>
              <w:t>年修订版）中的相关规定。</w:t>
            </w:r>
          </w:p>
          <w:p w14:paraId="5D35F2D6">
            <w:pPr>
              <w:spacing w:beforeLines="0" w:afterLines="0" w:line="360" w:lineRule="auto"/>
              <w:jc w:val="left"/>
              <w:rPr>
                <w:rFonts w:hint="default" w:ascii="Times New Roman" w:hAnsi="Times New Roman" w:eastAsia="宋体" w:cs="Times New Roman"/>
                <w:b/>
                <w:color w:val="auto"/>
                <w:sz w:val="24"/>
                <w:szCs w:val="24"/>
                <w:highlight w:val="none"/>
              </w:rPr>
            </w:pPr>
            <w:r>
              <w:rPr>
                <w:rFonts w:hint="default" w:ascii="Times New Roman" w:hAnsi="Times New Roman" w:eastAsia="TimesNewRomanPS-BoldMT" w:cs="Times New Roman"/>
                <w:b/>
                <w:bCs w:val="0"/>
                <w:color w:val="auto"/>
                <w:sz w:val="24"/>
                <w:szCs w:val="24"/>
                <w:lang w:val="en-US" w:eastAsia="zh-CN"/>
              </w:rPr>
              <w:t>5</w:t>
            </w:r>
            <w:r>
              <w:rPr>
                <w:rFonts w:hint="default" w:ascii="Times New Roman" w:hAnsi="Times New Roman" w:eastAsia="宋体" w:cs="Times New Roman"/>
                <w:b/>
                <w:bCs w:val="0"/>
                <w:color w:val="auto"/>
                <w:sz w:val="24"/>
                <w:szCs w:val="24"/>
              </w:rPr>
              <w:t>、</w:t>
            </w:r>
            <w:r>
              <w:rPr>
                <w:rFonts w:hint="default" w:ascii="Times New Roman" w:hAnsi="Times New Roman" w:eastAsia="宋体" w:cs="Times New Roman"/>
                <w:b/>
                <w:color w:val="auto"/>
                <w:sz w:val="24"/>
                <w:szCs w:val="24"/>
                <w:highlight w:val="none"/>
              </w:rPr>
              <w:t>与《</w:t>
            </w:r>
            <w:r>
              <w:rPr>
                <w:rFonts w:hint="eastAsia" w:ascii="Times New Roman" w:hAnsi="Times New Roman" w:eastAsia="宋体" w:cs="Times New Roman"/>
                <w:b/>
                <w:color w:val="auto"/>
                <w:sz w:val="24"/>
                <w:szCs w:val="24"/>
                <w:highlight w:val="none"/>
                <w:lang w:val="en-US" w:eastAsia="zh-CN"/>
              </w:rPr>
              <w:t>云南省生物多样性优先保护区域</w:t>
            </w:r>
            <w:r>
              <w:rPr>
                <w:rFonts w:hint="default" w:ascii="Times New Roman" w:hAnsi="Times New Roman" w:eastAsia="宋体" w:cs="Times New Roman"/>
                <w:b/>
                <w:color w:val="auto"/>
                <w:sz w:val="24"/>
                <w:szCs w:val="24"/>
                <w:highlight w:val="none"/>
              </w:rPr>
              <w:t>》符合性</w:t>
            </w:r>
          </w:p>
          <w:p w14:paraId="038AF054">
            <w:pPr>
              <w:pStyle w:val="7"/>
              <w:spacing w:line="360" w:lineRule="auto"/>
              <w:ind w:left="0" w:leftChars="0" w:firstLine="480" w:firstLineChars="200"/>
              <w:rPr>
                <w:rFonts w:hint="default" w:ascii="Times New Roman" w:hAnsi="Times New Roman" w:cs="Times New Roman"/>
                <w:snapToGrid w:val="0"/>
                <w:color w:val="auto"/>
                <w:kern w:val="0"/>
                <w:sz w:val="24"/>
                <w:szCs w:val="24"/>
                <w:highlight w:val="none"/>
              </w:rPr>
            </w:pPr>
            <w:r>
              <w:rPr>
                <w:rFonts w:hint="default" w:ascii="Times New Roman" w:hAnsi="Times New Roman" w:cs="Times New Roman"/>
                <w:snapToGrid w:val="0"/>
                <w:color w:val="auto"/>
                <w:kern w:val="0"/>
                <w:sz w:val="24"/>
                <w:szCs w:val="24"/>
                <w:highlight w:val="none"/>
              </w:rPr>
              <w:t>《云南省生物多样性保护战略与行动计划（2024-2030）》的指导思想：以习近平新时代中国特色社会主义思想为指导，深入贯彻习近平生态文明思想，全面贯彻党的二十大精神，牢固树立绿水青山就是金山银山理念，践行“昆明</w:t>
            </w:r>
            <w:r>
              <w:rPr>
                <w:rFonts w:hint="default" w:ascii="Times New Roman" w:hAnsi="Times New Roman" w:cs="Times New Roman"/>
                <w:snapToGrid w:val="0"/>
                <w:color w:val="auto"/>
                <w:kern w:val="0"/>
                <w:sz w:val="24"/>
                <w:szCs w:val="24"/>
                <w:highlight w:val="none"/>
                <w:lang w:eastAsia="zh-CN"/>
              </w:rPr>
              <w:t>－</w:t>
            </w:r>
            <w:r>
              <w:rPr>
                <w:rFonts w:hint="default" w:ascii="Times New Roman" w:hAnsi="Times New Roman" w:cs="Times New Roman"/>
                <w:snapToGrid w:val="0"/>
                <w:color w:val="auto"/>
                <w:kern w:val="0"/>
                <w:sz w:val="24"/>
                <w:szCs w:val="24"/>
                <w:highlight w:val="none"/>
              </w:rPr>
              <w:t>蒙特利尔全球生物多样性框架”，坚定落实新时期国家和省生物多样性保护战略部署，立足新发展阶段以有效应对生物多样性挑战，全面提高生物多样性保护、可持续利用和惠益分享水平</w:t>
            </w:r>
            <w:r>
              <w:rPr>
                <w:rFonts w:hint="default" w:ascii="Times New Roman" w:hAnsi="Times New Roman" w:cs="Times New Roman"/>
                <w:snapToGrid w:val="0"/>
                <w:color w:val="auto"/>
                <w:kern w:val="0"/>
                <w:sz w:val="24"/>
                <w:szCs w:val="24"/>
                <w:highlight w:val="none"/>
                <w:lang w:eastAsia="zh-CN"/>
              </w:rPr>
              <w:t>，以</w:t>
            </w:r>
            <w:r>
              <w:rPr>
                <w:rFonts w:hint="default" w:ascii="Times New Roman" w:hAnsi="Times New Roman" w:cs="Times New Roman"/>
                <w:snapToGrid w:val="0"/>
                <w:color w:val="auto"/>
                <w:kern w:val="0"/>
                <w:sz w:val="24"/>
                <w:szCs w:val="24"/>
                <w:highlight w:val="none"/>
              </w:rPr>
              <w:t>推进生物多样性治理体系和治理能力现代化为目标，将生物多样性保护融入</w:t>
            </w:r>
            <w:r>
              <w:rPr>
                <w:rFonts w:hint="eastAsia" w:ascii="Times New Roman" w:hAnsi="Times New Roman" w:cs="Times New Roman"/>
                <w:snapToGrid w:val="0"/>
                <w:color w:val="auto"/>
                <w:kern w:val="0"/>
                <w:sz w:val="24"/>
                <w:szCs w:val="24"/>
                <w:highlight w:val="none"/>
                <w:lang w:eastAsia="zh-CN"/>
              </w:rPr>
              <w:t>“</w:t>
            </w:r>
            <w:r>
              <w:rPr>
                <w:rFonts w:hint="default" w:ascii="Times New Roman" w:hAnsi="Times New Roman" w:cs="Times New Roman"/>
                <w:snapToGrid w:val="0"/>
                <w:color w:val="auto"/>
                <w:kern w:val="0"/>
                <w:sz w:val="24"/>
                <w:szCs w:val="24"/>
                <w:highlight w:val="none"/>
              </w:rPr>
              <w:t>3815</w:t>
            </w:r>
            <w:r>
              <w:rPr>
                <w:rFonts w:hint="eastAsia" w:ascii="Times New Roman" w:hAnsi="Times New Roman" w:cs="Times New Roman"/>
                <w:snapToGrid w:val="0"/>
                <w:color w:val="auto"/>
                <w:kern w:val="0"/>
                <w:sz w:val="24"/>
                <w:szCs w:val="24"/>
                <w:highlight w:val="none"/>
                <w:lang w:eastAsia="zh-CN"/>
              </w:rPr>
              <w:t>”</w:t>
            </w:r>
            <w:r>
              <w:rPr>
                <w:rFonts w:hint="default" w:ascii="Times New Roman" w:hAnsi="Times New Roman" w:cs="Times New Roman"/>
                <w:snapToGrid w:val="0"/>
                <w:color w:val="auto"/>
                <w:kern w:val="0"/>
                <w:sz w:val="24"/>
                <w:szCs w:val="24"/>
                <w:highlight w:val="none"/>
              </w:rPr>
              <w:t>战略、生态文明建设排头兵和壮大</w:t>
            </w:r>
            <w:r>
              <w:rPr>
                <w:rFonts w:hint="eastAsia" w:ascii="Times New Roman" w:hAnsi="Times New Roman" w:cs="Times New Roman"/>
                <w:snapToGrid w:val="0"/>
                <w:color w:val="auto"/>
                <w:kern w:val="0"/>
                <w:sz w:val="24"/>
                <w:szCs w:val="24"/>
                <w:highlight w:val="none"/>
                <w:lang w:eastAsia="zh-CN"/>
              </w:rPr>
              <w:t>“</w:t>
            </w:r>
            <w:r>
              <w:rPr>
                <w:rFonts w:hint="default" w:ascii="Times New Roman" w:hAnsi="Times New Roman" w:cs="Times New Roman"/>
                <w:snapToGrid w:val="0"/>
                <w:color w:val="auto"/>
                <w:kern w:val="0"/>
                <w:sz w:val="24"/>
                <w:szCs w:val="24"/>
                <w:highlight w:val="none"/>
              </w:rPr>
              <w:t>三大经济</w:t>
            </w:r>
            <w:r>
              <w:rPr>
                <w:rFonts w:hint="eastAsia" w:ascii="Times New Roman" w:hAnsi="Times New Roman" w:cs="Times New Roman"/>
                <w:snapToGrid w:val="0"/>
                <w:color w:val="auto"/>
                <w:kern w:val="0"/>
                <w:sz w:val="24"/>
                <w:szCs w:val="24"/>
                <w:highlight w:val="none"/>
                <w:lang w:eastAsia="zh-CN"/>
              </w:rPr>
              <w:t>”</w:t>
            </w:r>
            <w:r>
              <w:rPr>
                <w:rFonts w:hint="default" w:ascii="Times New Roman" w:hAnsi="Times New Roman" w:cs="Times New Roman"/>
                <w:snapToGrid w:val="0"/>
                <w:color w:val="auto"/>
                <w:kern w:val="0"/>
                <w:sz w:val="24"/>
                <w:szCs w:val="24"/>
                <w:highlight w:val="none"/>
              </w:rPr>
              <w:t>全过程，守护好我国重要生物多样性宝库，筑牢西南生态安全屏障，以生物多样性保护新成就促进生态绿色高质量发展，为美丽中国建设作出云南贡献，为全球生物多样性保护贡献云南智慧和方案。</w:t>
            </w:r>
            <w:r>
              <w:rPr>
                <w:rFonts w:hint="eastAsia"/>
                <w:smallCaps w:val="0"/>
                <w:color w:val="auto"/>
                <w:sz w:val="24"/>
                <w:szCs w:val="24"/>
                <w:highlight w:val="none"/>
                <w:lang w:val="en-US" w:eastAsia="zh-CN"/>
              </w:rPr>
              <w:t xml:space="preserve">    </w:t>
            </w:r>
          </w:p>
          <w:p w14:paraId="746A3E8F">
            <w:pPr>
              <w:pStyle w:val="7"/>
              <w:spacing w:line="360" w:lineRule="auto"/>
              <w:ind w:firstLine="480"/>
              <w:rPr>
                <w:rFonts w:hint="default" w:ascii="Times New Roman" w:hAnsi="Times New Roman" w:cs="Times New Roman"/>
                <w:snapToGrid w:val="0"/>
                <w:color w:val="auto"/>
                <w:kern w:val="0"/>
                <w:sz w:val="24"/>
                <w:szCs w:val="24"/>
                <w:highlight w:val="none"/>
              </w:rPr>
            </w:pPr>
            <w:r>
              <w:rPr>
                <w:rFonts w:hint="default" w:ascii="Times New Roman" w:hAnsi="Times New Roman" w:cs="Times New Roman"/>
                <w:snapToGrid w:val="0"/>
                <w:color w:val="auto"/>
                <w:kern w:val="0"/>
                <w:sz w:val="24"/>
                <w:szCs w:val="24"/>
                <w:highlight w:val="none"/>
              </w:rPr>
              <w:t>基本原则：尊重自然、保护优先。牢固树立尊重自然、顺应自然、保护自然的生态文明理念，坚持保护优先，综合运用自然恢复和人工修复两种手段，因地因时制宜、分区分类施策，对重要生态系统、生物物种及遗传资源实施有效保护，保障生物安全和生态安全。</w:t>
            </w:r>
          </w:p>
          <w:p w14:paraId="481F7244">
            <w:pPr>
              <w:pStyle w:val="7"/>
              <w:spacing w:line="360" w:lineRule="auto"/>
              <w:ind w:firstLine="480"/>
              <w:rPr>
                <w:rFonts w:hint="default" w:ascii="Times New Roman" w:hAnsi="Times New Roman" w:cs="Times New Roman"/>
                <w:snapToGrid w:val="0"/>
                <w:color w:val="auto"/>
                <w:kern w:val="0"/>
                <w:sz w:val="24"/>
                <w:szCs w:val="24"/>
                <w:highlight w:val="none"/>
              </w:rPr>
            </w:pPr>
            <w:r>
              <w:rPr>
                <w:rFonts w:hint="default" w:ascii="Times New Roman" w:hAnsi="Times New Roman" w:cs="Times New Roman"/>
                <w:snapToGrid w:val="0"/>
                <w:color w:val="auto"/>
                <w:kern w:val="0"/>
                <w:sz w:val="24"/>
                <w:szCs w:val="24"/>
                <w:highlight w:val="none"/>
              </w:rPr>
              <w:t>绿色发展、惠益共享。将生物多样性保护、可持续利用与惠益分享作为推进美丽中国七彩云南建设的重要目标，科学合理和可持续利用生物生态资源，建立生态产品价值实现机制，促进公平公正分享利用生物遗传资源、自然生态资源所产生的惠益，推动生产和生活方式绿色低碳转型，实现生物多样性保护和高质量发展双赢。</w:t>
            </w:r>
          </w:p>
          <w:p w14:paraId="0B1748EF">
            <w:pPr>
              <w:spacing w:line="360" w:lineRule="auto"/>
              <w:ind w:firstLine="480"/>
              <w:rPr>
                <w:rFonts w:hint="eastAsia" w:eastAsia="宋体"/>
                <w:b w:val="0"/>
                <w:bCs w:val="0"/>
                <w:color w:val="auto"/>
                <w:kern w:val="0"/>
                <w:sz w:val="24"/>
                <w:szCs w:val="24"/>
                <w:highlight w:val="none"/>
                <w:lang w:eastAsia="zh-CN"/>
              </w:rPr>
            </w:pPr>
            <w:r>
              <w:rPr>
                <w:rFonts w:hint="default" w:ascii="Times New Roman" w:hAnsi="Times New Roman" w:cs="Times New Roman"/>
                <w:snapToGrid w:val="0"/>
                <w:color w:val="auto"/>
                <w:kern w:val="0"/>
                <w:sz w:val="24"/>
                <w:szCs w:val="24"/>
                <w:highlight w:val="none"/>
              </w:rPr>
              <w:t>政府主导、全民参与。完善体制机制，加强生物多样性保护工作统筹协调，强化各级政府生物多样性保护的主体责任和主导作用，鼓励和引导企事业单位、社会组织和公众参与生物多样性保护、可持续利用和惠益分享，形成全社会共同参与生物多样性保护的良好氛围。持续深化生物多样性保护国际合作，积极拓展国际合作对象、合作领域和合作项目。</w:t>
            </w:r>
          </w:p>
          <w:p w14:paraId="0812B475">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color w:val="auto"/>
                <w:sz w:val="24"/>
                <w:highlight w:val="none"/>
                <w:lang w:val="en-US" w:eastAsia="zh-CN"/>
              </w:rPr>
              <w:t>本项目位于安宁市，</w:t>
            </w:r>
            <w:r>
              <w:rPr>
                <w:rFonts w:hint="eastAsia"/>
                <w:b w:val="0"/>
                <w:bCs w:val="0"/>
                <w:color w:val="auto"/>
                <w:sz w:val="24"/>
                <w:szCs w:val="24"/>
                <w:highlight w:val="none"/>
                <w:lang w:val="en-US" w:eastAsia="zh-CN"/>
              </w:rPr>
              <w:t>项目不在</w:t>
            </w:r>
            <w:r>
              <w:rPr>
                <w:rFonts w:hint="eastAsia" w:ascii="Times New Roman" w:hAnsi="Times New Roman" w:eastAsia="宋体" w:cs="Times New Roman"/>
                <w:b w:val="0"/>
                <w:bCs w:val="0"/>
                <w:color w:val="auto"/>
                <w:sz w:val="24"/>
                <w:szCs w:val="24"/>
                <w:highlight w:val="none"/>
                <w:lang w:val="en-US" w:eastAsia="zh-CN"/>
              </w:rPr>
              <w:t>云南省生物多样性优先保护</w:t>
            </w:r>
            <w:r>
              <w:rPr>
                <w:rFonts w:hint="eastAsia" w:cs="Times New Roman"/>
                <w:b w:val="0"/>
                <w:bCs w:val="0"/>
                <w:color w:val="auto"/>
                <w:sz w:val="24"/>
                <w:szCs w:val="24"/>
                <w:highlight w:val="none"/>
                <w:lang w:val="en-US" w:eastAsia="zh-CN"/>
              </w:rPr>
              <w:t>区域内。</w:t>
            </w:r>
            <w:r>
              <w:rPr>
                <w:rFonts w:hint="eastAsia"/>
                <w:b w:val="0"/>
                <w:bCs w:val="0"/>
                <w:color w:val="auto"/>
                <w:sz w:val="24"/>
                <w:szCs w:val="24"/>
                <w:highlight w:val="none"/>
                <w:lang w:val="en-US" w:eastAsia="zh-CN"/>
              </w:rPr>
              <w:t>项目</w:t>
            </w:r>
            <w:r>
              <w:rPr>
                <w:rFonts w:hint="eastAsia" w:ascii="Times New Roman" w:hAnsi="Times New Roman"/>
                <w:b w:val="0"/>
                <w:bCs w:val="0"/>
                <w:color w:val="auto"/>
                <w:sz w:val="24"/>
                <w:szCs w:val="24"/>
                <w:highlight w:val="none"/>
              </w:rPr>
              <w:t>与《云南省生物多样性保护战略与行动计划(2024-2030年)》统筹生物多样性保护与经济社会发展，保护优先、科学利用的指导思想和基本原则是一致的</w:t>
            </w:r>
            <w:r>
              <w:rPr>
                <w:rFonts w:hint="eastAsia"/>
                <w:b w:val="0"/>
                <w:bCs w:val="0"/>
                <w:color w:val="auto"/>
                <w:sz w:val="24"/>
                <w:szCs w:val="24"/>
                <w:highlight w:val="none"/>
                <w:lang w:eastAsia="zh-CN"/>
              </w:rPr>
              <w:t>，</w:t>
            </w:r>
            <w:r>
              <w:rPr>
                <w:rFonts w:hint="eastAsia"/>
                <w:b w:val="0"/>
                <w:bCs w:val="0"/>
                <w:color w:val="auto"/>
                <w:sz w:val="24"/>
                <w:szCs w:val="24"/>
                <w:highlight w:val="none"/>
                <w:lang w:val="en-US" w:eastAsia="zh-CN"/>
              </w:rPr>
              <w:t>因此</w:t>
            </w:r>
            <w:r>
              <w:rPr>
                <w:rFonts w:hint="eastAsia" w:ascii="Times New Roman" w:hAnsi="Times New Roman"/>
                <w:b w:val="0"/>
                <w:bCs w:val="0"/>
                <w:color w:val="auto"/>
                <w:sz w:val="24"/>
                <w:szCs w:val="24"/>
                <w:highlight w:val="none"/>
              </w:rPr>
              <w:t>项目与《云南省生物多样性保护战略与行动计划(2024-2030年)》不冲突。</w:t>
            </w:r>
          </w:p>
          <w:p w14:paraId="7A95E963">
            <w:pPr>
              <w:pStyle w:val="9"/>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宋体" w:eastAsia="宋体" w:cs="Times New Roman"/>
                <w:b/>
                <w:bCs w:val="0"/>
                <w:color w:val="auto"/>
                <w:spacing w:val="-2"/>
                <w:sz w:val="24"/>
                <w:szCs w:val="24"/>
                <w:highlight w:val="none"/>
                <w:lang w:val="en-US" w:eastAsia="zh-CN"/>
              </w:rPr>
              <w:t>6、</w:t>
            </w:r>
            <w:r>
              <w:rPr>
                <w:rFonts w:hint="eastAsia" w:hAnsi="宋体" w:cs="Times New Roman"/>
                <w:b/>
                <w:bCs w:val="0"/>
                <w:color w:val="auto"/>
                <w:spacing w:val="-2"/>
                <w:sz w:val="24"/>
                <w:szCs w:val="24"/>
                <w:highlight w:val="none"/>
                <w:lang w:val="en-US" w:eastAsia="zh-CN"/>
              </w:rPr>
              <w:t>项目与《基本农田保护条例》</w:t>
            </w:r>
            <w:r>
              <w:rPr>
                <w:rFonts w:hint="default" w:hAnsi="宋体" w:cs="Times New Roman"/>
                <w:b/>
                <w:bCs w:val="0"/>
                <w:color w:val="auto"/>
                <w:spacing w:val="-2"/>
                <w:sz w:val="24"/>
                <w:szCs w:val="24"/>
                <w:highlight w:val="none"/>
                <w:lang w:val="en-US" w:eastAsia="zh-CN"/>
              </w:rPr>
              <w:t>、</w:t>
            </w:r>
            <w:r>
              <w:rPr>
                <w:rFonts w:hint="eastAsia" w:hAnsi="宋体" w:cs="Times New Roman"/>
                <w:b/>
                <w:bCs w:val="0"/>
                <w:color w:val="auto"/>
                <w:spacing w:val="-2"/>
                <w:sz w:val="24"/>
                <w:szCs w:val="24"/>
                <w:highlight w:val="none"/>
                <w:lang w:val="en-US" w:eastAsia="zh-CN"/>
              </w:rPr>
              <w:t>《云南省土地管理条例》</w:t>
            </w:r>
            <w:r>
              <w:rPr>
                <w:rFonts w:hint="default" w:hAnsi="宋体" w:cs="Times New Roman"/>
                <w:b/>
                <w:bCs w:val="0"/>
                <w:color w:val="auto"/>
                <w:spacing w:val="-2"/>
                <w:sz w:val="24"/>
                <w:szCs w:val="24"/>
                <w:highlight w:val="none"/>
                <w:lang w:val="en-US" w:eastAsia="zh-CN"/>
              </w:rPr>
              <w:t>、</w:t>
            </w:r>
            <w:r>
              <w:rPr>
                <w:rFonts w:hint="eastAsia" w:hAnsi="宋体" w:cs="Times New Roman"/>
                <w:b/>
                <w:bCs w:val="0"/>
                <w:color w:val="auto"/>
                <w:spacing w:val="-2"/>
                <w:sz w:val="24"/>
                <w:szCs w:val="24"/>
                <w:highlight w:val="none"/>
                <w:lang w:val="en-US" w:eastAsia="zh-CN"/>
              </w:rPr>
              <w:t>《云南省基本农田保护条例》符合性分析</w:t>
            </w:r>
          </w:p>
          <w:p w14:paraId="6133D099">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b w:val="0"/>
                <w:bCs w:val="0"/>
                <w:color w:val="auto"/>
                <w:sz w:val="24"/>
                <w:szCs w:val="24"/>
                <w:highlight w:val="none"/>
                <w:lang w:val="en-US" w:eastAsia="zh-CN"/>
              </w:rPr>
            </w:pPr>
            <w:r>
              <w:rPr>
                <w:rFonts w:hint="eastAsia" w:ascii="Times New Roman" w:hAnsi="Times New Roman"/>
                <w:b w:val="0"/>
                <w:bCs w:val="0"/>
                <w:color w:val="auto"/>
                <w:sz w:val="24"/>
                <w:szCs w:val="24"/>
                <w:highlight w:val="none"/>
                <w:lang w:val="en-US" w:eastAsia="zh-CN"/>
              </w:rPr>
              <w:t>（1）与《基本农田保护条例》符合性分析</w:t>
            </w:r>
          </w:p>
          <w:p w14:paraId="5F5EB639">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b w:val="0"/>
                <w:bCs w:val="0"/>
                <w:color w:val="auto"/>
                <w:sz w:val="24"/>
                <w:szCs w:val="24"/>
                <w:highlight w:val="none"/>
                <w:lang w:val="en-US" w:eastAsia="zh-CN"/>
              </w:rPr>
            </w:pPr>
            <w:r>
              <w:rPr>
                <w:rFonts w:hint="eastAsia" w:ascii="Times New Roman" w:hAnsi="Times New Roman"/>
                <w:b w:val="0"/>
                <w:bCs w:val="0"/>
                <w:color w:val="auto"/>
                <w:sz w:val="24"/>
                <w:szCs w:val="24"/>
                <w:highlight w:val="none"/>
                <w:lang w:val="en-US" w:eastAsia="zh-CN"/>
              </w:rPr>
              <w:t>本项目为</w:t>
            </w:r>
            <w:r>
              <w:rPr>
                <w:rFonts w:hint="default" w:ascii="Times New Roman" w:hAnsi="Times New Roman"/>
                <w:b w:val="0"/>
                <w:bCs w:val="0"/>
                <w:color w:val="auto"/>
                <w:sz w:val="24"/>
                <w:szCs w:val="24"/>
                <w:highlight w:val="none"/>
                <w:lang w:val="en-US" w:eastAsia="zh-CN"/>
              </w:rPr>
              <w:t>引水工程</w:t>
            </w:r>
            <w:r>
              <w:rPr>
                <w:rFonts w:hint="eastAsia" w:ascii="Times New Roman" w:hAnsi="Times New Roman"/>
                <w:b w:val="0"/>
                <w:bCs w:val="0"/>
                <w:color w:val="auto"/>
                <w:sz w:val="24"/>
                <w:szCs w:val="24"/>
                <w:highlight w:val="none"/>
                <w:lang w:val="en-US" w:eastAsia="zh-CN"/>
              </w:rPr>
              <w:t>，</w:t>
            </w:r>
            <w:r>
              <w:rPr>
                <w:rFonts w:hint="default" w:ascii="Times New Roman" w:hAnsi="Times New Roman"/>
                <w:b w:val="0"/>
                <w:bCs w:val="0"/>
                <w:color w:val="auto"/>
                <w:sz w:val="24"/>
                <w:szCs w:val="24"/>
                <w:highlight w:val="none"/>
                <w:lang w:val="en-US" w:eastAsia="zh-CN"/>
              </w:rPr>
              <w:t>管线</w:t>
            </w:r>
            <w:r>
              <w:rPr>
                <w:rFonts w:hint="eastAsia" w:ascii="Times New Roman" w:hAnsi="Times New Roman"/>
                <w:b w:val="0"/>
                <w:bCs w:val="0"/>
                <w:color w:val="auto"/>
                <w:sz w:val="24"/>
                <w:szCs w:val="24"/>
                <w:highlight w:val="none"/>
                <w:lang w:val="en-US" w:eastAsia="zh-CN"/>
              </w:rPr>
              <w:t>施工</w:t>
            </w:r>
            <w:r>
              <w:rPr>
                <w:rFonts w:hint="default" w:ascii="Times New Roman" w:hAnsi="Times New Roman"/>
                <w:b w:val="0"/>
                <w:bCs w:val="0"/>
                <w:color w:val="auto"/>
                <w:sz w:val="24"/>
                <w:szCs w:val="24"/>
                <w:highlight w:val="none"/>
                <w:lang w:val="en-US" w:eastAsia="zh-CN"/>
              </w:rPr>
              <w:t>临时占用永久基本农田</w:t>
            </w:r>
            <w:r>
              <w:rPr>
                <w:rFonts w:hint="eastAsia" w:ascii="Times New Roman" w:hAnsi="Times New Roman"/>
                <w:b w:val="0"/>
                <w:bCs w:val="0"/>
                <w:color w:val="auto"/>
                <w:sz w:val="24"/>
                <w:szCs w:val="24"/>
                <w:highlight w:val="none"/>
                <w:lang w:val="en-US" w:eastAsia="zh-CN"/>
              </w:rPr>
              <w:t>7.356</w:t>
            </w:r>
            <w:r>
              <w:rPr>
                <w:rFonts w:hint="default" w:ascii="Times New Roman" w:hAnsi="Times New Roman"/>
                <w:b w:val="0"/>
                <w:bCs w:val="0"/>
                <w:color w:val="auto"/>
                <w:sz w:val="24"/>
                <w:szCs w:val="24"/>
                <w:highlight w:val="none"/>
                <w:lang w:val="en-US" w:eastAsia="zh-CN"/>
              </w:rPr>
              <w:t>公顷，与《基本农田保护条例》</w:t>
            </w:r>
            <w:r>
              <w:rPr>
                <w:rFonts w:hint="eastAsia" w:ascii="Times New Roman" w:hAnsi="Times New Roman"/>
                <w:b w:val="0"/>
                <w:bCs w:val="0"/>
                <w:color w:val="auto"/>
                <w:sz w:val="24"/>
                <w:szCs w:val="24"/>
                <w:highlight w:val="none"/>
                <w:lang w:val="en-US" w:eastAsia="zh-CN"/>
              </w:rPr>
              <w:t>的符合性分析如下：</w:t>
            </w:r>
          </w:p>
          <w:p w14:paraId="49709CCA">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b w:val="0"/>
                <w:bCs w:val="0"/>
                <w:color w:val="auto"/>
                <w:sz w:val="24"/>
                <w:szCs w:val="24"/>
                <w:highlight w:val="none"/>
                <w:lang w:val="en-US" w:eastAsia="zh-CN"/>
              </w:rPr>
            </w:pPr>
            <w:r>
              <w:rPr>
                <w:rFonts w:hint="eastAsia" w:ascii="Times New Roman" w:hAnsi="Times New Roman"/>
                <w:b w:val="0"/>
                <w:bCs w:val="0"/>
                <w:color w:val="auto"/>
                <w:sz w:val="24"/>
                <w:szCs w:val="24"/>
                <w:highlight w:val="none"/>
                <w:lang w:val="en-US" w:eastAsia="zh-CN"/>
              </w:rPr>
              <w:t>①</w:t>
            </w:r>
            <w:r>
              <w:rPr>
                <w:rFonts w:hint="default" w:ascii="Times New Roman" w:hAnsi="Times New Roman"/>
                <w:b w:val="0"/>
                <w:bCs w:val="0"/>
                <w:color w:val="auto"/>
                <w:sz w:val="24"/>
                <w:szCs w:val="24"/>
                <w:highlight w:val="none"/>
                <w:lang w:val="en-US" w:eastAsia="zh-CN"/>
              </w:rPr>
              <w:t>关于“不得擅自改变或者占用”条款的符合性分析</w:t>
            </w:r>
          </w:p>
          <w:p w14:paraId="6C2224D3">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b w:val="0"/>
                <w:bCs w:val="0"/>
                <w:color w:val="auto"/>
                <w:sz w:val="24"/>
                <w:szCs w:val="24"/>
                <w:highlight w:val="none"/>
              </w:rPr>
            </w:pPr>
            <w:r>
              <w:rPr>
                <w:rFonts w:hint="default" w:ascii="Times New Roman" w:hAnsi="Times New Roman"/>
                <w:b w:val="0"/>
                <w:bCs w:val="0"/>
                <w:color w:val="auto"/>
                <w:sz w:val="24"/>
                <w:szCs w:val="24"/>
                <w:highlight w:val="none"/>
              </w:rPr>
              <w:t>《基本农田保护条例》第十五条规定：“基本农田保护区经依法划定后，任何单位和个人不得改变或者占用。”</w:t>
            </w:r>
            <w:r>
              <w:rPr>
                <w:rFonts w:hint="eastAsia" w:ascii="Times New Roman" w:hAnsi="Times New Roman"/>
                <w:b w:val="0"/>
                <w:bCs w:val="0"/>
                <w:color w:val="auto"/>
                <w:sz w:val="24"/>
                <w:szCs w:val="24"/>
                <w:highlight w:val="none"/>
                <w:lang w:val="en-US" w:eastAsia="zh-CN"/>
              </w:rPr>
              <w:t xml:space="preserve"> </w:t>
            </w:r>
            <w:r>
              <w:rPr>
                <w:rFonts w:hint="default" w:ascii="Times New Roman" w:hAnsi="Times New Roman"/>
                <w:b w:val="0"/>
                <w:bCs w:val="0"/>
                <w:color w:val="auto"/>
                <w:sz w:val="24"/>
                <w:szCs w:val="24"/>
                <w:highlight w:val="none"/>
              </w:rPr>
              <w:t>该条款的核心在于“不得擅自”四字——未经依法批准的任何占用行为均属违法。本项目为引水工程，属于水利基础设施建设项目，符合条例第十五条规定的例外情形（国家能源、交通、水利、军事设施等重点建设项目）。因此，本项目的法律性质不属于“擅自”占用，而是属于条例明确允许在法定条件下经批准后可占用的情形。</w:t>
            </w:r>
          </w:p>
          <w:p w14:paraId="520C4B76">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b w:val="0"/>
                <w:bCs w:val="0"/>
                <w:color w:val="auto"/>
                <w:sz w:val="24"/>
                <w:szCs w:val="24"/>
                <w:highlight w:val="none"/>
              </w:rPr>
            </w:pPr>
            <w:r>
              <w:rPr>
                <w:rFonts w:hint="eastAsia" w:ascii="Times New Roman" w:hAnsi="Times New Roman"/>
                <w:b w:val="0"/>
                <w:bCs w:val="0"/>
                <w:color w:val="auto"/>
                <w:sz w:val="24"/>
                <w:szCs w:val="24"/>
                <w:highlight w:val="none"/>
                <w:lang w:val="en-US" w:eastAsia="zh-CN"/>
              </w:rPr>
              <w:t>②</w:t>
            </w:r>
            <w:r>
              <w:rPr>
                <w:rFonts w:hint="default" w:ascii="Times New Roman" w:hAnsi="Times New Roman"/>
                <w:b w:val="0"/>
                <w:bCs w:val="0"/>
                <w:color w:val="auto"/>
                <w:sz w:val="24"/>
                <w:szCs w:val="24"/>
                <w:highlight w:val="none"/>
                <w:lang w:val="en-US" w:eastAsia="zh-CN"/>
              </w:rPr>
              <w:t>关于“确实难以避让”条件的符合性分析</w:t>
            </w:r>
          </w:p>
          <w:p w14:paraId="18273A1F">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b w:val="0"/>
                <w:bCs w:val="0"/>
                <w:color w:val="auto"/>
                <w:sz w:val="24"/>
                <w:szCs w:val="24"/>
                <w:highlight w:val="none"/>
              </w:rPr>
            </w:pPr>
            <w:r>
              <w:rPr>
                <w:rFonts w:hint="default" w:ascii="Times New Roman" w:hAnsi="Times New Roman"/>
                <w:b w:val="0"/>
                <w:bCs w:val="0"/>
                <w:color w:val="auto"/>
                <w:sz w:val="24"/>
                <w:szCs w:val="24"/>
                <w:highlight w:val="none"/>
              </w:rPr>
              <w:t>依据《基本农田保护条例》第十五条，重点建设项目占用基本农田须满足“选址确实无法避开基本农田保护区”的前提条件。引水工程属于线性工程，具有区域分布连续性和不可分割性。与点状工程不同，线性工程须沿既定线路连续布设，无法像点状工程那样灵活调整选址以完全规避基本农田分布区。管道沿线的永久基本农田分布具有较大范围和集中性特征，在满足施工技术要求、保证工程质量和施工安全的前提下，经优化调整，仍不可避免地需要临时占用</w:t>
            </w:r>
            <w:r>
              <w:rPr>
                <w:rFonts w:hint="eastAsia" w:ascii="Times New Roman" w:hAnsi="Times New Roman"/>
                <w:b w:val="0"/>
                <w:bCs w:val="0"/>
                <w:color w:val="auto"/>
                <w:sz w:val="24"/>
                <w:szCs w:val="24"/>
                <w:highlight w:val="none"/>
                <w:lang w:val="en-US" w:eastAsia="zh-CN"/>
              </w:rPr>
              <w:t>少</w:t>
            </w:r>
            <w:r>
              <w:rPr>
                <w:rFonts w:hint="default" w:ascii="Times New Roman" w:hAnsi="Times New Roman"/>
                <w:b w:val="0"/>
                <w:bCs w:val="0"/>
                <w:color w:val="auto"/>
                <w:sz w:val="24"/>
                <w:szCs w:val="24"/>
                <w:highlight w:val="none"/>
              </w:rPr>
              <w:t>部分永久基本农田。此外，在充分贯彻“不占或少占”原则的前提下，</w:t>
            </w:r>
            <w:r>
              <w:rPr>
                <w:rFonts w:hint="eastAsia" w:ascii="Times New Roman" w:hAnsi="Times New Roman"/>
                <w:b w:val="0"/>
                <w:bCs w:val="0"/>
                <w:color w:val="auto"/>
                <w:sz w:val="24"/>
                <w:szCs w:val="24"/>
                <w:highlight w:val="none"/>
                <w:lang w:val="en-US" w:eastAsia="zh-CN"/>
              </w:rPr>
              <w:t>所选为</w:t>
            </w:r>
            <w:r>
              <w:rPr>
                <w:rFonts w:hint="default" w:ascii="Times New Roman" w:hAnsi="Times New Roman"/>
                <w:b w:val="0"/>
                <w:bCs w:val="0"/>
                <w:color w:val="auto"/>
                <w:sz w:val="24"/>
                <w:szCs w:val="24"/>
                <w:highlight w:val="none"/>
              </w:rPr>
              <w:t>最优方案，符合“确实难以避让”的法定条件。</w:t>
            </w:r>
          </w:p>
          <w:p w14:paraId="6570F233">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b w:val="0"/>
                <w:bCs w:val="0"/>
                <w:color w:val="auto"/>
                <w:sz w:val="24"/>
                <w:szCs w:val="24"/>
                <w:highlight w:val="none"/>
              </w:rPr>
            </w:pPr>
            <w:r>
              <w:rPr>
                <w:rFonts w:hint="eastAsia" w:ascii="Times New Roman" w:hAnsi="Times New Roman"/>
                <w:b w:val="0"/>
                <w:bCs w:val="0"/>
                <w:color w:val="auto"/>
                <w:sz w:val="24"/>
                <w:szCs w:val="24"/>
                <w:highlight w:val="none"/>
                <w:lang w:val="en-US" w:eastAsia="zh-CN"/>
              </w:rPr>
              <w:t>③</w:t>
            </w:r>
            <w:r>
              <w:rPr>
                <w:rFonts w:hint="default" w:ascii="Times New Roman" w:hAnsi="Times New Roman"/>
                <w:b w:val="0"/>
                <w:bCs w:val="0"/>
                <w:color w:val="auto"/>
                <w:sz w:val="24"/>
                <w:szCs w:val="24"/>
                <w:highlight w:val="none"/>
                <w:lang w:val="en-US" w:eastAsia="zh-CN"/>
              </w:rPr>
              <w:t>关于临时占用基本农田可恢复性要求的符合性分析</w:t>
            </w:r>
          </w:p>
          <w:p w14:paraId="706A2032">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b w:val="0"/>
                <w:bCs w:val="0"/>
                <w:color w:val="auto"/>
                <w:sz w:val="24"/>
                <w:szCs w:val="24"/>
                <w:highlight w:val="none"/>
                <w:lang w:val="en-US" w:eastAsia="zh-CN"/>
              </w:rPr>
            </w:pPr>
            <w:r>
              <w:rPr>
                <w:rFonts w:hint="default" w:ascii="Times New Roman" w:hAnsi="Times New Roman"/>
                <w:b w:val="0"/>
                <w:bCs w:val="0"/>
                <w:color w:val="auto"/>
                <w:sz w:val="24"/>
                <w:szCs w:val="24"/>
                <w:highlight w:val="none"/>
              </w:rPr>
              <w:t>《基本农田保护条例》第十七条规定：“禁止任何单位和个人在基本农田保护区内建窑、建房、建坟、挖砂、采石、采矿、取土、堆放固体废弃物或者进行其他破坏基本农田的活动。”本项目为临时占地，不涉及上述禁止性活动，施工结束后将及时拆除临时设施、清理场地。</w:t>
            </w:r>
          </w:p>
          <w:p w14:paraId="2F8D61A8">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b w:val="0"/>
                <w:bCs w:val="0"/>
                <w:color w:val="auto"/>
                <w:sz w:val="24"/>
                <w:szCs w:val="24"/>
                <w:highlight w:val="none"/>
              </w:rPr>
            </w:pPr>
            <w:r>
              <w:rPr>
                <w:rFonts w:hint="default" w:ascii="Times New Roman" w:hAnsi="Times New Roman"/>
                <w:b w:val="0"/>
                <w:bCs w:val="0"/>
                <w:color w:val="auto"/>
                <w:sz w:val="24"/>
                <w:szCs w:val="24"/>
                <w:highlight w:val="none"/>
              </w:rPr>
              <w:t>同时，依据自然资源部相关规定，临时用地确需占用永久基本农田的，必须能够恢复原种植条件。本项目占用基本农田为管线临时用地，使用期限严格控制在施工周期内（一般不超过两年），使用期间不修建永久性建（构）筑物，施工前将通过耕作层土壤剥离再利用等工程技术措施，将耕作层土壤妥善剥离、收集和存放，最大限度减少对耕作层的破坏。临时用地到期后，将严格按照土地复垦方案，在一年内完成土地复垦，恢复原种植条件，并经自然资源、农业农村主管部门验收合格后继续按照永久基本农田进行保护和管理。</w:t>
            </w:r>
          </w:p>
          <w:p w14:paraId="401D017A">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Segoe UI" w:cs="Segoe UI"/>
                <w:i w:val="0"/>
                <w:iCs w:val="0"/>
                <w:caps w:val="0"/>
                <w:color w:val="auto"/>
                <w:spacing w:val="0"/>
                <w:sz w:val="19"/>
                <w:szCs w:val="19"/>
                <w:highlight w:val="none"/>
                <w:shd w:val="clear" w:fill="FFFFFF"/>
                <w:lang w:val="en-US" w:eastAsia="zh-CN"/>
              </w:rPr>
            </w:pPr>
            <w:r>
              <w:rPr>
                <w:rFonts w:hint="eastAsia" w:ascii="Times New Roman" w:hAnsi="Times New Roman"/>
                <w:b w:val="0"/>
                <w:bCs w:val="0"/>
                <w:color w:val="auto"/>
                <w:sz w:val="24"/>
                <w:szCs w:val="24"/>
                <w:highlight w:val="none"/>
                <w:lang w:val="en-US" w:eastAsia="zh-CN"/>
              </w:rPr>
              <w:t>综上所述，项目符合</w:t>
            </w:r>
            <w:r>
              <w:rPr>
                <w:rFonts w:hint="default" w:ascii="Times New Roman" w:hAnsi="Times New Roman"/>
                <w:b w:val="0"/>
                <w:bCs w:val="0"/>
                <w:color w:val="auto"/>
                <w:sz w:val="24"/>
                <w:szCs w:val="24"/>
                <w:highlight w:val="none"/>
                <w:lang w:val="en-US" w:eastAsia="zh-CN"/>
              </w:rPr>
              <w:t>《基本农田保护条例》</w:t>
            </w:r>
            <w:r>
              <w:rPr>
                <w:rFonts w:hint="eastAsia" w:ascii="Times New Roman" w:hAnsi="Times New Roman"/>
                <w:b w:val="0"/>
                <w:bCs w:val="0"/>
                <w:color w:val="auto"/>
                <w:sz w:val="24"/>
                <w:szCs w:val="24"/>
                <w:highlight w:val="none"/>
                <w:lang w:val="en-US" w:eastAsia="zh-CN"/>
              </w:rPr>
              <w:t>相关规定。</w:t>
            </w:r>
          </w:p>
          <w:p w14:paraId="4F86E8A7">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lang w:val="en-US" w:eastAsia="zh-CN"/>
              </w:rPr>
            </w:pPr>
            <w:r>
              <w:rPr>
                <w:rFonts w:hint="eastAsia"/>
                <w:color w:val="auto"/>
                <w:sz w:val="24"/>
                <w:szCs w:val="24"/>
                <w:highlight w:val="none"/>
                <w:lang w:val="en-US" w:eastAsia="zh-CN"/>
              </w:rPr>
              <w:t>（2）与《云南省土地管理条例》符合性分析</w:t>
            </w:r>
          </w:p>
          <w:p w14:paraId="50BFF9B7">
            <w:pPr>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①</w:t>
            </w:r>
            <w:r>
              <w:rPr>
                <w:rFonts w:hint="eastAsia"/>
                <w:color w:val="auto"/>
                <w:sz w:val="24"/>
                <w:szCs w:val="24"/>
                <w:highlight w:val="none"/>
              </w:rPr>
              <w:t>与耕地保护原则的符合性</w:t>
            </w:r>
          </w:p>
          <w:p w14:paraId="5C8CEF45">
            <w:pPr>
              <w:spacing w:line="360" w:lineRule="auto"/>
              <w:ind w:firstLine="480" w:firstLineChars="200"/>
              <w:rPr>
                <w:rFonts w:hint="eastAsia"/>
                <w:color w:val="auto"/>
                <w:sz w:val="24"/>
                <w:szCs w:val="24"/>
                <w:highlight w:val="none"/>
              </w:rPr>
            </w:pPr>
            <w:r>
              <w:rPr>
                <w:rFonts w:hint="eastAsia"/>
                <w:color w:val="auto"/>
                <w:sz w:val="24"/>
                <w:szCs w:val="24"/>
                <w:highlight w:val="none"/>
              </w:rPr>
              <w:t>《云南省土地管理条例》第三条规定，土地管理工作应当坚持贯彻落实十分珍惜、合理利用土地和切实保护耕地的基本国策，各级人民政府应当采取措施推动节约集约用地，制止非法占用土地和破坏土地资源的行为。第九条进一步明确，编制国土空间规划应当划定落实耕地和永久基本农田保护红线。</w:t>
            </w:r>
          </w:p>
          <w:p w14:paraId="4135298E">
            <w:pPr>
              <w:spacing w:line="360" w:lineRule="auto"/>
              <w:ind w:firstLine="480" w:firstLineChars="200"/>
              <w:rPr>
                <w:rFonts w:hint="eastAsia"/>
                <w:color w:val="auto"/>
                <w:sz w:val="24"/>
                <w:szCs w:val="24"/>
                <w:highlight w:val="none"/>
              </w:rPr>
            </w:pPr>
            <w:r>
              <w:rPr>
                <w:rFonts w:hint="eastAsia"/>
                <w:color w:val="auto"/>
                <w:sz w:val="24"/>
                <w:szCs w:val="24"/>
                <w:highlight w:val="none"/>
              </w:rPr>
              <w:t>引水工程属于线性工程，受工程选线、地质地貌条件、施工技术要求等多重因素制约，选址过程中线路优化，充分体现了节约集约用地的原则。项目管线临时占用永久基本农田</w:t>
            </w:r>
            <w:r>
              <w:rPr>
                <w:rFonts w:hint="eastAsia"/>
                <w:color w:val="auto"/>
                <w:sz w:val="24"/>
                <w:szCs w:val="24"/>
                <w:highlight w:val="none"/>
                <w:lang w:val="en-US" w:eastAsia="zh-CN"/>
              </w:rPr>
              <w:t>7.356</w:t>
            </w:r>
            <w:r>
              <w:rPr>
                <w:rFonts w:hint="eastAsia"/>
                <w:color w:val="auto"/>
                <w:sz w:val="24"/>
                <w:szCs w:val="24"/>
                <w:highlight w:val="none"/>
              </w:rPr>
              <w:t>公顷，属于施工过程中的临时性使用，施工结束后将恢复土地原状，不改变基本农田的用途和地类属性，符合条例保护耕地的总体政策导向。</w:t>
            </w:r>
          </w:p>
          <w:p w14:paraId="4B7059F0">
            <w:pPr>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②</w:t>
            </w:r>
            <w:r>
              <w:rPr>
                <w:rFonts w:hint="eastAsia"/>
                <w:color w:val="auto"/>
                <w:sz w:val="24"/>
                <w:szCs w:val="24"/>
                <w:highlight w:val="none"/>
              </w:rPr>
              <w:t>与关于临时用地的符合性</w:t>
            </w:r>
          </w:p>
          <w:p w14:paraId="417053D2">
            <w:pPr>
              <w:spacing w:line="360" w:lineRule="auto"/>
              <w:ind w:firstLine="480" w:firstLineChars="200"/>
              <w:rPr>
                <w:rFonts w:hint="eastAsia"/>
                <w:color w:val="auto"/>
                <w:sz w:val="24"/>
                <w:szCs w:val="24"/>
                <w:highlight w:val="none"/>
              </w:rPr>
            </w:pPr>
            <w:r>
              <w:rPr>
                <w:rFonts w:hint="eastAsia"/>
                <w:color w:val="auto"/>
                <w:sz w:val="24"/>
                <w:szCs w:val="24"/>
                <w:highlight w:val="none"/>
              </w:rPr>
              <w:t>《云南省临时用地管理办法》第六条明确规定，临时用地选址应坚持节约集约用地，合理控制用地规模，优先使用建设用地或未利用地，尽量避让永久基本农田，不占或少占耕地。</w:t>
            </w:r>
          </w:p>
          <w:p w14:paraId="34B370C5">
            <w:pPr>
              <w:spacing w:line="360" w:lineRule="auto"/>
              <w:ind w:firstLine="480" w:firstLineChars="200"/>
              <w:rPr>
                <w:rFonts w:hint="eastAsia"/>
                <w:color w:val="auto"/>
                <w:sz w:val="24"/>
                <w:szCs w:val="24"/>
                <w:highlight w:val="none"/>
              </w:rPr>
            </w:pPr>
            <w:r>
              <w:rPr>
                <w:rFonts w:hint="eastAsia"/>
                <w:color w:val="auto"/>
                <w:sz w:val="24"/>
                <w:szCs w:val="24"/>
                <w:highlight w:val="none"/>
              </w:rPr>
              <w:t>本项目属于水利基础设施建设，</w:t>
            </w:r>
            <w:r>
              <w:rPr>
                <w:rFonts w:hint="eastAsia"/>
                <w:color w:val="auto"/>
                <w:sz w:val="24"/>
                <w:szCs w:val="24"/>
                <w:highlight w:val="none"/>
                <w:lang w:val="en-US" w:eastAsia="zh-CN"/>
              </w:rPr>
              <w:t>施工期为10个月，</w:t>
            </w:r>
            <w:r>
              <w:rPr>
                <w:rFonts w:hint="eastAsia"/>
                <w:color w:val="auto"/>
                <w:sz w:val="24"/>
                <w:szCs w:val="24"/>
                <w:highlight w:val="none"/>
              </w:rPr>
              <w:t>根据该办法第七条规定，使用期限不超过四年。引水工程临时占用永久基本农田的用地用途符合该办法第五条规定的“建设项目施工过程中直接服务于工程施工的项目自用辅助工程，包括地下管线敷设作业、施工便道、农用地表土剥离堆放场”等临时用地范围。</w:t>
            </w:r>
          </w:p>
          <w:p w14:paraId="03E9840A">
            <w:pPr>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③</w:t>
            </w:r>
            <w:r>
              <w:rPr>
                <w:rFonts w:hint="eastAsia"/>
                <w:color w:val="auto"/>
                <w:sz w:val="24"/>
                <w:szCs w:val="24"/>
                <w:highlight w:val="none"/>
              </w:rPr>
              <w:t>选址避让永久基本农田的不可避让性分析</w:t>
            </w:r>
          </w:p>
          <w:p w14:paraId="4AF0E411">
            <w:pPr>
              <w:spacing w:line="360" w:lineRule="auto"/>
              <w:ind w:firstLine="480" w:firstLineChars="200"/>
              <w:rPr>
                <w:rFonts w:hint="eastAsia"/>
                <w:color w:val="auto"/>
                <w:sz w:val="24"/>
                <w:szCs w:val="24"/>
                <w:highlight w:val="none"/>
              </w:rPr>
            </w:pPr>
            <w:r>
              <w:rPr>
                <w:rFonts w:hint="eastAsia"/>
                <w:color w:val="auto"/>
                <w:sz w:val="24"/>
                <w:szCs w:val="24"/>
                <w:highlight w:val="none"/>
              </w:rPr>
              <w:t>《云南省临时用地管理办法》第六条明确要求“尽量避让永久基本农田”，并未绝对禁止占用，允许在确实无法避让的情况下，经审查论证后临时占用。</w:t>
            </w:r>
          </w:p>
          <w:p w14:paraId="6DAA0B9D">
            <w:pPr>
              <w:spacing w:line="360" w:lineRule="auto"/>
              <w:ind w:firstLine="480" w:firstLineChars="200"/>
              <w:rPr>
                <w:rFonts w:hint="eastAsia"/>
                <w:color w:val="auto"/>
                <w:sz w:val="24"/>
                <w:szCs w:val="24"/>
                <w:highlight w:val="none"/>
              </w:rPr>
            </w:pPr>
            <w:r>
              <w:rPr>
                <w:rFonts w:hint="eastAsia"/>
                <w:color w:val="auto"/>
                <w:sz w:val="24"/>
                <w:szCs w:val="24"/>
                <w:highlight w:val="none"/>
              </w:rPr>
              <w:t>引水工程作为线性工程，具有以下特点，导致其难以完全避让永久基本农田：</w:t>
            </w:r>
          </w:p>
          <w:p w14:paraId="09520C21">
            <w:pPr>
              <w:spacing w:line="360" w:lineRule="auto"/>
              <w:ind w:firstLine="480" w:firstLineChars="200"/>
              <w:rPr>
                <w:rFonts w:hint="eastAsia" w:eastAsiaTheme="minorEastAsia"/>
                <w:color w:val="auto"/>
                <w:sz w:val="24"/>
                <w:szCs w:val="24"/>
                <w:highlight w:val="none"/>
                <w:lang w:eastAsia="zh-CN"/>
              </w:rPr>
            </w:pPr>
            <w:r>
              <w:rPr>
                <w:rFonts w:hint="eastAsia"/>
                <w:color w:val="auto"/>
                <w:sz w:val="24"/>
                <w:szCs w:val="24"/>
                <w:highlight w:val="none"/>
              </w:rPr>
              <w:t>线性工程特性限制：引水工程为线性工程，具有区域分布连续性和不可分割性。临时用地需根据项目建设需求沿管线布设，对方案</w:t>
            </w:r>
            <w:r>
              <w:rPr>
                <w:rFonts w:hint="eastAsia"/>
                <w:color w:val="auto"/>
                <w:sz w:val="24"/>
                <w:szCs w:val="24"/>
                <w:highlight w:val="none"/>
                <w:lang w:val="en-US" w:eastAsia="zh-CN"/>
              </w:rPr>
              <w:t>进行</w:t>
            </w:r>
            <w:r>
              <w:rPr>
                <w:rFonts w:hint="eastAsia"/>
                <w:color w:val="auto"/>
                <w:sz w:val="24"/>
                <w:szCs w:val="24"/>
                <w:highlight w:val="none"/>
              </w:rPr>
              <w:t>优化，但受线性工程特性限制，最优方案仍难以完全避免占用永久基本农田。</w:t>
            </w:r>
          </w:p>
          <w:p w14:paraId="09075231">
            <w:pPr>
              <w:spacing w:line="360" w:lineRule="auto"/>
              <w:ind w:firstLine="480" w:firstLineChars="200"/>
              <w:rPr>
                <w:rFonts w:hint="eastAsia"/>
                <w:color w:val="auto"/>
                <w:sz w:val="24"/>
                <w:szCs w:val="24"/>
                <w:highlight w:val="none"/>
              </w:rPr>
            </w:pPr>
            <w:r>
              <w:rPr>
                <w:rFonts w:hint="eastAsia"/>
                <w:color w:val="auto"/>
                <w:sz w:val="24"/>
                <w:szCs w:val="24"/>
                <w:highlight w:val="none"/>
              </w:rPr>
              <w:t>永久基本农田布局集中：项目区域内永久基本农田布局相对集中，而满足施工需求以及不占用永久基本农田的临时用地场址地形复杂，不适合布置地下管线敷设作业、施工便道、弃土场等临时设施。</w:t>
            </w:r>
          </w:p>
          <w:p w14:paraId="069B8F48">
            <w:pPr>
              <w:spacing w:line="360" w:lineRule="auto"/>
              <w:ind w:firstLine="480" w:firstLineChars="200"/>
              <w:rPr>
                <w:rFonts w:hint="eastAsia"/>
                <w:color w:val="auto"/>
                <w:sz w:val="24"/>
                <w:szCs w:val="24"/>
                <w:highlight w:val="none"/>
              </w:rPr>
            </w:pPr>
            <w:r>
              <w:rPr>
                <w:rFonts w:hint="eastAsia"/>
                <w:color w:val="auto"/>
                <w:sz w:val="24"/>
                <w:szCs w:val="24"/>
                <w:highlight w:val="none"/>
              </w:rPr>
              <w:t>地质地貌条件制约：引水管道工程的选线需综合考虑地形地貌条件、地质条件、线路走向、生态环境和投资强度等多种要素，尤其是需避开地质灾害对工程产生的潜在不利影响。临时用地选址受主体工程线路选址的制约，多项因素难以同时兼顾。</w:t>
            </w:r>
          </w:p>
          <w:p w14:paraId="619EA13B">
            <w:pPr>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通过</w:t>
            </w:r>
            <w:r>
              <w:rPr>
                <w:rFonts w:hint="eastAsia"/>
                <w:color w:val="auto"/>
                <w:sz w:val="24"/>
                <w:szCs w:val="24"/>
                <w:highlight w:val="none"/>
              </w:rPr>
              <w:t>方案比选，均难以避免</w:t>
            </w:r>
            <w:r>
              <w:rPr>
                <w:rFonts w:hint="eastAsia"/>
                <w:color w:val="auto"/>
                <w:sz w:val="24"/>
                <w:szCs w:val="24"/>
                <w:highlight w:val="none"/>
                <w:lang w:val="en-US" w:eastAsia="zh-CN"/>
              </w:rPr>
              <w:t>临时</w:t>
            </w:r>
            <w:r>
              <w:rPr>
                <w:rFonts w:hint="eastAsia"/>
                <w:color w:val="auto"/>
                <w:sz w:val="24"/>
                <w:szCs w:val="24"/>
                <w:highlight w:val="none"/>
              </w:rPr>
              <w:t>占用永久基本农田，项目已最大程度控制和减少了占用永久基本农田的面积。</w:t>
            </w:r>
          </w:p>
          <w:p w14:paraId="66D22978">
            <w:pPr>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④</w:t>
            </w:r>
            <w:r>
              <w:rPr>
                <w:rFonts w:hint="eastAsia"/>
                <w:color w:val="auto"/>
                <w:sz w:val="24"/>
                <w:szCs w:val="24"/>
                <w:highlight w:val="none"/>
              </w:rPr>
              <w:t>土地复垦义务的符合性</w:t>
            </w:r>
          </w:p>
          <w:p w14:paraId="0447FDB7">
            <w:pPr>
              <w:spacing w:line="360" w:lineRule="auto"/>
              <w:ind w:firstLine="480" w:firstLineChars="200"/>
              <w:rPr>
                <w:rFonts w:hint="eastAsia"/>
                <w:color w:val="auto"/>
                <w:sz w:val="24"/>
                <w:szCs w:val="24"/>
                <w:highlight w:val="none"/>
              </w:rPr>
            </w:pPr>
            <w:r>
              <w:rPr>
                <w:rFonts w:hint="eastAsia"/>
                <w:color w:val="auto"/>
                <w:sz w:val="24"/>
                <w:szCs w:val="24"/>
                <w:highlight w:val="none"/>
              </w:rPr>
              <w:t>《云南省土地管理条例》配套规定明确，临时用地使用后应通过复垦可恢复原地类或者达到可供利用状态。《云南省临时用地管理办法》第四条明确了临时用地使用应当遵循保护耕地、节约集约、依法使用、严格复垦的原则。</w:t>
            </w:r>
          </w:p>
          <w:p w14:paraId="59851B56">
            <w:pPr>
              <w:spacing w:line="360" w:lineRule="auto"/>
              <w:ind w:firstLine="480" w:firstLineChars="200"/>
              <w:rPr>
                <w:rFonts w:hint="eastAsia"/>
                <w:color w:val="auto"/>
                <w:sz w:val="24"/>
                <w:szCs w:val="24"/>
                <w:highlight w:val="none"/>
              </w:rPr>
            </w:pPr>
            <w:r>
              <w:rPr>
                <w:rFonts w:hint="eastAsia"/>
                <w:color w:val="auto"/>
                <w:sz w:val="24"/>
                <w:szCs w:val="24"/>
                <w:highlight w:val="none"/>
              </w:rPr>
              <w:t>本项目须编制土地复垦方案，确保施工结束后能够恢复原种植条件。临时用地使用过程中，应采取耕地耕作层土壤剥离再利用等工程技术措施，减少对耕作层的破坏。临时用地占用永久基本农田的，到期后土地使用者应及时复垦恢复原种植条件。</w:t>
            </w:r>
          </w:p>
          <w:p w14:paraId="24FAA762">
            <w:pPr>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rPr>
              <w:t>项目使用期满后，应在规定期限内（一般为一年内）完成土地复垦，复垦标准为恢复至原有耕地数量不减少、质量不降低。</w:t>
            </w:r>
          </w:p>
          <w:p w14:paraId="0E925023">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lang w:val="en-US" w:eastAsia="zh-CN"/>
              </w:rPr>
            </w:pPr>
            <w:r>
              <w:rPr>
                <w:rFonts w:hint="eastAsia" w:ascii="Times New Roman" w:hAnsi="Times New Roman"/>
                <w:b w:val="0"/>
                <w:bCs w:val="0"/>
                <w:color w:val="auto"/>
                <w:sz w:val="24"/>
                <w:szCs w:val="24"/>
                <w:highlight w:val="none"/>
                <w:lang w:val="en-US" w:eastAsia="zh-CN"/>
              </w:rPr>
              <w:t>综上所述，项目符合</w:t>
            </w:r>
            <w:r>
              <w:rPr>
                <w:rFonts w:hint="eastAsia"/>
                <w:color w:val="auto"/>
                <w:sz w:val="24"/>
                <w:szCs w:val="24"/>
                <w:highlight w:val="none"/>
                <w:lang w:val="en-US" w:eastAsia="zh-CN"/>
              </w:rPr>
              <w:t>《云南省土地管理条例》</w:t>
            </w:r>
            <w:r>
              <w:rPr>
                <w:rFonts w:hint="eastAsia" w:ascii="Times New Roman" w:hAnsi="Times New Roman"/>
                <w:b w:val="0"/>
                <w:bCs w:val="0"/>
                <w:color w:val="auto"/>
                <w:sz w:val="24"/>
                <w:szCs w:val="24"/>
                <w:highlight w:val="none"/>
                <w:lang w:val="en-US" w:eastAsia="zh-CN"/>
              </w:rPr>
              <w:t>相关规定。</w:t>
            </w:r>
          </w:p>
          <w:p w14:paraId="5353AE6B">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lang w:val="en-US" w:eastAsia="zh-CN"/>
              </w:rPr>
            </w:pPr>
            <w:r>
              <w:rPr>
                <w:rFonts w:hint="eastAsia"/>
                <w:color w:val="auto"/>
                <w:sz w:val="24"/>
                <w:szCs w:val="24"/>
                <w:highlight w:val="none"/>
                <w:lang w:val="en-US" w:eastAsia="zh-CN"/>
              </w:rPr>
              <w:t>（3）与《云南省基本农田保护条例》符合性分析</w:t>
            </w:r>
          </w:p>
          <w:p w14:paraId="55047ED9">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color w:val="auto"/>
                <w:sz w:val="24"/>
                <w:highlight w:val="none"/>
                <w:lang w:val="en-US" w:eastAsia="zh-CN"/>
              </w:rPr>
              <w:t>管线采用埋管敷设，为临时占用，管线实施工程中，需边实施边及时恢复原种植条件。</w:t>
            </w:r>
          </w:p>
          <w:p w14:paraId="7F31E870">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根据《云南省基本农田保护条例》中第十二条</w:t>
            </w:r>
            <w:r>
              <w:rPr>
                <w:rFonts w:hint="eastAsia"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国家能源、交通、水利、军事设施等重点建设项目选址确定无法避开基本农田保护区，需要占用基本农田的，建设单位应当持有关批准文件，向县级以上人民政府土地行政主管部门提出用地申请，由县级人民政府土地行政主管部门拟定方案，经同级人民政府审核后，逐级上报国务院批准。经批准占用和临时占用基本农田损坏农田水利等生产基础设施的，由县级人民政府农业或者水利行政主管部门责令其限期修复和赔偿损失。</w:t>
            </w:r>
            <w:r>
              <w:rPr>
                <w:rFonts w:hint="eastAsia" w:cs="Times New Roman"/>
                <w:b w:val="0"/>
                <w:bCs w:val="0"/>
                <w:color w:val="auto"/>
                <w:sz w:val="24"/>
                <w:szCs w:val="24"/>
                <w:highlight w:val="none"/>
                <w:lang w:val="en-US" w:eastAsia="zh-CN"/>
              </w:rPr>
              <w:t>”</w:t>
            </w:r>
          </w:p>
          <w:p w14:paraId="42D91759">
            <w:pPr>
              <w:spacing w:beforeLines="0" w:afterLines="0" w:line="360" w:lineRule="auto"/>
              <w:ind w:firstLine="480" w:firstLineChars="200"/>
              <w:jc w:val="left"/>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val="0"/>
                <w:bCs w:val="0"/>
                <w:color w:val="auto"/>
                <w:sz w:val="24"/>
                <w:szCs w:val="24"/>
                <w:highlight w:val="none"/>
                <w:lang w:val="en-US" w:eastAsia="zh-CN"/>
              </w:rPr>
              <w:t>本项目为</w:t>
            </w:r>
            <w:r>
              <w:rPr>
                <w:rFonts w:hint="eastAsia" w:cs="Times New Roman"/>
                <w:b w:val="0"/>
                <w:bCs w:val="0"/>
                <w:color w:val="auto"/>
                <w:sz w:val="24"/>
                <w:szCs w:val="24"/>
                <w:highlight w:val="none"/>
                <w:lang w:val="en-US" w:eastAsia="zh-CN"/>
              </w:rPr>
              <w:t>引水</w:t>
            </w:r>
            <w:r>
              <w:rPr>
                <w:rFonts w:hint="default" w:ascii="Times New Roman" w:hAnsi="Times New Roman" w:eastAsia="宋体" w:cs="Times New Roman"/>
                <w:b w:val="0"/>
                <w:bCs w:val="0"/>
                <w:color w:val="auto"/>
                <w:sz w:val="24"/>
                <w:szCs w:val="24"/>
                <w:highlight w:val="none"/>
                <w:lang w:val="en-US" w:eastAsia="zh-CN"/>
              </w:rPr>
              <w:t>工程，</w:t>
            </w:r>
            <w:r>
              <w:rPr>
                <w:rFonts w:hint="eastAsia" w:cs="Times New Roman"/>
                <w:b w:val="0"/>
                <w:bCs w:val="0"/>
                <w:color w:val="auto"/>
                <w:sz w:val="24"/>
                <w:szCs w:val="24"/>
                <w:highlight w:val="none"/>
                <w:lang w:val="en-US" w:eastAsia="zh-CN"/>
              </w:rPr>
              <w:t>仅在管线施工阶段涉及</w:t>
            </w:r>
            <w:r>
              <w:rPr>
                <w:rFonts w:hint="default" w:ascii="Times New Roman" w:hAnsi="Times New Roman" w:eastAsia="宋体" w:cs="Times New Roman"/>
                <w:b w:val="0"/>
                <w:bCs w:val="0"/>
                <w:color w:val="auto"/>
                <w:sz w:val="24"/>
                <w:szCs w:val="24"/>
                <w:highlight w:val="none"/>
                <w:lang w:val="en-US" w:eastAsia="zh-CN"/>
              </w:rPr>
              <w:t>临时占用</w:t>
            </w:r>
            <w:r>
              <w:rPr>
                <w:rFonts w:hint="eastAsia" w:cs="Times New Roman"/>
                <w:b w:val="0"/>
                <w:bCs w:val="0"/>
                <w:color w:val="auto"/>
                <w:sz w:val="24"/>
                <w:szCs w:val="24"/>
                <w:highlight w:val="none"/>
                <w:lang w:val="en-US" w:eastAsia="zh-CN"/>
              </w:rPr>
              <w:t>永久</w:t>
            </w:r>
            <w:r>
              <w:rPr>
                <w:rFonts w:hint="default" w:ascii="Times New Roman" w:hAnsi="Times New Roman" w:eastAsia="宋体" w:cs="Times New Roman"/>
                <w:b w:val="0"/>
                <w:bCs w:val="0"/>
                <w:color w:val="auto"/>
                <w:sz w:val="24"/>
                <w:szCs w:val="24"/>
                <w:highlight w:val="none"/>
                <w:lang w:val="en-US" w:eastAsia="zh-CN"/>
              </w:rPr>
              <w:t>基本农田，施工期间不损坏农田水利设施，施工期间对被</w:t>
            </w:r>
            <w:r>
              <w:rPr>
                <w:rFonts w:hint="eastAsia" w:cs="Times New Roman"/>
                <w:b w:val="0"/>
                <w:bCs w:val="0"/>
                <w:color w:val="auto"/>
                <w:sz w:val="24"/>
                <w:szCs w:val="24"/>
                <w:highlight w:val="none"/>
                <w:lang w:val="en-US" w:eastAsia="zh-CN"/>
              </w:rPr>
              <w:t>临时</w:t>
            </w:r>
            <w:r>
              <w:rPr>
                <w:rFonts w:hint="default" w:ascii="Times New Roman" w:hAnsi="Times New Roman" w:eastAsia="宋体" w:cs="Times New Roman"/>
                <w:b w:val="0"/>
                <w:bCs w:val="0"/>
                <w:color w:val="auto"/>
                <w:sz w:val="24"/>
                <w:szCs w:val="24"/>
                <w:highlight w:val="none"/>
                <w:lang w:val="en-US" w:eastAsia="zh-CN"/>
              </w:rPr>
              <w:t>征占的</w:t>
            </w:r>
            <w:r>
              <w:rPr>
                <w:rFonts w:hint="eastAsia" w:cs="Times New Roman"/>
                <w:b w:val="0"/>
                <w:bCs w:val="0"/>
                <w:color w:val="auto"/>
                <w:sz w:val="24"/>
                <w:szCs w:val="24"/>
                <w:highlight w:val="none"/>
                <w:lang w:val="en-US" w:eastAsia="zh-CN"/>
              </w:rPr>
              <w:t>永久</w:t>
            </w:r>
            <w:r>
              <w:rPr>
                <w:rFonts w:hint="default" w:ascii="Times New Roman" w:hAnsi="Times New Roman" w:eastAsia="宋体" w:cs="Times New Roman"/>
                <w:b w:val="0"/>
                <w:bCs w:val="0"/>
                <w:color w:val="auto"/>
                <w:sz w:val="24"/>
                <w:szCs w:val="24"/>
                <w:highlight w:val="none"/>
                <w:lang w:val="en-US" w:eastAsia="zh-CN"/>
              </w:rPr>
              <w:t>基本农田进行相关的经济补偿，符合《云南省基本农田保护条例》的相关要求。</w:t>
            </w:r>
          </w:p>
          <w:p w14:paraId="060FDE61">
            <w:pPr>
              <w:spacing w:beforeLines="0" w:afterLines="0" w:line="360" w:lineRule="auto"/>
              <w:jc w:val="left"/>
              <w:rPr>
                <w:rFonts w:hint="default" w:ascii="Times New Roman" w:hAnsi="Times New Roman" w:eastAsia="宋体" w:cs="Times New Roman"/>
                <w:b/>
                <w:bCs w:val="0"/>
                <w:color w:val="auto"/>
                <w:sz w:val="24"/>
                <w:szCs w:val="24"/>
              </w:rPr>
            </w:pPr>
            <w:r>
              <w:rPr>
                <w:rFonts w:hint="eastAsia" w:ascii="Times New Roman" w:hAnsi="Times New Roman" w:cs="Times New Roman"/>
                <w:b/>
                <w:bCs w:val="0"/>
                <w:color w:val="auto"/>
                <w:sz w:val="24"/>
                <w:szCs w:val="24"/>
                <w:lang w:val="en-US" w:eastAsia="zh-CN"/>
              </w:rPr>
              <w:t>7、</w:t>
            </w:r>
            <w:r>
              <w:rPr>
                <w:rFonts w:hint="default" w:ascii="Times New Roman" w:hAnsi="Times New Roman" w:eastAsia="宋体" w:cs="Times New Roman"/>
                <w:b/>
                <w:bCs w:val="0"/>
                <w:color w:val="auto"/>
                <w:sz w:val="24"/>
                <w:szCs w:val="24"/>
              </w:rPr>
              <w:t>项目与《云南省主体功能区规划》的符合性分析</w:t>
            </w:r>
          </w:p>
          <w:p w14:paraId="50DFE7E9">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0000FF"/>
                <w:sz w:val="24"/>
                <w:szCs w:val="24"/>
              </w:rPr>
            </w:pPr>
            <w:r>
              <w:rPr>
                <w:rFonts w:hint="default" w:ascii="Times New Roman" w:hAnsi="Times New Roman" w:eastAsia="宋体" w:cs="Times New Roman"/>
                <w:color w:val="auto"/>
                <w:sz w:val="24"/>
                <w:szCs w:val="24"/>
              </w:rPr>
              <w:t>根据《云南省主体功能区规划》，本项目所在区域的安宁市主体功能区划属于“国家重点开发区域”。根据省级重点生态功能区开发和管制原则，本项目与《云南省主体功能区规划》的符合性分析如下表所示：</w:t>
            </w:r>
          </w:p>
          <w:p w14:paraId="6D9E0378">
            <w:pPr>
              <w:autoSpaceDE w:val="0"/>
              <w:autoSpaceDN w:val="0"/>
              <w:adjustRightInd w:val="0"/>
              <w:snapToGrid w:val="0"/>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表1-</w:t>
            </w:r>
            <w:r>
              <w:rPr>
                <w:rFonts w:hint="eastAsia" w:ascii="Times New Roman" w:hAnsi="Times New Roman" w:cs="Times New Roman"/>
                <w:b/>
                <w:bCs/>
                <w:color w:val="auto"/>
                <w:sz w:val="24"/>
                <w:szCs w:val="24"/>
                <w:lang w:val="en-US" w:eastAsia="zh-CN"/>
              </w:rPr>
              <w:t>5</w:t>
            </w:r>
            <w:r>
              <w:rPr>
                <w:rFonts w:hint="default"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 xml:space="preserve"> 项目与《云南省主体功能区规划》符合性分析一览表</w:t>
            </w:r>
          </w:p>
          <w:tbl>
            <w:tblPr>
              <w:tblStyle w:val="26"/>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8"/>
              <w:gridCol w:w="2230"/>
              <w:gridCol w:w="703"/>
            </w:tblGrid>
            <w:tr w14:paraId="6FD3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92" w:type="pct"/>
                  <w:tcBorders>
                    <w:tl2br w:val="nil"/>
                    <w:tr2bl w:val="nil"/>
                  </w:tcBorders>
                  <w:noWrap w:val="0"/>
                  <w:vAlign w:val="center"/>
                </w:tcPr>
                <w:p w14:paraId="1C27248A">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《云南省主体功能区规划》国家层面重点开发区域的发展方向</w:t>
                  </w:r>
                </w:p>
              </w:tc>
              <w:tc>
                <w:tcPr>
                  <w:tcW w:w="1449" w:type="pct"/>
                  <w:tcBorders>
                    <w:tl2br w:val="nil"/>
                    <w:tr2bl w:val="nil"/>
                  </w:tcBorders>
                  <w:noWrap w:val="0"/>
                  <w:vAlign w:val="center"/>
                </w:tcPr>
                <w:p w14:paraId="6E09A477">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本项目</w:t>
                  </w:r>
                </w:p>
              </w:tc>
              <w:tc>
                <w:tcPr>
                  <w:tcW w:w="457" w:type="pct"/>
                  <w:tcBorders>
                    <w:tl2br w:val="nil"/>
                    <w:tr2bl w:val="nil"/>
                  </w:tcBorders>
                  <w:noWrap w:val="0"/>
                  <w:vAlign w:val="center"/>
                </w:tcPr>
                <w:p w14:paraId="164C5AE6">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符合性</w:t>
                  </w:r>
                </w:p>
              </w:tc>
            </w:tr>
            <w:tr w14:paraId="5AE6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92" w:type="pct"/>
                  <w:tcBorders>
                    <w:tl2br w:val="nil"/>
                    <w:tr2bl w:val="nil"/>
                  </w:tcBorders>
                  <w:noWrap w:val="0"/>
                  <w:vAlign w:val="center"/>
                </w:tcPr>
                <w:p w14:paraId="066F3134">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 xml:space="preserve">构建 </w:t>
                  </w:r>
                  <w:r>
                    <w:rPr>
                      <w:rFonts w:hint="default" w:ascii="Times New Roman" w:hAnsi="Times New Roman" w:eastAsia="Times New Roman" w:cs="Times New Roman"/>
                      <w:color w:val="auto"/>
                      <w:sz w:val="21"/>
                      <w:szCs w:val="24"/>
                    </w:rPr>
                    <w:t>“</w:t>
                  </w:r>
                  <w:r>
                    <w:rPr>
                      <w:rFonts w:hint="default" w:ascii="Times New Roman" w:hAnsi="Times New Roman" w:eastAsia="宋体" w:cs="Times New Roman"/>
                      <w:color w:val="auto"/>
                      <w:sz w:val="21"/>
                      <w:szCs w:val="24"/>
                    </w:rPr>
                    <w:t xml:space="preserve">一区、两带、四城、多点 </w:t>
                  </w:r>
                  <w:r>
                    <w:rPr>
                      <w:rFonts w:hint="default" w:ascii="Times New Roman" w:hAnsi="Times New Roman" w:eastAsia="Times New Roman" w:cs="Times New Roman"/>
                      <w:color w:val="auto"/>
                      <w:sz w:val="21"/>
                      <w:szCs w:val="24"/>
                    </w:rPr>
                    <w:t>”</w:t>
                  </w:r>
                  <w:r>
                    <w:rPr>
                      <w:rFonts w:hint="default" w:ascii="Times New Roman" w:hAnsi="Times New Roman" w:eastAsia="宋体" w:cs="Times New Roman"/>
                      <w:color w:val="auto"/>
                      <w:sz w:val="21"/>
                      <w:szCs w:val="24"/>
                    </w:rPr>
                    <w:t xml:space="preserve">一体化的滇中城市经济圈空间格局。加快滇中产业聚集区 </w:t>
                  </w:r>
                  <w:r>
                    <w:rPr>
                      <w:rFonts w:hint="default" w:ascii="Times New Roman" w:hAnsi="Times New Roman" w:eastAsia="Times New Roman" w:cs="Times New Roman"/>
                      <w:color w:val="auto"/>
                      <w:sz w:val="21"/>
                      <w:szCs w:val="24"/>
                    </w:rPr>
                    <w:t>11</w:t>
                  </w:r>
                  <w:r>
                    <w:rPr>
                      <w:rFonts w:hint="default" w:ascii="Times New Roman" w:hAnsi="Times New Roman" w:eastAsia="宋体" w:cs="Times New Roman"/>
                      <w:color w:val="auto"/>
                      <w:sz w:val="21"/>
                      <w:szCs w:val="24"/>
                    </w:rPr>
                    <w:t>规划建设，促进形成昆</w:t>
                  </w:r>
                  <w:r>
                    <w:rPr>
                      <w:rFonts w:hint="eastAsia" w:ascii="Times New Roman" w:hAnsi="Times New Roman" w:cs="Times New Roman"/>
                      <w:color w:val="auto"/>
                      <w:sz w:val="21"/>
                      <w:szCs w:val="24"/>
                      <w:lang w:eastAsia="zh-CN"/>
                    </w:rPr>
                    <w:t>（</w:t>
                  </w:r>
                  <w:r>
                    <w:rPr>
                      <w:rFonts w:hint="default" w:ascii="Times New Roman" w:hAnsi="Times New Roman" w:eastAsia="宋体" w:cs="Times New Roman"/>
                      <w:color w:val="auto"/>
                      <w:sz w:val="21"/>
                      <w:szCs w:val="24"/>
                    </w:rPr>
                    <w:t>明）曲</w:t>
                  </w:r>
                  <w:r>
                    <w:rPr>
                      <w:rFonts w:hint="eastAsia" w:ascii="Times New Roman" w:hAnsi="Times New Roman" w:cs="Times New Roman"/>
                      <w:color w:val="auto"/>
                      <w:sz w:val="21"/>
                      <w:szCs w:val="24"/>
                      <w:lang w:eastAsia="zh-CN"/>
                    </w:rPr>
                    <w:t>（</w:t>
                  </w:r>
                  <w:r>
                    <w:rPr>
                      <w:rFonts w:hint="default" w:ascii="Times New Roman" w:hAnsi="Times New Roman" w:eastAsia="宋体" w:cs="Times New Roman"/>
                      <w:color w:val="auto"/>
                      <w:sz w:val="21"/>
                      <w:szCs w:val="24"/>
                    </w:rPr>
                    <w:t>靖）绿色经济示范带和昆</w:t>
                  </w:r>
                  <w:r>
                    <w:rPr>
                      <w:rFonts w:hint="eastAsia" w:ascii="Times New Roman" w:hAnsi="Times New Roman" w:cs="Times New Roman"/>
                      <w:color w:val="auto"/>
                      <w:sz w:val="21"/>
                      <w:szCs w:val="24"/>
                      <w:lang w:eastAsia="zh-CN"/>
                    </w:rPr>
                    <w:t>（</w:t>
                  </w:r>
                  <w:r>
                    <w:rPr>
                      <w:rFonts w:hint="default" w:ascii="Times New Roman" w:hAnsi="Times New Roman" w:eastAsia="宋体" w:cs="Times New Roman"/>
                      <w:color w:val="auto"/>
                      <w:sz w:val="21"/>
                      <w:szCs w:val="24"/>
                    </w:rPr>
                    <w:t>明）玉</w:t>
                  </w:r>
                  <w:r>
                    <w:rPr>
                      <w:rFonts w:hint="eastAsia" w:ascii="Times New Roman" w:hAnsi="Times New Roman" w:cs="Times New Roman"/>
                      <w:color w:val="auto"/>
                      <w:sz w:val="21"/>
                      <w:szCs w:val="24"/>
                      <w:lang w:eastAsia="zh-CN"/>
                    </w:rPr>
                    <w:t>（</w:t>
                  </w:r>
                  <w:r>
                    <w:rPr>
                      <w:rFonts w:hint="default" w:ascii="Times New Roman" w:hAnsi="Times New Roman" w:eastAsia="宋体" w:cs="Times New Roman"/>
                      <w:color w:val="auto"/>
                      <w:sz w:val="21"/>
                      <w:szCs w:val="24"/>
                    </w:rPr>
                    <w:t xml:space="preserve">溪）旅游文化产业经济带，重点建设昆明、曲靖、玉溪、楚雄 </w:t>
                  </w:r>
                  <w:r>
                    <w:rPr>
                      <w:rFonts w:hint="default" w:ascii="Times New Roman" w:hAnsi="Times New Roman" w:eastAsia="Times New Roman" w:cs="Times New Roman"/>
                      <w:color w:val="auto"/>
                      <w:sz w:val="21"/>
                      <w:szCs w:val="24"/>
                    </w:rPr>
                    <w:t>4</w:t>
                  </w:r>
                  <w:r>
                    <w:rPr>
                      <w:rFonts w:hint="default" w:ascii="Times New Roman" w:hAnsi="Times New Roman" w:eastAsia="宋体" w:cs="Times New Roman"/>
                      <w:color w:val="auto"/>
                      <w:sz w:val="21"/>
                      <w:szCs w:val="24"/>
                    </w:rPr>
                    <w:t>个中心城市，将以县城为重点的城市和小城镇打造为经济圈城市化、工业化发展的重要支撑。</w:t>
                  </w:r>
                </w:p>
              </w:tc>
              <w:tc>
                <w:tcPr>
                  <w:tcW w:w="1449" w:type="pct"/>
                  <w:tcBorders>
                    <w:tl2br w:val="nil"/>
                    <w:tr2bl w:val="nil"/>
                  </w:tcBorders>
                  <w:noWrap w:val="0"/>
                  <w:vAlign w:val="center"/>
                </w:tcPr>
                <w:p w14:paraId="43C69D15">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本项目位于昆明市安宁市，属于重点建设的中心城市；本项目为</w:t>
                  </w:r>
                  <w:r>
                    <w:rPr>
                      <w:rFonts w:hint="default" w:ascii="Times New Roman" w:hAnsi="Times New Roman" w:eastAsia="宋体" w:cs="Times New Roman"/>
                      <w:color w:val="auto"/>
                      <w:sz w:val="21"/>
                      <w:szCs w:val="24"/>
                      <w:lang w:val="en-US" w:eastAsia="zh-CN"/>
                    </w:rPr>
                    <w:t>引水管网</w:t>
                  </w:r>
                  <w:r>
                    <w:rPr>
                      <w:rFonts w:hint="default" w:ascii="Times New Roman" w:hAnsi="Times New Roman" w:eastAsia="宋体" w:cs="Times New Roman"/>
                      <w:color w:val="auto"/>
                      <w:sz w:val="21"/>
                      <w:szCs w:val="24"/>
                    </w:rPr>
                    <w:t>建设项目，</w:t>
                  </w:r>
                  <w:r>
                    <w:rPr>
                      <w:rFonts w:hint="default" w:ascii="Times New Roman" w:hAnsi="Times New Roman" w:eastAsia="宋体" w:cs="Times New Roman"/>
                      <w:color w:val="auto"/>
                      <w:sz w:val="21"/>
                      <w:szCs w:val="24"/>
                      <w:lang w:val="en-US" w:eastAsia="zh-CN"/>
                    </w:rPr>
                    <w:t>属于</w:t>
                  </w:r>
                  <w:r>
                    <w:rPr>
                      <w:rFonts w:hint="default" w:ascii="Times New Roman" w:hAnsi="Times New Roman" w:cs="Times New Roman"/>
                      <w:color w:val="auto"/>
                      <w:sz w:val="21"/>
                      <w:szCs w:val="24"/>
                      <w:lang w:val="en-US" w:eastAsia="zh-CN"/>
                    </w:rPr>
                    <w:t>民生</w:t>
                  </w:r>
                  <w:r>
                    <w:rPr>
                      <w:rFonts w:hint="default" w:ascii="Times New Roman" w:hAnsi="Times New Roman" w:eastAsia="宋体" w:cs="Times New Roman"/>
                      <w:color w:val="auto"/>
                      <w:sz w:val="21"/>
                      <w:szCs w:val="24"/>
                      <w:lang w:val="en-US" w:eastAsia="zh-CN"/>
                    </w:rPr>
                    <w:t>工程，</w:t>
                  </w:r>
                  <w:r>
                    <w:rPr>
                      <w:rFonts w:hint="default" w:ascii="Times New Roman" w:hAnsi="Times New Roman" w:eastAsia="宋体" w:cs="Times New Roman"/>
                      <w:color w:val="auto"/>
                      <w:sz w:val="21"/>
                      <w:szCs w:val="24"/>
                    </w:rPr>
                    <w:t>项目的建设有助于提升城市形象</w:t>
                  </w:r>
                </w:p>
              </w:tc>
              <w:tc>
                <w:tcPr>
                  <w:tcW w:w="457" w:type="pct"/>
                  <w:tcBorders>
                    <w:tl2br w:val="nil"/>
                    <w:tr2bl w:val="nil"/>
                  </w:tcBorders>
                  <w:noWrap w:val="0"/>
                  <w:vAlign w:val="center"/>
                </w:tcPr>
                <w:p w14:paraId="2A3203AE">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5C55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92" w:type="pct"/>
                  <w:tcBorders>
                    <w:tl2br w:val="nil"/>
                    <w:tr2bl w:val="nil"/>
                  </w:tcBorders>
                  <w:noWrap w:val="0"/>
                  <w:vAlign w:val="center"/>
                </w:tcPr>
                <w:p w14:paraId="0E8527C1">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强化昆明的科技创新、商贸流通、信息、旅游、文化和综合服务功能，建设区域性国际交通枢纽、商贸物流中心、历史文化名城、山水园林城市。</w:t>
                  </w:r>
                </w:p>
              </w:tc>
              <w:tc>
                <w:tcPr>
                  <w:tcW w:w="1449" w:type="pct"/>
                  <w:tcBorders>
                    <w:tl2br w:val="nil"/>
                    <w:tr2bl w:val="nil"/>
                  </w:tcBorders>
                  <w:noWrap w:val="0"/>
                  <w:vAlign w:val="center"/>
                </w:tcPr>
                <w:p w14:paraId="1CF60C2B">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本项目不涉及。</w:t>
                  </w:r>
                </w:p>
              </w:tc>
              <w:tc>
                <w:tcPr>
                  <w:tcW w:w="457" w:type="pct"/>
                  <w:tcBorders>
                    <w:tl2br w:val="nil"/>
                    <w:tr2bl w:val="nil"/>
                  </w:tcBorders>
                  <w:noWrap w:val="0"/>
                  <w:vAlign w:val="center"/>
                </w:tcPr>
                <w:p w14:paraId="40F16FA7">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15B5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92" w:type="pct"/>
                  <w:tcBorders>
                    <w:tl2br w:val="nil"/>
                    <w:tr2bl w:val="nil"/>
                  </w:tcBorders>
                  <w:noWrap w:val="0"/>
                  <w:vAlign w:val="center"/>
                </w:tcPr>
                <w:p w14:paraId="51F74919">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曲靖、玉溪和楚雄等城市应依托资源特点和比较优势，加强产业分工协作和对接，实现优势互补、错位发展，形成民族特色和产业特色鲜明的城市。</w:t>
                  </w:r>
                </w:p>
              </w:tc>
              <w:tc>
                <w:tcPr>
                  <w:tcW w:w="1449" w:type="pct"/>
                  <w:tcBorders>
                    <w:tl2br w:val="nil"/>
                    <w:tr2bl w:val="nil"/>
                  </w:tcBorders>
                  <w:noWrap w:val="0"/>
                  <w:vAlign w:val="center"/>
                </w:tcPr>
                <w:p w14:paraId="5BED5E7F">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项目位于</w:t>
                  </w:r>
                  <w:r>
                    <w:rPr>
                      <w:rFonts w:hint="default" w:ascii="Times New Roman" w:hAnsi="Times New Roman" w:eastAsia="宋体" w:cs="Times New Roman"/>
                      <w:color w:val="auto"/>
                      <w:sz w:val="21"/>
                      <w:szCs w:val="24"/>
                      <w:lang w:val="en-US" w:eastAsia="zh-CN"/>
                    </w:rPr>
                    <w:t>安宁市</w:t>
                  </w:r>
                  <w:r>
                    <w:rPr>
                      <w:rFonts w:hint="default" w:ascii="Times New Roman" w:hAnsi="Times New Roman" w:eastAsia="宋体" w:cs="Times New Roman"/>
                      <w:color w:val="auto"/>
                      <w:sz w:val="21"/>
                      <w:szCs w:val="24"/>
                    </w:rPr>
                    <w:t>，不涉及。</w:t>
                  </w:r>
                </w:p>
              </w:tc>
              <w:tc>
                <w:tcPr>
                  <w:tcW w:w="457" w:type="pct"/>
                  <w:tcBorders>
                    <w:tl2br w:val="nil"/>
                    <w:tr2bl w:val="nil"/>
                  </w:tcBorders>
                  <w:noWrap w:val="0"/>
                  <w:vAlign w:val="center"/>
                </w:tcPr>
                <w:p w14:paraId="76856F4B">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73AF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92" w:type="pct"/>
                  <w:tcBorders>
                    <w:tl2br w:val="nil"/>
                    <w:tr2bl w:val="nil"/>
                  </w:tcBorders>
                  <w:noWrap w:val="0"/>
                  <w:vAlign w:val="center"/>
                </w:tcPr>
                <w:p w14:paraId="119EDB2F">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完善国际运输大通道，强化面向东南亚、南亚陆路枢纽功能。加强区域内城际快速轨道交通、通信等基础设施建设，提升区域一体化水平。</w:t>
                  </w:r>
                </w:p>
              </w:tc>
              <w:tc>
                <w:tcPr>
                  <w:tcW w:w="1449" w:type="pct"/>
                  <w:tcBorders>
                    <w:tl2br w:val="nil"/>
                    <w:tr2bl w:val="nil"/>
                  </w:tcBorders>
                  <w:noWrap w:val="0"/>
                  <w:vAlign w:val="center"/>
                </w:tcPr>
                <w:p w14:paraId="736CBD30">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本项目不涉及。</w:t>
                  </w:r>
                </w:p>
              </w:tc>
              <w:tc>
                <w:tcPr>
                  <w:tcW w:w="457" w:type="pct"/>
                  <w:tcBorders>
                    <w:tl2br w:val="nil"/>
                    <w:tr2bl w:val="nil"/>
                  </w:tcBorders>
                  <w:noWrap w:val="0"/>
                  <w:vAlign w:val="center"/>
                </w:tcPr>
                <w:p w14:paraId="3E5B7C8B">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2467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92" w:type="pct"/>
                  <w:tcBorders>
                    <w:tl2br w:val="nil"/>
                    <w:tr2bl w:val="nil"/>
                  </w:tcBorders>
                  <w:noWrap w:val="0"/>
                  <w:vAlign w:val="center"/>
                </w:tcPr>
                <w:p w14:paraId="726AD4C2">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建设高原特色农产品生产基地，发展农产品加工业，稳步提高农产品质量和效益，推进与周边国家的农业合作，建设外销精细蔬菜生产基地、温带鲜切花生产基地和高效林业基地。</w:t>
                  </w:r>
                </w:p>
              </w:tc>
              <w:tc>
                <w:tcPr>
                  <w:tcW w:w="1449" w:type="pct"/>
                  <w:tcBorders>
                    <w:tl2br w:val="nil"/>
                    <w:tr2bl w:val="nil"/>
                  </w:tcBorders>
                  <w:noWrap w:val="0"/>
                  <w:vAlign w:val="center"/>
                </w:tcPr>
                <w:p w14:paraId="2D057843">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本项目不涉及。</w:t>
                  </w:r>
                </w:p>
              </w:tc>
              <w:tc>
                <w:tcPr>
                  <w:tcW w:w="457" w:type="pct"/>
                  <w:tcBorders>
                    <w:tl2br w:val="nil"/>
                    <w:tr2bl w:val="nil"/>
                  </w:tcBorders>
                  <w:noWrap w:val="0"/>
                  <w:vAlign w:val="center"/>
                </w:tcPr>
                <w:p w14:paraId="7F8911CE">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00CF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92" w:type="pct"/>
                  <w:tcBorders>
                    <w:tl2br w:val="nil"/>
                    <w:tr2bl w:val="nil"/>
                  </w:tcBorders>
                  <w:noWrap w:val="0"/>
                  <w:vAlign w:val="center"/>
                </w:tcPr>
                <w:p w14:paraId="71C16597">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加强以滇池、抚仙湖为重点的高原湖泊治理和牛栏江上游水源保护，加大水土流失和石漠化防治力度，构建以高原湖泊为主体，林地、水面相连，带状环绕、块状相间的高原生态格局。进一步加强跨界水污染和区域性大气复合污染整治，废弃物处置、金属污染治理</w:t>
                  </w:r>
                  <w:r>
                    <w:rPr>
                      <w:rFonts w:hint="eastAsia" w:ascii="Times New Roman" w:hAnsi="Times New Roman" w:cs="Times New Roman"/>
                      <w:color w:val="auto"/>
                      <w:sz w:val="21"/>
                      <w:szCs w:val="24"/>
                      <w:lang w:eastAsia="zh-CN"/>
                    </w:rPr>
                    <w:t>，以</w:t>
                  </w:r>
                  <w:r>
                    <w:rPr>
                      <w:rFonts w:hint="default" w:ascii="Times New Roman" w:hAnsi="Times New Roman" w:eastAsia="宋体" w:cs="Times New Roman"/>
                      <w:color w:val="auto"/>
                      <w:sz w:val="21"/>
                      <w:szCs w:val="24"/>
                    </w:rPr>
                    <w:t>森林火灾、野生动植物疫源疫病、有害生物防范等为重点的区域生态安全联防联控力度。</w:t>
                  </w:r>
                </w:p>
              </w:tc>
              <w:tc>
                <w:tcPr>
                  <w:tcW w:w="1449" w:type="pct"/>
                  <w:tcBorders>
                    <w:tl2br w:val="nil"/>
                    <w:tr2bl w:val="nil"/>
                  </w:tcBorders>
                  <w:noWrap w:val="0"/>
                  <w:vAlign w:val="center"/>
                </w:tcPr>
                <w:p w14:paraId="2231EB2E">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项目</w:t>
                  </w:r>
                  <w:r>
                    <w:rPr>
                      <w:rFonts w:hint="default" w:ascii="Times New Roman" w:hAnsi="Times New Roman" w:cs="Times New Roman"/>
                      <w:color w:val="auto"/>
                      <w:sz w:val="21"/>
                      <w:szCs w:val="24"/>
                      <w:lang w:val="en-US" w:eastAsia="zh-CN"/>
                    </w:rPr>
                    <w:t>不</w:t>
                  </w:r>
                  <w:r>
                    <w:rPr>
                      <w:rFonts w:hint="default" w:ascii="Times New Roman" w:hAnsi="Times New Roman" w:eastAsia="宋体" w:cs="Times New Roman"/>
                      <w:color w:val="auto"/>
                      <w:sz w:val="21"/>
                      <w:szCs w:val="24"/>
                    </w:rPr>
                    <w:t>涉及</w:t>
                  </w:r>
                  <w:r>
                    <w:rPr>
                      <w:rFonts w:hint="default" w:ascii="Times New Roman" w:hAnsi="Times New Roman" w:eastAsia="宋体" w:cs="Times New Roman"/>
                      <w:color w:val="auto"/>
                      <w:sz w:val="21"/>
                      <w:szCs w:val="24"/>
                      <w:lang w:val="en-US" w:eastAsia="zh-CN"/>
                    </w:rPr>
                    <w:t>车木河水库</w:t>
                  </w:r>
                  <w:r>
                    <w:rPr>
                      <w:rFonts w:hint="default" w:ascii="Times New Roman" w:hAnsi="Times New Roman" w:eastAsia="宋体" w:cs="Times New Roman"/>
                      <w:color w:val="auto"/>
                      <w:sz w:val="21"/>
                      <w:szCs w:val="24"/>
                    </w:rPr>
                    <w:t>饮用水水源保护区</w:t>
                  </w:r>
                  <w:r>
                    <w:rPr>
                      <w:rFonts w:hint="default" w:ascii="Times New Roman" w:hAnsi="Times New Roman" w:eastAsia="宋体" w:cs="Times New Roman"/>
                      <w:color w:val="auto"/>
                      <w:sz w:val="21"/>
                      <w:szCs w:val="24"/>
                      <w:lang w:eastAsia="zh-CN"/>
                    </w:rPr>
                    <w:t>，</w:t>
                  </w:r>
                  <w:r>
                    <w:rPr>
                      <w:rFonts w:hint="default" w:ascii="Times New Roman" w:hAnsi="Times New Roman" w:eastAsia="宋体" w:cs="Times New Roman"/>
                      <w:color w:val="auto"/>
                      <w:sz w:val="21"/>
                      <w:szCs w:val="24"/>
                      <w:lang w:val="en-US" w:eastAsia="zh-CN"/>
                    </w:rPr>
                    <w:t>项目引水管线工程属于供水设施，属于民生工程，同时根据叠图确认，不在车木河水库</w:t>
                  </w:r>
                  <w:r>
                    <w:rPr>
                      <w:rFonts w:hint="default" w:ascii="Times New Roman" w:hAnsi="Times New Roman" w:eastAsia="宋体" w:cs="Times New Roman"/>
                      <w:color w:val="auto"/>
                      <w:sz w:val="21"/>
                      <w:szCs w:val="24"/>
                    </w:rPr>
                    <w:t>水功能一级、二级区的保护区和保留区</w:t>
                  </w:r>
                </w:p>
              </w:tc>
              <w:tc>
                <w:tcPr>
                  <w:tcW w:w="457" w:type="pct"/>
                  <w:tcBorders>
                    <w:tl2br w:val="nil"/>
                    <w:tr2bl w:val="nil"/>
                  </w:tcBorders>
                  <w:noWrap w:val="0"/>
                  <w:vAlign w:val="center"/>
                </w:tcPr>
                <w:p w14:paraId="2C2C652A">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bl>
          <w:p w14:paraId="6FE2F683">
            <w:pPr>
              <w:keepNext w:val="0"/>
              <w:keepLines w:val="0"/>
              <w:pageBreakBefore w:val="0"/>
              <w:widowControl w:val="0"/>
              <w:kinsoku/>
              <w:wordWrap/>
              <w:overflowPunct/>
              <w:topLinePunct w:val="0"/>
              <w:autoSpaceDE/>
              <w:autoSpaceDN/>
              <w:bidi w:val="0"/>
              <w:adjustRightInd/>
              <w:snapToGrid/>
              <w:spacing w:before="313" w:beforeLines="100" w:afterLines="0"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根据上表分析可知，项目建设与《云南省主体功能区规划》</w:t>
            </w:r>
            <w:r>
              <w:rPr>
                <w:rFonts w:hint="eastAsia" w:ascii="Times New Roman" w:hAnsi="Times New Roman" w:cs="Times New Roman"/>
                <w:color w:val="auto"/>
                <w:sz w:val="24"/>
                <w:szCs w:val="24"/>
                <w:lang w:eastAsia="zh-CN"/>
              </w:rPr>
              <w:t>符合</w:t>
            </w:r>
            <w:r>
              <w:rPr>
                <w:rFonts w:hint="default" w:ascii="Times New Roman" w:hAnsi="Times New Roman" w:eastAsia="宋体" w:cs="Times New Roman"/>
                <w:color w:val="auto"/>
                <w:sz w:val="24"/>
                <w:szCs w:val="24"/>
              </w:rPr>
              <w:t>。</w:t>
            </w:r>
          </w:p>
          <w:p w14:paraId="7D523F41">
            <w:pPr>
              <w:spacing w:beforeLines="0" w:afterLines="0" w:line="360" w:lineRule="auto"/>
              <w:jc w:val="left"/>
              <w:rPr>
                <w:rFonts w:hint="default" w:ascii="Times New Roman" w:hAnsi="Times New Roman" w:eastAsia="宋体" w:cs="Times New Roman"/>
                <w:b/>
                <w:bCs w:val="0"/>
                <w:color w:val="auto"/>
                <w:sz w:val="24"/>
                <w:szCs w:val="24"/>
              </w:rPr>
            </w:pPr>
            <w:r>
              <w:rPr>
                <w:rFonts w:hint="eastAsia" w:ascii="Times New Roman" w:hAnsi="Times New Roman" w:cs="Times New Roman"/>
                <w:b/>
                <w:bCs w:val="0"/>
                <w:color w:val="auto"/>
                <w:sz w:val="24"/>
                <w:szCs w:val="24"/>
                <w:lang w:val="en-US" w:eastAsia="zh-CN"/>
              </w:rPr>
              <w:t>8</w:t>
            </w:r>
            <w:r>
              <w:rPr>
                <w:rFonts w:hint="default" w:ascii="Times New Roman" w:hAnsi="Times New Roman" w:eastAsia="宋体" w:cs="Times New Roman"/>
                <w:b/>
                <w:bCs w:val="0"/>
                <w:color w:val="auto"/>
                <w:sz w:val="24"/>
                <w:szCs w:val="24"/>
              </w:rPr>
              <w:t>、项目与《云南省生态功能区划》符合性分析</w:t>
            </w:r>
          </w:p>
          <w:p w14:paraId="1297583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根据《云南省生态功能区划》，本项目位于昆明市安宁市，项目生态环境影响评价区隶属于”Ⅲ高原亚热带北部常绿阔叶林生态区”，生态亚区属”Ⅲ1 滇中高原谷盆半湿润常绿阔叶林、暖性针叶林生态亚区”，生态功能区属“Ⅲ1-6 昆明、玉溪高原湖盆城镇生态功能区”。根据其生态环保主要方向，本项目与《云南省生态功能区划》符合性分析如下表所示：</w:t>
            </w:r>
          </w:p>
          <w:p w14:paraId="427EBB37">
            <w:pPr>
              <w:autoSpaceDE w:val="0"/>
              <w:autoSpaceDN w:val="0"/>
              <w:adjustRightInd w:val="0"/>
              <w:snapToGrid w:val="0"/>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表1-</w:t>
            </w:r>
            <w:r>
              <w:rPr>
                <w:rFonts w:hint="eastAsia" w:ascii="Times New Roman" w:hAnsi="Times New Roman" w:cs="Times New Roman"/>
                <w:b/>
                <w:bCs/>
                <w:color w:val="auto"/>
                <w:sz w:val="24"/>
                <w:szCs w:val="24"/>
                <w:lang w:val="en-US" w:eastAsia="zh-CN"/>
              </w:rPr>
              <w:t>6</w:t>
            </w:r>
            <w:r>
              <w:rPr>
                <w:rFonts w:hint="default"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项目与《云南省生态功能区划》符合性分析一览表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0"/>
              <w:gridCol w:w="3470"/>
              <w:gridCol w:w="911"/>
            </w:tblGrid>
            <w:tr w14:paraId="0385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2" w:type="pct"/>
                  <w:tcBorders>
                    <w:tl2br w:val="nil"/>
                    <w:tr2bl w:val="nil"/>
                  </w:tcBorders>
                  <w:noWrap w:val="0"/>
                  <w:vAlign w:val="center"/>
                </w:tcPr>
                <w:p w14:paraId="34C36677">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《云南省生态功能区划》</w:t>
                  </w:r>
                </w:p>
              </w:tc>
              <w:tc>
                <w:tcPr>
                  <w:tcW w:w="2256" w:type="pct"/>
                  <w:tcBorders>
                    <w:tl2br w:val="nil"/>
                    <w:tr2bl w:val="nil"/>
                  </w:tcBorders>
                  <w:noWrap w:val="0"/>
                  <w:vAlign w:val="center"/>
                </w:tcPr>
                <w:p w14:paraId="63F9F07B">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本项目</w:t>
                  </w:r>
                </w:p>
              </w:tc>
              <w:tc>
                <w:tcPr>
                  <w:tcW w:w="592" w:type="pct"/>
                  <w:tcBorders>
                    <w:tl2br w:val="nil"/>
                    <w:tr2bl w:val="nil"/>
                  </w:tcBorders>
                  <w:noWrap w:val="0"/>
                  <w:vAlign w:val="center"/>
                </w:tcPr>
                <w:p w14:paraId="5A68A3D5">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符合性</w:t>
                  </w:r>
                </w:p>
              </w:tc>
            </w:tr>
            <w:tr w14:paraId="3461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2" w:type="pct"/>
                  <w:tcBorders>
                    <w:tl2br w:val="nil"/>
                    <w:tr2bl w:val="nil"/>
                  </w:tcBorders>
                  <w:noWrap w:val="0"/>
                  <w:vAlign w:val="center"/>
                </w:tcPr>
                <w:p w14:paraId="0E27AD6A">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生态保护主要方向：强化城市发展规划、调整产业结构，合理布局城市功能组团。</w:t>
                  </w:r>
                </w:p>
              </w:tc>
              <w:tc>
                <w:tcPr>
                  <w:tcW w:w="2256" w:type="pct"/>
                  <w:tcBorders>
                    <w:tl2br w:val="nil"/>
                    <w:tr2bl w:val="nil"/>
                  </w:tcBorders>
                  <w:noWrap w:val="0"/>
                  <w:vAlign w:val="center"/>
                </w:tcPr>
                <w:p w14:paraId="41808B14">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本项目的建设符合安宁市的城市规划及地方产业结构。</w:t>
                  </w:r>
                </w:p>
              </w:tc>
              <w:tc>
                <w:tcPr>
                  <w:tcW w:w="592" w:type="pct"/>
                  <w:tcBorders>
                    <w:tl2br w:val="nil"/>
                    <w:tr2bl w:val="nil"/>
                  </w:tcBorders>
                  <w:noWrap w:val="0"/>
                  <w:vAlign w:val="center"/>
                </w:tcPr>
                <w:p w14:paraId="51384A2C">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4F1A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2" w:type="pct"/>
                  <w:tcBorders>
                    <w:tl2br w:val="nil"/>
                    <w:tr2bl w:val="nil"/>
                  </w:tcBorders>
                  <w:noWrap w:val="0"/>
                  <w:vAlign w:val="center"/>
                </w:tcPr>
                <w:p w14:paraId="0F67B57A">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强化城市工业和生活污染源的控</w:t>
                  </w:r>
                </w:p>
                <w:p w14:paraId="639E9F3A">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制，发展循环经济，推行节能减排。</w:t>
                  </w:r>
                </w:p>
              </w:tc>
              <w:tc>
                <w:tcPr>
                  <w:tcW w:w="2256" w:type="pct"/>
                  <w:tcBorders>
                    <w:tl2br w:val="nil"/>
                    <w:tr2bl w:val="nil"/>
                  </w:tcBorders>
                  <w:noWrap w:val="0"/>
                  <w:vAlign w:val="center"/>
                </w:tcPr>
                <w:p w14:paraId="14923485">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宋体" w:cs="Times New Roman"/>
                      <w:color w:val="auto"/>
                      <w:sz w:val="21"/>
                      <w:szCs w:val="24"/>
                    </w:rPr>
                    <w:t>本项目</w:t>
                  </w:r>
                  <w:r>
                    <w:rPr>
                      <w:rFonts w:hint="default" w:ascii="Times New Roman" w:hAnsi="Times New Roman" w:eastAsia="宋体" w:cs="Times New Roman"/>
                      <w:color w:val="auto"/>
                      <w:sz w:val="21"/>
                      <w:szCs w:val="24"/>
                      <w:lang w:val="en-US" w:eastAsia="zh-CN"/>
                    </w:rPr>
                    <w:t>净水厂</w:t>
                  </w:r>
                  <w:r>
                    <w:rPr>
                      <w:rFonts w:hint="default" w:ascii="Times New Roman" w:hAnsi="Times New Roman" w:eastAsia="宋体" w:cs="Times New Roman"/>
                      <w:color w:val="auto"/>
                      <w:sz w:val="21"/>
                      <w:szCs w:val="24"/>
                    </w:rPr>
                    <w:t xml:space="preserve">产生污水经处理达标后排入周边的市政污水管网；设备噪声经基础减震和墙体隔声后能够达标排放；固废处置率为 </w:t>
                  </w:r>
                  <w:r>
                    <w:rPr>
                      <w:rFonts w:hint="default" w:ascii="Times New Roman" w:hAnsi="Times New Roman" w:eastAsia="Times New Roman" w:cs="Times New Roman"/>
                      <w:color w:val="auto"/>
                      <w:sz w:val="21"/>
                      <w:szCs w:val="24"/>
                    </w:rPr>
                    <w:t>100%</w:t>
                  </w:r>
                </w:p>
              </w:tc>
              <w:tc>
                <w:tcPr>
                  <w:tcW w:w="592" w:type="pct"/>
                  <w:tcBorders>
                    <w:tl2br w:val="nil"/>
                    <w:tr2bl w:val="nil"/>
                  </w:tcBorders>
                  <w:noWrap w:val="0"/>
                  <w:vAlign w:val="center"/>
                </w:tcPr>
                <w:p w14:paraId="2C7875BD">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r w14:paraId="0853C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2" w:type="pct"/>
                  <w:tcBorders>
                    <w:tl2br w:val="nil"/>
                    <w:tr2bl w:val="nil"/>
                  </w:tcBorders>
                  <w:noWrap w:val="0"/>
                  <w:vAlign w:val="center"/>
                </w:tcPr>
                <w:p w14:paraId="10F53968">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治理高原湖泊水体污染和流域区的面源污染，保护城市生态环境。</w:t>
                  </w:r>
                </w:p>
              </w:tc>
              <w:tc>
                <w:tcPr>
                  <w:tcW w:w="2256" w:type="pct"/>
                  <w:tcBorders>
                    <w:tl2br w:val="nil"/>
                    <w:tr2bl w:val="nil"/>
                  </w:tcBorders>
                  <w:noWrap w:val="0"/>
                  <w:vAlign w:val="center"/>
                </w:tcPr>
                <w:p w14:paraId="6CBA4D23">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本项目不涉及。</w:t>
                  </w:r>
                </w:p>
              </w:tc>
              <w:tc>
                <w:tcPr>
                  <w:tcW w:w="592" w:type="pct"/>
                  <w:tcBorders>
                    <w:tl2br w:val="nil"/>
                    <w:tr2bl w:val="nil"/>
                  </w:tcBorders>
                  <w:noWrap w:val="0"/>
                  <w:vAlign w:val="center"/>
                </w:tcPr>
                <w:p w14:paraId="16D0EF6C">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符合</w:t>
                  </w:r>
                </w:p>
              </w:tc>
            </w:tr>
          </w:tbl>
          <w:p w14:paraId="39D28FD8">
            <w:pPr>
              <w:keepNext w:val="0"/>
              <w:keepLines w:val="0"/>
              <w:pageBreakBefore w:val="0"/>
              <w:widowControl w:val="0"/>
              <w:kinsoku/>
              <w:wordWrap/>
              <w:overflowPunct/>
              <w:topLinePunct w:val="0"/>
              <w:autoSpaceDE/>
              <w:autoSpaceDN/>
              <w:bidi w:val="0"/>
              <w:adjustRightInd/>
              <w:snapToGrid/>
              <w:spacing w:before="313" w:beforeLines="100" w:afterLines="0" w:line="360" w:lineRule="auto"/>
              <w:ind w:firstLine="480" w:firstLineChars="200"/>
              <w:jc w:val="both"/>
              <w:textAlignment w:val="auto"/>
              <w:rPr>
                <w:rFonts w:hint="default" w:ascii="Times New Roman" w:hAnsi="Times New Roman" w:eastAsia="宋体" w:cs="Times New Roman"/>
                <w:color w:val="0000FF"/>
                <w:sz w:val="24"/>
                <w:szCs w:val="24"/>
              </w:rPr>
            </w:pPr>
            <w:r>
              <w:rPr>
                <w:rFonts w:hint="default" w:ascii="Times New Roman" w:hAnsi="Times New Roman" w:eastAsia="宋体" w:cs="Times New Roman"/>
                <w:color w:val="auto"/>
                <w:sz w:val="24"/>
                <w:szCs w:val="24"/>
              </w:rPr>
              <w:t>根据上表分析可知，项目建设与《云南省生态功能区划》</w:t>
            </w:r>
            <w:r>
              <w:rPr>
                <w:rFonts w:hint="eastAsia" w:ascii="Times New Roman" w:hAnsi="Times New Roman" w:cs="Times New Roman"/>
                <w:color w:val="auto"/>
                <w:sz w:val="24"/>
                <w:szCs w:val="24"/>
                <w:lang w:eastAsia="zh-CN"/>
              </w:rPr>
              <w:t>符合</w:t>
            </w:r>
            <w:r>
              <w:rPr>
                <w:rFonts w:hint="default" w:ascii="Times New Roman" w:hAnsi="Times New Roman" w:eastAsia="宋体" w:cs="Times New Roman"/>
                <w:color w:val="auto"/>
                <w:sz w:val="24"/>
                <w:szCs w:val="24"/>
              </w:rPr>
              <w:t>。</w:t>
            </w:r>
          </w:p>
          <w:p w14:paraId="7D82B8ED">
            <w:pPr>
              <w:pStyle w:val="9"/>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cs="Times New Roman"/>
                <w:b/>
                <w:bCs w:val="0"/>
                <w:color w:val="auto"/>
                <w:sz w:val="24"/>
                <w:szCs w:val="24"/>
                <w:lang w:val="en-US" w:eastAsia="zh-CN"/>
              </w:rPr>
              <w:t>9</w:t>
            </w:r>
            <w:r>
              <w:rPr>
                <w:rFonts w:hint="default" w:ascii="Times New Roman" w:hAnsi="Times New Roman" w:eastAsia="宋体" w:cs="Times New Roman"/>
                <w:b/>
                <w:bCs w:val="0"/>
                <w:color w:val="auto"/>
                <w:sz w:val="24"/>
                <w:szCs w:val="24"/>
                <w:lang w:val="en-US" w:eastAsia="zh-CN"/>
              </w:rPr>
              <w:t>、</w:t>
            </w:r>
            <w:r>
              <w:rPr>
                <w:rFonts w:hint="eastAsia" w:ascii="Times New Roman" w:hAnsi="宋体" w:eastAsia="宋体" w:cs="Times New Roman"/>
                <w:b/>
                <w:color w:val="auto"/>
                <w:spacing w:val="-2"/>
                <w:sz w:val="24"/>
                <w:szCs w:val="24"/>
                <w:highlight w:val="none"/>
                <w:lang w:val="en-US" w:eastAsia="zh-CN"/>
              </w:rPr>
              <w:t>项目与</w:t>
            </w:r>
            <w:r>
              <w:rPr>
                <w:rFonts w:hint="default" w:ascii="Times New Roman" w:hAnsi="宋体" w:eastAsia="宋体" w:cs="Times New Roman"/>
                <w:b/>
                <w:color w:val="auto"/>
                <w:spacing w:val="-2"/>
                <w:sz w:val="24"/>
                <w:szCs w:val="24"/>
                <w:highlight w:val="none"/>
                <w:lang w:val="en-US" w:eastAsia="zh-CN"/>
              </w:rPr>
              <w:t>《水利建设项目（引调水工程）环境影响评价文件审批原则》</w:t>
            </w:r>
            <w:r>
              <w:rPr>
                <w:rFonts w:hint="eastAsia" w:ascii="Times New Roman" w:hAnsi="宋体" w:eastAsia="宋体" w:cs="Times New Roman"/>
                <w:b/>
                <w:color w:val="auto"/>
                <w:spacing w:val="-2"/>
                <w:sz w:val="24"/>
                <w:szCs w:val="24"/>
                <w:highlight w:val="none"/>
                <w:lang w:val="en-US" w:eastAsia="zh-CN"/>
              </w:rPr>
              <w:t>的符合性分析</w:t>
            </w:r>
          </w:p>
          <w:p w14:paraId="041D2918">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根据</w:t>
            </w:r>
            <w:r>
              <w:rPr>
                <w:rFonts w:hint="default" w:ascii="Times New Roman" w:hAnsi="Times New Roman" w:eastAsia="宋体" w:cs="Times New Roman"/>
                <w:b w:val="0"/>
                <w:bCs w:val="0"/>
                <w:color w:val="auto"/>
                <w:sz w:val="24"/>
                <w:szCs w:val="24"/>
                <w:highlight w:val="none"/>
                <w:lang w:val="en-US" w:eastAsia="zh-CN"/>
              </w:rPr>
              <w:t>《水利建设项目（引调水工程）环境影响评价文件审批原则》</w:t>
            </w:r>
            <w:r>
              <w:rPr>
                <w:rFonts w:hint="eastAsia" w:cs="Times New Roman"/>
                <w:b w:val="0"/>
                <w:bCs w:val="0"/>
                <w:color w:val="auto"/>
                <w:sz w:val="24"/>
                <w:szCs w:val="24"/>
                <w:highlight w:val="none"/>
                <w:lang w:val="en-US" w:eastAsia="zh-CN"/>
              </w:rPr>
              <w:t>：</w:t>
            </w:r>
          </w:p>
          <w:p w14:paraId="5A1FBB3C">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第一条 本原则适用于引调水工程环境影响评价文件的审批，其他供水工程及灌区工程可参照执行。</w:t>
            </w:r>
          </w:p>
          <w:p w14:paraId="71F954DE">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cs="Times New Roman"/>
                <w:b w:val="0"/>
                <w:bCs w:val="0"/>
                <w:color w:val="auto"/>
                <w:sz w:val="24"/>
                <w:szCs w:val="24"/>
                <w:highlight w:val="none"/>
                <w:lang w:val="en-US" w:eastAsia="zh-CN"/>
              </w:rPr>
              <w:t>本项目为引水工程，适用</w:t>
            </w:r>
            <w:r>
              <w:rPr>
                <w:rFonts w:hint="default" w:ascii="Times New Roman" w:hAnsi="Times New Roman" w:eastAsia="宋体" w:cs="Times New Roman"/>
                <w:b w:val="0"/>
                <w:bCs w:val="0"/>
                <w:color w:val="auto"/>
                <w:sz w:val="24"/>
                <w:szCs w:val="24"/>
                <w:highlight w:val="none"/>
                <w:lang w:val="en-US" w:eastAsia="zh-CN"/>
              </w:rPr>
              <w:t>《水利建设项目（引调水工程）环境影响评价文</w:t>
            </w:r>
            <w:r>
              <w:rPr>
                <w:rFonts w:hint="default" w:ascii="Times New Roman" w:hAnsi="Times New Roman" w:eastAsia="宋体" w:cs="Times New Roman"/>
                <w:color w:val="auto"/>
                <w:sz w:val="24"/>
                <w:szCs w:val="24"/>
                <w:lang w:val="en-US" w:eastAsia="zh-CN"/>
              </w:rPr>
              <w:t>件审批原则》</w:t>
            </w:r>
            <w:r>
              <w:rPr>
                <w:rFonts w:hint="eastAsia" w:ascii="Times New Roman" w:hAnsi="Times New Roman" w:eastAsia="宋体" w:cs="Times New Roman"/>
                <w:color w:val="auto"/>
                <w:sz w:val="24"/>
                <w:szCs w:val="24"/>
                <w:lang w:val="en-US" w:eastAsia="zh-CN"/>
              </w:rPr>
              <w:t>。</w:t>
            </w:r>
          </w:p>
          <w:p w14:paraId="78EC4736">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第二条 项目应符合资源与环境保护相关法律法规和政策，与主体功能区规划、生态功能区划等相协调，开发任务、供水范围及对象、调水规模、选址选线等工程主要内容总体满足流域综合规划、水资源综合规划、水资源开发利用(含供水)规划、工程规划、流域水污染防治规划、流域生态保护规划等相关规划、规划环评及审查意见要求。项目符合“先节水后调水、先治污后通水、先环保后用水”原则，与水资源开发利用及区域用水总量控制、用水效率控制、水(环境)功能区限制纳污控制等相协调，充分考虑调出区经济社会发展和生态环境用水需求，调水量不得超出调出区水资源利用上限，受水区水资源配置与区域水资源水环境承载能力相适应。</w:t>
            </w:r>
          </w:p>
          <w:p w14:paraId="44A73AF0">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（1）法律法规和政策符合性：项目应依据《中华人民共和国环境影响评价法》《建设项目环境保护管理条例》等法律法规开展环境影响评价，</w:t>
            </w:r>
            <w:r>
              <w:rPr>
                <w:rFonts w:hint="default" w:ascii="Times New Roman" w:hAnsi="Times New Roman" w:eastAsia="宋体" w:cs="Times New Roman"/>
                <w:color w:val="auto"/>
                <w:sz w:val="24"/>
                <w:szCs w:val="24"/>
                <w:lang w:val="en-US" w:eastAsia="zh-CN"/>
              </w:rPr>
              <w:t>对照</w:t>
            </w:r>
            <w:r>
              <w:rPr>
                <w:rFonts w:hint="eastAsia" w:ascii="Times New Roman" w:hAnsi="Times New Roman" w:eastAsia="宋体" w:cs="Times New Roman"/>
                <w:color w:val="auto"/>
                <w:sz w:val="24"/>
                <w:szCs w:val="24"/>
                <w:lang w:val="en-US" w:eastAsia="zh-CN"/>
              </w:rPr>
              <w:t>《产业结构调整指导目录（2024年本）》</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属于鼓励类</w:t>
            </w:r>
            <w:r>
              <w:rPr>
                <w:rFonts w:hint="eastAsia" w:ascii="Times New Roman" w:hAnsi="Times New Roman" w:eastAsia="宋体" w:cs="Times New Roman"/>
                <w:color w:val="auto"/>
                <w:sz w:val="24"/>
                <w:szCs w:val="24"/>
                <w:lang w:val="en-US" w:eastAsia="zh-CN"/>
              </w:rPr>
              <w:t>项目</w:t>
            </w:r>
            <w:r>
              <w:rPr>
                <w:rFonts w:hint="default" w:ascii="Times New Roman" w:hAnsi="Times New Roman" w:eastAsia="宋体" w:cs="Times New Roman"/>
                <w:color w:val="auto"/>
                <w:sz w:val="24"/>
                <w:szCs w:val="24"/>
              </w:rPr>
              <w:t>，符合国家产业政策要求</w:t>
            </w:r>
            <w:r>
              <w:rPr>
                <w:rFonts w:hint="eastAsia" w:ascii="Times New Roman" w:hAnsi="Times New Roman" w:eastAsia="宋体" w:cs="Times New Roman"/>
                <w:color w:val="auto"/>
                <w:sz w:val="24"/>
                <w:szCs w:val="24"/>
                <w:lang w:eastAsia="zh-CN"/>
              </w:rPr>
              <w:t>。</w:t>
            </w:r>
          </w:p>
          <w:p w14:paraId="0FEE0B8A">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（2）规划符合性：</w:t>
            </w:r>
            <w:r>
              <w:rPr>
                <w:rFonts w:hint="eastAsia" w:asciiTheme="minorEastAsia" w:hAnsiTheme="minorEastAsia" w:eastAsiaTheme="minorEastAsia" w:cstheme="minorEastAsia"/>
                <w:color w:val="auto"/>
                <w:sz w:val="24"/>
                <w:szCs w:val="24"/>
                <w:highlight w:val="none"/>
              </w:rPr>
              <w:t>工程任务是</w:t>
            </w:r>
            <w:r>
              <w:rPr>
                <w:rFonts w:hint="default" w:ascii="Times New Roman" w:hAnsi="Times New Roman" w:eastAsia="宋体" w:cs="Times New Roman"/>
                <w:color w:val="auto"/>
                <w:sz w:val="24"/>
                <w:szCs w:val="24"/>
                <w:highlight w:val="none"/>
                <w:lang w:val="en-US" w:eastAsia="zh-CN"/>
              </w:rPr>
              <w:t>为补齐安宁市城乡供水短板、消除现状车木河引水管线供水安全隐患，保障全市45.56 万城乡居民饮水安全</w:t>
            </w:r>
            <w:r>
              <w:rPr>
                <w:color w:val="auto"/>
                <w:sz w:val="24"/>
                <w:szCs w:val="24"/>
                <w:highlight w:val="none"/>
              </w:rPr>
              <w:t>。</w:t>
            </w:r>
          </w:p>
          <w:p w14:paraId="5A3602D2">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3）“三先三后”原则符合性：项目应贯彻“先节水后调水、先治污后通水、先环保后用水”原则。</w:t>
            </w:r>
          </w:p>
          <w:p w14:paraId="6E5F9EA9">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（4）水资源约束条件：本工程水源为车木河水库。车木河水库是一座中型水库，位于安宁城区南面八街河支流招坝河与双河汇</w:t>
            </w:r>
            <w:r>
              <w:rPr>
                <w:rFonts w:hint="default" w:ascii="Times New Roman" w:hAnsi="Times New Roman" w:eastAsia="宋体" w:cs="Times New Roman"/>
                <w:b w:val="0"/>
                <w:bCs w:val="0"/>
                <w:color w:val="auto"/>
                <w:sz w:val="24"/>
                <w:szCs w:val="24"/>
                <w:highlight w:val="none"/>
                <w:lang w:val="en-US" w:eastAsia="zh-CN"/>
              </w:rPr>
              <w:t>合处的车木河村，距城区约 40 km，是安宁境内最大的水库，兼有城乡防洪、供水、农灌等功能，2001 年完成了加固扩建工程。水库控制流域面积 253 km²，多年平均径流量 4480 万 m³，总库容 4848 万 m³，其中兴利库容 3707 万 m³，死库容 118 万 m³，具有一定的多年调节能力，死水位 1930m，正常蓄水位 1948m。</w:t>
            </w:r>
            <w:r>
              <w:rPr>
                <w:rFonts w:hint="eastAsia" w:ascii="Times New Roman" w:hAnsi="Times New Roman" w:eastAsia="宋体" w:cs="Times New Roman"/>
                <w:b w:val="0"/>
                <w:bCs w:val="0"/>
                <w:color w:val="auto"/>
                <w:sz w:val="24"/>
                <w:szCs w:val="24"/>
                <w:highlight w:val="none"/>
                <w:lang w:val="en-US" w:eastAsia="zh-CN"/>
              </w:rPr>
              <w:t>根据设计方案，车木河水库作为供水水源有保障。</w:t>
            </w:r>
          </w:p>
          <w:p w14:paraId="16C848D2">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 xml:space="preserve">第三条 </w:t>
            </w:r>
            <w:r>
              <w:rPr>
                <w:rFonts w:hint="default" w:cs="Times New Roman"/>
                <w:b w:val="0"/>
                <w:bCs w:val="0"/>
                <w:color w:val="auto"/>
                <w:sz w:val="24"/>
                <w:szCs w:val="24"/>
                <w:highlight w:val="none"/>
                <w:lang w:val="en-US" w:eastAsia="zh-CN"/>
              </w:rPr>
              <w:t>工程选址选线、施工布置和水库淹没原则上不得占用自然保护区、风景名胜区、生态保护红线等敏感区内法律法规禁止占用的区域和已明确作为栖息地保护区域，并与饮用水水源保护区的有关保护要求相协调</w:t>
            </w:r>
            <w:r>
              <w:rPr>
                <w:rFonts w:hint="eastAsia" w:cs="Times New Roman"/>
                <w:b w:val="0"/>
                <w:bCs w:val="0"/>
                <w:color w:val="auto"/>
                <w:sz w:val="24"/>
                <w:szCs w:val="24"/>
                <w:highlight w:val="none"/>
                <w:lang w:val="en-US" w:eastAsia="zh-CN"/>
              </w:rPr>
              <w:t>。</w:t>
            </w:r>
          </w:p>
          <w:p w14:paraId="58FF624E">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符合性分析：根据查询，评价范围不涉及生态保护红线，符合敏感区避让要求。</w:t>
            </w:r>
          </w:p>
          <w:p w14:paraId="22C21C2B">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第五条 根据输水线路水环境保护需求，提出了划定饮用水水源保护区、源头治理、截污导流、河道清淤或建设隔离带等措施，保障输水水质达标。输水河湖具有航运、旅游等其他功能且可能对水质安全带来不利影响的，提出了不得影</w:t>
            </w:r>
            <w:r>
              <w:rPr>
                <w:rFonts w:hint="eastAsia" w:ascii="Times New Roman" w:hAnsi="Times New Roman" w:eastAsia="宋体" w:cs="Times New Roman"/>
                <w:b w:val="0"/>
                <w:bCs w:val="0"/>
                <w:color w:val="auto"/>
                <w:sz w:val="24"/>
                <w:szCs w:val="24"/>
                <w:highlight w:val="none"/>
                <w:lang w:val="en-US" w:eastAsia="zh-CN"/>
              </w:rPr>
              <w:t>响输水水质的港口码头选址建设要求、制定限制或禁止运输的货物种类目录、船舶污染防治等水污染防范措施。</w:t>
            </w:r>
          </w:p>
          <w:p w14:paraId="19C0E233">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符合性分析：引水工程采用封闭式管道输水，沿线水质污染风险相对较低。</w:t>
            </w:r>
          </w:p>
          <w:p w14:paraId="62D7DB2D">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综上所述，本项目建设满足</w:t>
            </w:r>
            <w:r>
              <w:rPr>
                <w:rFonts w:hint="default" w:ascii="Times New Roman" w:hAnsi="Times New Roman" w:eastAsia="宋体" w:cs="Times New Roman"/>
                <w:b w:val="0"/>
                <w:bCs w:val="0"/>
                <w:color w:val="auto"/>
                <w:sz w:val="24"/>
                <w:szCs w:val="24"/>
                <w:highlight w:val="none"/>
                <w:lang w:val="en-US" w:eastAsia="zh-CN"/>
              </w:rPr>
              <w:t>《水利建设项目（引调水工程）环境影响评价文件审批原则》</w:t>
            </w:r>
            <w:r>
              <w:rPr>
                <w:rFonts w:hint="eastAsia" w:ascii="Times New Roman" w:hAnsi="Times New Roman" w:eastAsia="宋体" w:cs="Times New Roman"/>
                <w:b w:val="0"/>
                <w:bCs w:val="0"/>
                <w:color w:val="auto"/>
                <w:sz w:val="24"/>
                <w:szCs w:val="24"/>
                <w:highlight w:val="none"/>
                <w:lang w:val="en-US" w:eastAsia="zh-CN"/>
              </w:rPr>
              <w:t>的相关要求。</w:t>
            </w:r>
          </w:p>
          <w:p w14:paraId="7DD3A668">
            <w:pPr>
              <w:keepNext w:val="0"/>
              <w:keepLines w:val="0"/>
              <w:pageBreakBefore w:val="0"/>
              <w:widowControl w:val="0"/>
              <w:kinsoku/>
              <w:wordWrap/>
              <w:overflowPunct/>
              <w:topLinePunct w:val="0"/>
              <w:autoSpaceDE/>
              <w:autoSpaceDN/>
              <w:bidi w:val="0"/>
              <w:adjustRightInd/>
              <w:snapToGrid/>
              <w:spacing w:before="313" w:beforeLines="100" w:afterLines="0" w:line="360" w:lineRule="auto"/>
              <w:jc w:val="left"/>
              <w:textAlignment w:val="auto"/>
              <w:rPr>
                <w:rFonts w:hint="default" w:ascii="Times New Roman" w:hAnsi="Times New Roman" w:eastAsia="宋体" w:cs="Times New Roman"/>
                <w:b/>
                <w:bCs w:val="0"/>
                <w:color w:val="auto"/>
                <w:sz w:val="24"/>
                <w:szCs w:val="24"/>
              </w:rPr>
            </w:pPr>
            <w:r>
              <w:rPr>
                <w:rFonts w:hint="eastAsia" w:ascii="Times New Roman" w:hAnsi="Times New Roman" w:cs="Times New Roman"/>
                <w:b/>
                <w:bCs w:val="0"/>
                <w:color w:val="auto"/>
                <w:sz w:val="24"/>
                <w:szCs w:val="24"/>
                <w:lang w:val="en-US" w:eastAsia="zh-CN"/>
              </w:rPr>
              <w:t>10、</w:t>
            </w:r>
            <w:r>
              <w:rPr>
                <w:rFonts w:hint="default" w:ascii="Times New Roman" w:hAnsi="Times New Roman" w:eastAsia="宋体" w:cs="Times New Roman"/>
                <w:b/>
                <w:bCs w:val="0"/>
                <w:color w:val="auto"/>
                <w:sz w:val="24"/>
                <w:szCs w:val="24"/>
              </w:rPr>
              <w:t>产业政策符合性分析</w:t>
            </w:r>
          </w:p>
          <w:p w14:paraId="59698F56">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w:t>
            </w:r>
            <w:r>
              <w:rPr>
                <w:rFonts w:hint="eastAsia" w:ascii="Times New Roman" w:hAnsi="Times New Roman" w:cs="Times New Roman"/>
                <w:color w:val="auto"/>
                <w:sz w:val="24"/>
                <w:szCs w:val="24"/>
                <w:lang w:val="en-US" w:eastAsia="zh-CN"/>
              </w:rPr>
              <w:t>为引水工程</w:t>
            </w:r>
            <w:r>
              <w:rPr>
                <w:rFonts w:hint="default" w:ascii="Times New Roman" w:hAnsi="Times New Roman" w:eastAsia="宋体" w:cs="Times New Roman"/>
                <w:color w:val="auto"/>
                <w:sz w:val="24"/>
                <w:szCs w:val="24"/>
              </w:rPr>
              <w:t>，属于《产业结构调整指导目录》</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20</w:t>
            </w:r>
            <w:r>
              <w:rPr>
                <w:rFonts w:hint="eastAsia" w:ascii="Times New Roman" w:hAnsi="Times New Roman" w:cs="Times New Roman"/>
                <w:color w:val="auto"/>
                <w:sz w:val="24"/>
                <w:szCs w:val="24"/>
                <w:lang w:val="en-US" w:eastAsia="zh-CN"/>
              </w:rPr>
              <w:t>24</w:t>
            </w:r>
            <w:r>
              <w:rPr>
                <w:rFonts w:hint="default" w:ascii="Times New Roman" w:hAnsi="Times New Roman" w:eastAsia="宋体" w:cs="Times New Roman"/>
                <w:color w:val="auto"/>
                <w:sz w:val="24"/>
                <w:szCs w:val="24"/>
              </w:rPr>
              <w:t>年）中的鼓励类“</w:t>
            </w:r>
            <w:r>
              <w:rPr>
                <w:rFonts w:ascii="宋体" w:hAnsi="宋体" w:eastAsia="宋体" w:cs="宋体"/>
                <w:sz w:val="24"/>
                <w:szCs w:val="24"/>
              </w:rPr>
              <w:t>水资源利用和优化配置工程、城镇及农村供水输配管网配套工程</w:t>
            </w:r>
            <w:r>
              <w:rPr>
                <w:rFonts w:hint="default" w:ascii="Times New Roman" w:hAnsi="Times New Roman" w:eastAsia="宋体" w:cs="Times New Roman"/>
                <w:color w:val="auto"/>
                <w:sz w:val="24"/>
                <w:szCs w:val="24"/>
              </w:rPr>
              <w:t>”，对照工信部《高耗能落后机电设备</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产品）淘汰目录》第一批、第二批、第三批、第四批，本项目所用机电设备不属于其中的淘汰落后设备；所用工艺不属于《产业结构调整指导目录</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20</w:t>
            </w:r>
            <w:r>
              <w:rPr>
                <w:rFonts w:hint="default" w:ascii="Times New Roman" w:hAnsi="Times New Roman" w:cs="Times New Roman"/>
                <w:color w:val="auto"/>
                <w:sz w:val="24"/>
                <w:szCs w:val="24"/>
                <w:lang w:val="en-US" w:eastAsia="zh-CN"/>
              </w:rPr>
              <w:t>24</w:t>
            </w:r>
            <w:r>
              <w:rPr>
                <w:rFonts w:hint="default" w:ascii="Times New Roman" w:hAnsi="Times New Roman" w:eastAsia="宋体" w:cs="Times New Roman"/>
                <w:color w:val="auto"/>
                <w:sz w:val="24"/>
                <w:szCs w:val="24"/>
              </w:rPr>
              <w:t>年本）》中淘汰类落后工艺。根据《市场准入负面清单》</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2022年版），项目不属于国家产业政策中限制或禁止建设类别，符合国家相关产业政策。</w:t>
            </w:r>
          </w:p>
          <w:p w14:paraId="1553E1E6">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0AD3EF68">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00316627">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2BF43D2F">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2956FC0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5A02D1A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75651D55">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70EDC1A4">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545C3AA3">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351B28C7">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1C96B574">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2F8CF04E">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p>
          <w:p w14:paraId="41E34427">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0000FF"/>
                <w:sz w:val="24"/>
                <w:szCs w:val="24"/>
              </w:rPr>
            </w:pPr>
          </w:p>
        </w:tc>
      </w:tr>
    </w:tbl>
    <w:p w14:paraId="1B6C25F9">
      <w:pPr>
        <w:spacing w:line="360" w:lineRule="auto"/>
        <w:outlineLvl w:val="0"/>
        <w:rPr>
          <w:rFonts w:hint="default" w:ascii="Times New Roman" w:hAnsi="Times New Roman" w:eastAsia="黑体" w:cs="Times New Roman"/>
          <w:color w:val="0000FF"/>
          <w:sz w:val="30"/>
        </w:rPr>
        <w:sectPr>
          <w:footerReference r:id="rId5" w:type="default"/>
          <w:pgSz w:w="11906" w:h="16838"/>
          <w:pgMar w:top="1304" w:right="1531" w:bottom="1417" w:left="1531" w:header="851" w:footer="850" w:gutter="0"/>
          <w:pgNumType w:start="1"/>
          <w:cols w:space="720" w:num="1"/>
          <w:docGrid w:linePitch="312" w:charSpace="0"/>
        </w:sectPr>
      </w:pPr>
    </w:p>
    <w:p w14:paraId="2DAC9088">
      <w:pPr>
        <w:pStyle w:val="21"/>
        <w:jc w:val="center"/>
        <w:outlineLvl w:val="0"/>
        <w:rPr>
          <w:rFonts w:hint="default" w:ascii="Times New Roman" w:hAnsi="Times New Roman" w:eastAsia="黑体" w:cs="Times New Roman"/>
          <w:snapToGrid w:val="0"/>
          <w:color w:val="auto"/>
          <w:sz w:val="30"/>
          <w:szCs w:val="30"/>
        </w:rPr>
      </w:pPr>
      <w:bookmarkStart w:id="5" w:name="_Toc19770"/>
      <w:r>
        <w:rPr>
          <w:rFonts w:hint="default" w:ascii="Times New Roman" w:hAnsi="Times New Roman" w:eastAsia="黑体" w:cs="Times New Roman"/>
          <w:snapToGrid w:val="0"/>
          <w:color w:val="auto"/>
          <w:sz w:val="30"/>
          <w:szCs w:val="30"/>
        </w:rPr>
        <w:t>二、建设内容</w:t>
      </w:r>
      <w:bookmarkEnd w:id="5"/>
    </w:p>
    <w:tbl>
      <w:tblPr>
        <w:tblStyle w:val="2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8354"/>
      </w:tblGrid>
      <w:tr w14:paraId="0EC701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3" w:type="pct"/>
            <w:noWrap w:val="0"/>
            <w:vAlign w:val="center"/>
          </w:tcPr>
          <w:p w14:paraId="1DA87F32">
            <w:pPr>
              <w:adjustRightInd w:val="0"/>
              <w:snapToGrid w:val="0"/>
              <w:jc w:val="center"/>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地理位置</w:t>
            </w:r>
          </w:p>
        </w:tc>
        <w:tc>
          <w:tcPr>
            <w:tcW w:w="4576" w:type="pct"/>
            <w:noWrap w:val="0"/>
            <w:vAlign w:val="center"/>
          </w:tcPr>
          <w:p w14:paraId="51C9CC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auto"/>
                <w:sz w:val="24"/>
                <w:szCs w:val="24"/>
                <w:lang w:eastAsia="zh-CN"/>
              </w:rPr>
            </w:pPr>
            <w:r>
              <w:rPr>
                <w:rFonts w:hint="default" w:ascii="Times New Roman" w:hAnsi="Times New Roman" w:cs="Times New Roman"/>
                <w:b w:val="0"/>
                <w:bCs w:val="0"/>
                <w:color w:val="auto"/>
                <w:sz w:val="24"/>
                <w:szCs w:val="24"/>
                <w:lang w:val="en-US" w:eastAsia="zh-CN"/>
              </w:rPr>
              <w:t>根据《</w:t>
            </w:r>
            <w:r>
              <w:rPr>
                <w:rFonts w:hint="eastAsia" w:cs="Times New Roman"/>
                <w:b w:val="0"/>
                <w:bCs w:val="0"/>
                <w:color w:val="auto"/>
                <w:sz w:val="24"/>
                <w:szCs w:val="24"/>
                <w:lang w:eastAsia="zh-CN"/>
              </w:rPr>
              <w:t>安宁市小型引调水工程项目</w:t>
            </w:r>
            <w:r>
              <w:rPr>
                <w:rFonts w:hint="default" w:ascii="Times New Roman" w:hAnsi="Times New Roman" w:cs="Times New Roman"/>
                <w:b w:val="0"/>
                <w:bCs w:val="0"/>
                <w:color w:val="auto"/>
                <w:sz w:val="24"/>
                <w:szCs w:val="24"/>
                <w:lang w:val="en-US" w:eastAsia="zh-CN"/>
              </w:rPr>
              <w:t>可行性研究报告》</w:t>
            </w:r>
            <w:r>
              <w:rPr>
                <w:rFonts w:hint="eastAsia"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以下简称“可研”），该工程项目主要建设内容分为</w:t>
            </w:r>
            <w:r>
              <w:rPr>
                <w:rFonts w:hint="eastAsia" w:cs="Times New Roman"/>
                <w:b w:val="0"/>
                <w:bCs w:val="0"/>
                <w:color w:val="auto"/>
                <w:sz w:val="24"/>
                <w:szCs w:val="24"/>
                <w:lang w:val="en-US" w:eastAsia="zh-CN"/>
              </w:rPr>
              <w:t>3部分，分述如下：</w:t>
            </w:r>
          </w:p>
          <w:p w14:paraId="1EE3961C">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新建DN1400输水管道：</w:t>
            </w:r>
            <w:r>
              <w:rPr>
                <w:rFonts w:hint="eastAsia" w:ascii="Times New Roman" w:hAnsi="Times New Roman" w:eastAsia="宋体" w:cs="Times New Roman"/>
                <w:b w:val="0"/>
                <w:bCs w:val="0"/>
                <w:color w:val="auto"/>
                <w:sz w:val="24"/>
                <w:szCs w:val="24"/>
                <w:highlight w:val="none"/>
                <w:lang w:val="en-US" w:eastAsia="zh-CN"/>
              </w:rPr>
              <w:t>该段输水管道</w:t>
            </w:r>
            <w:r>
              <w:rPr>
                <w:rFonts w:hint="default" w:ascii="Times New Roman" w:hAnsi="Times New Roman" w:eastAsia="宋体" w:cs="Times New Roman"/>
                <w:b w:val="0"/>
                <w:bCs w:val="0"/>
                <w:color w:val="auto"/>
                <w:sz w:val="24"/>
                <w:szCs w:val="24"/>
                <w:highlight w:val="none"/>
                <w:lang w:val="en-US" w:eastAsia="zh-CN"/>
              </w:rPr>
              <w:t>与现状车木河引水管线三期DN1400管道相连通，新建管道长度 11.74km</w:t>
            </w:r>
            <w:r>
              <w:rPr>
                <w:rFonts w:hint="eastAsia" w:ascii="Times New Roman" w:hAnsi="Times New Roman" w:eastAsia="宋体" w:cs="Times New Roman"/>
                <w:b w:val="0"/>
                <w:bCs w:val="0"/>
                <w:color w:val="auto"/>
                <w:sz w:val="24"/>
                <w:szCs w:val="24"/>
                <w:highlight w:val="none"/>
                <w:lang w:val="en-US" w:eastAsia="zh-CN"/>
              </w:rPr>
              <w:t>，配套建设检修阀（井）、排气阀（井）、</w:t>
            </w:r>
            <w:r>
              <w:rPr>
                <w:rFonts w:hint="default" w:ascii="Times New Roman" w:hAnsi="Times New Roman" w:eastAsia="宋体" w:cs="Times New Roman"/>
                <w:b w:val="0"/>
                <w:bCs w:val="0"/>
                <w:color w:val="auto"/>
                <w:sz w:val="24"/>
                <w:szCs w:val="24"/>
                <w:highlight w:val="none"/>
                <w:lang w:val="en-US" w:eastAsia="zh-CN"/>
              </w:rPr>
              <w:t>排泥阀</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井）及其他管道附属设施</w:t>
            </w:r>
            <w:r>
              <w:rPr>
                <w:rFonts w:hint="eastAsia" w:ascii="Times New Roman" w:hAnsi="Times New Roman" w:eastAsia="宋体" w:cs="Times New Roman"/>
                <w:b w:val="0"/>
                <w:bCs w:val="0"/>
                <w:color w:val="auto"/>
                <w:sz w:val="24"/>
                <w:szCs w:val="24"/>
                <w:highlight w:val="none"/>
                <w:lang w:val="en-US" w:eastAsia="zh-CN"/>
              </w:rPr>
              <w:t>。该部分建设内容分为2段：</w:t>
            </w:r>
          </w:p>
          <w:p w14:paraId="583E8FC8">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第一段起点桩号为：Y2+842，终点桩号为：Y7+724，</w:t>
            </w:r>
            <w:r>
              <w:rPr>
                <w:rFonts w:hint="default" w:ascii="Times New Roman" w:hAnsi="Times New Roman" w:eastAsia="宋体" w:cs="Times New Roman"/>
                <w:b w:val="0"/>
                <w:bCs w:val="0"/>
                <w:color w:val="auto"/>
                <w:sz w:val="24"/>
                <w:szCs w:val="24"/>
                <w:highlight w:val="none"/>
                <w:lang w:val="en-US" w:eastAsia="zh-CN"/>
              </w:rPr>
              <w:t>起点坐标：E102°21'35.60"，N24°38'26.76"；终点坐标：E102°22'06.35"，N24°40'52.28"</w:t>
            </w:r>
            <w:r>
              <w:rPr>
                <w:rFonts w:hint="eastAsia" w:ascii="Times New Roman" w:hAnsi="Times New Roman" w:eastAsia="宋体" w:cs="Times New Roman"/>
                <w:b w:val="0"/>
                <w:bCs w:val="0"/>
                <w:color w:val="auto"/>
                <w:sz w:val="24"/>
                <w:szCs w:val="24"/>
                <w:highlight w:val="none"/>
                <w:lang w:val="en-US" w:eastAsia="zh-CN"/>
              </w:rPr>
              <w:t>；</w:t>
            </w:r>
          </w:p>
          <w:p w14:paraId="3A14D204">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第二段起点桩号为：Y21+560，终点桩号为：Y28+263，</w:t>
            </w:r>
            <w:r>
              <w:rPr>
                <w:rFonts w:hint="default" w:ascii="Times New Roman" w:hAnsi="Times New Roman" w:eastAsia="宋体" w:cs="Times New Roman"/>
                <w:b w:val="0"/>
                <w:bCs w:val="0"/>
                <w:color w:val="auto"/>
                <w:sz w:val="24"/>
                <w:szCs w:val="24"/>
                <w:highlight w:val="none"/>
                <w:lang w:val="en-US" w:eastAsia="zh-CN"/>
              </w:rPr>
              <w:t>起点坐标：E102°25'29.42"，N24°47'03.80"；终点坐标：E102°26'24.08"，N24°50'16.12"。</w:t>
            </w:r>
          </w:p>
          <w:p w14:paraId="1B22C439">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新建 DN400输水管道</w:t>
            </w:r>
            <w:r>
              <w:rPr>
                <w:rFonts w:hint="eastAsia" w:ascii="Times New Roman" w:hAnsi="Times New Roman" w:eastAsia="宋体" w:cs="Times New Roman"/>
                <w:b w:val="0"/>
                <w:bCs w:val="0"/>
                <w:color w:val="auto"/>
                <w:sz w:val="24"/>
                <w:szCs w:val="24"/>
                <w:highlight w:val="none"/>
                <w:lang w:val="en-US" w:eastAsia="zh-CN"/>
              </w:rPr>
              <w:t>：该段输水管道</w:t>
            </w:r>
            <w:r>
              <w:rPr>
                <w:rFonts w:hint="default" w:ascii="Times New Roman" w:hAnsi="Times New Roman" w:eastAsia="宋体" w:cs="Times New Roman"/>
                <w:b w:val="0"/>
                <w:bCs w:val="0"/>
                <w:color w:val="auto"/>
                <w:sz w:val="24"/>
                <w:szCs w:val="24"/>
                <w:highlight w:val="none"/>
                <w:lang w:val="en-US" w:eastAsia="zh-CN"/>
              </w:rPr>
              <w:t>起点连接现状车木河引水管线三期管道分水口，终点连接至县街水厂，新建管道长度 6.6km</w:t>
            </w:r>
            <w:r>
              <w:rPr>
                <w:rFonts w:hint="eastAsia" w:ascii="Times New Roman" w:hAnsi="Times New Roman" w:eastAsia="宋体" w:cs="Times New Roman"/>
                <w:b w:val="0"/>
                <w:bCs w:val="0"/>
                <w:color w:val="auto"/>
                <w:sz w:val="24"/>
                <w:szCs w:val="24"/>
                <w:highlight w:val="none"/>
                <w:lang w:val="en-US" w:eastAsia="zh-CN"/>
              </w:rPr>
              <w:t>，配套建设检修阀（井）、排气阀（井）、</w:t>
            </w:r>
            <w:r>
              <w:rPr>
                <w:rFonts w:hint="default" w:ascii="Times New Roman" w:hAnsi="Times New Roman" w:eastAsia="宋体" w:cs="Times New Roman"/>
                <w:b w:val="0"/>
                <w:bCs w:val="0"/>
                <w:color w:val="auto"/>
                <w:sz w:val="24"/>
                <w:szCs w:val="24"/>
                <w:highlight w:val="none"/>
                <w:lang w:val="en-US" w:eastAsia="zh-CN"/>
              </w:rPr>
              <w:t>排泥阀</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井）及其他管道附属设施</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管线起点坐标：E102°23'53.06"，N24°50'59.65"；终点坐标：E102°21'32.95"，N24°49'00.79"；</w:t>
            </w:r>
          </w:p>
          <w:p w14:paraId="5C5CC6AE">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新建1座一体化加压泵站，泵站规模320m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lang w:val="en-US" w:eastAsia="zh-CN"/>
              </w:rPr>
              <w:t>/h，扬程117m</w:t>
            </w:r>
            <w:r>
              <w:rPr>
                <w:rFonts w:hint="eastAsia" w:ascii="Times New Roman" w:hAnsi="Times New Roman" w:eastAsia="宋体" w:cs="Times New Roman"/>
                <w:b w:val="0"/>
                <w:bCs w:val="0"/>
                <w:color w:val="auto"/>
                <w:sz w:val="24"/>
                <w:szCs w:val="24"/>
                <w:highlight w:val="none"/>
                <w:lang w:val="en-US" w:eastAsia="zh-CN"/>
              </w:rPr>
              <w:t>。加压泵站位于好义村东侧，</w:t>
            </w:r>
            <w:r>
              <w:rPr>
                <w:rFonts w:hint="default" w:ascii="Times New Roman" w:hAnsi="Times New Roman" w:eastAsia="宋体" w:cs="Times New Roman"/>
                <w:b w:val="0"/>
                <w:bCs w:val="0"/>
                <w:color w:val="auto"/>
                <w:sz w:val="24"/>
                <w:szCs w:val="24"/>
                <w:highlight w:val="none"/>
                <w:lang w:val="en-US" w:eastAsia="zh-CN"/>
              </w:rPr>
              <w:t>中心地理坐标为：E102°24'35.51"，N24°50'57.15"。</w:t>
            </w:r>
          </w:p>
          <w:p w14:paraId="0703BC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项目地理位置图见附图。</w:t>
            </w:r>
          </w:p>
          <w:p w14:paraId="62EFAC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p>
        </w:tc>
      </w:tr>
      <w:tr w14:paraId="36AE3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3" w:type="pct"/>
            <w:noWrap w:val="0"/>
            <w:vAlign w:val="center"/>
          </w:tcPr>
          <w:p w14:paraId="38422D98">
            <w:pPr>
              <w:adjustRightInd w:val="0"/>
              <w:snapToGrid w:val="0"/>
              <w:jc w:val="center"/>
              <w:rPr>
                <w:rFonts w:hint="default" w:ascii="Times New Roman" w:hAnsi="Times New Roman" w:cs="Times New Roman"/>
                <w:b/>
                <w:bCs/>
                <w:color w:val="0000FF"/>
                <w:kern w:val="0"/>
                <w:sz w:val="24"/>
                <w:szCs w:val="24"/>
              </w:rPr>
            </w:pPr>
            <w:r>
              <w:rPr>
                <w:rFonts w:hint="default" w:ascii="Times New Roman" w:hAnsi="Times New Roman" w:cs="Times New Roman"/>
                <w:b/>
                <w:bCs/>
                <w:color w:val="auto"/>
                <w:kern w:val="0"/>
                <w:sz w:val="24"/>
                <w:szCs w:val="24"/>
              </w:rPr>
              <w:t>项目组成及规模</w:t>
            </w:r>
          </w:p>
        </w:tc>
        <w:tc>
          <w:tcPr>
            <w:tcW w:w="4576" w:type="pct"/>
            <w:noWrap w:val="0"/>
            <w:vAlign w:val="center"/>
          </w:tcPr>
          <w:p w14:paraId="319610D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ascii="宋体" w:hAnsi="宋体" w:eastAsia="宋体" w:cs="宋体"/>
                <w:sz w:val="24"/>
                <w:szCs w:val="24"/>
              </w:rPr>
              <w:t>本工程为 Ⅳ 等小</w:t>
            </w:r>
            <w:r>
              <w:rPr>
                <w:rFonts w:hint="eastAsia" w:ascii="宋体" w:hAnsi="宋体" w:eastAsia="宋体" w:cs="宋体"/>
                <w:sz w:val="24"/>
                <w:szCs w:val="24"/>
                <w:lang w:eastAsia="zh-CN"/>
              </w:rPr>
              <w:t>（</w:t>
            </w:r>
            <w:r>
              <w:rPr>
                <w:rFonts w:ascii="宋体" w:hAnsi="宋体" w:eastAsia="宋体" w:cs="宋体"/>
                <w:sz w:val="24"/>
                <w:szCs w:val="24"/>
              </w:rPr>
              <w:t>1）型城乡供水新建工程，建设地点位于云南省安宁市</w:t>
            </w:r>
            <w:r>
              <w:rPr>
                <w:rFonts w:hint="eastAsia" w:ascii="宋体" w:hAnsi="宋体" w:eastAsia="宋体" w:cs="宋体"/>
                <w:sz w:val="24"/>
                <w:szCs w:val="24"/>
                <w:lang w:eastAsia="zh-CN"/>
              </w:rPr>
              <w:t>。</w:t>
            </w:r>
            <w:r>
              <w:rPr>
                <w:rFonts w:hint="default" w:ascii="Times New Roman" w:hAnsi="Times New Roman" w:cs="Times New Roman"/>
                <w:b w:val="0"/>
                <w:bCs w:val="0"/>
                <w:color w:val="auto"/>
                <w:sz w:val="24"/>
                <w:szCs w:val="24"/>
                <w:lang w:val="en-US" w:eastAsia="zh-CN"/>
              </w:rPr>
              <w:t>主要建设内容分为</w:t>
            </w:r>
            <w:r>
              <w:rPr>
                <w:rFonts w:hint="eastAsia" w:cs="Times New Roman"/>
                <w:b w:val="0"/>
                <w:bCs w:val="0"/>
                <w:color w:val="auto"/>
                <w:sz w:val="24"/>
                <w:szCs w:val="24"/>
                <w:lang w:val="en-US" w:eastAsia="zh-CN"/>
              </w:rPr>
              <w:t>3部分，分别为</w:t>
            </w:r>
            <w:r>
              <w:rPr>
                <w:rFonts w:hint="default" w:ascii="Times New Roman" w:hAnsi="Times New Roman" w:eastAsia="宋体" w:cs="Times New Roman"/>
                <w:b w:val="0"/>
                <w:bCs w:val="0"/>
                <w:color w:val="auto"/>
                <w:sz w:val="24"/>
                <w:szCs w:val="24"/>
                <w:highlight w:val="none"/>
                <w:lang w:val="en-US" w:eastAsia="zh-CN"/>
              </w:rPr>
              <w:t>新建DN1400输水管道11.74km</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新建 DN400输水管道</w:t>
            </w:r>
            <w:r>
              <w:rPr>
                <w:rFonts w:hint="eastAsia" w:ascii="Times New Roman" w:hAnsi="Times New Roman" w:eastAsia="宋体" w:cs="Times New Roman"/>
                <w:b w:val="0"/>
                <w:bCs w:val="0"/>
                <w:color w:val="auto"/>
                <w:sz w:val="24"/>
                <w:szCs w:val="24"/>
                <w:highlight w:val="none"/>
                <w:lang w:val="en-US" w:eastAsia="zh-CN"/>
              </w:rPr>
              <w:t>6.6km，并配套建设检修阀（井）、排气阀（井）、</w:t>
            </w:r>
            <w:r>
              <w:rPr>
                <w:rFonts w:hint="default" w:ascii="Times New Roman" w:hAnsi="Times New Roman" w:eastAsia="宋体" w:cs="Times New Roman"/>
                <w:b w:val="0"/>
                <w:bCs w:val="0"/>
                <w:color w:val="auto"/>
                <w:sz w:val="24"/>
                <w:szCs w:val="24"/>
                <w:highlight w:val="none"/>
                <w:lang w:val="en-US" w:eastAsia="zh-CN"/>
              </w:rPr>
              <w:t>排泥阀</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井）及其他管道附属设施</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新建1座一体化加压泵站</w:t>
            </w:r>
            <w:r>
              <w:rPr>
                <w:rFonts w:hint="eastAsia" w:ascii="Times New Roman" w:hAnsi="Times New Roman" w:eastAsia="宋体" w:cs="Times New Roman"/>
                <w:b w:val="0"/>
                <w:bCs w:val="0"/>
                <w:color w:val="auto"/>
                <w:sz w:val="24"/>
                <w:szCs w:val="24"/>
                <w:highlight w:val="none"/>
                <w:lang w:val="en-US" w:eastAsia="zh-CN"/>
              </w:rPr>
              <w:t>。</w:t>
            </w:r>
          </w:p>
          <w:p w14:paraId="389E9EE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工程计划 2027 年 7 月开工，总工期 10 个月，2028 年 5 月完工。</w:t>
            </w:r>
          </w:p>
          <w:p w14:paraId="6E3D059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项目建成后，安宁市规模化供水覆盖率由 91% 提升至 96.2%，自来水普及率由 94.6% 提升至 99.8%，彻底解决现状老旧车木河引水管频繁爆管、供水保障不足、农村供水标准偏低等突出问题，构建区域互联互通城乡供水体系。</w:t>
            </w:r>
          </w:p>
          <w:p w14:paraId="340483A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1、项目组成及规模</w:t>
            </w:r>
          </w:p>
          <w:p w14:paraId="014E901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建设内容、组成见表2-1。</w:t>
            </w:r>
          </w:p>
          <w:p w14:paraId="03D790B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p>
          <w:p w14:paraId="2B56469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表2-</w:t>
            </w:r>
            <w:r>
              <w:rPr>
                <w:rFonts w:hint="eastAsia" w:cs="Times New Roman"/>
                <w:b/>
                <w:bCs/>
                <w:color w:val="auto"/>
                <w:sz w:val="24"/>
                <w:szCs w:val="24"/>
                <w:lang w:val="en-US" w:eastAsia="zh-CN"/>
              </w:rPr>
              <w:t>1</w:t>
            </w:r>
            <w:r>
              <w:rPr>
                <w:rFonts w:hint="default" w:ascii="Times New Roman" w:hAnsi="Times New Roman" w:eastAsia="宋体" w:cs="Times New Roman"/>
                <w:b/>
                <w:bCs/>
                <w:color w:val="auto"/>
                <w:sz w:val="24"/>
                <w:szCs w:val="24"/>
                <w:lang w:val="en-US" w:eastAsia="zh-CN"/>
              </w:rPr>
              <w:t xml:space="preserve">    项目主要建设内容</w:t>
            </w:r>
            <w:r>
              <w:rPr>
                <w:rFonts w:hint="eastAsia" w:ascii="Times New Roman" w:hAnsi="Times New Roman" w:eastAsia="宋体" w:cs="Times New Roman"/>
                <w:b/>
                <w:bCs/>
                <w:color w:val="auto"/>
                <w:sz w:val="24"/>
                <w:szCs w:val="24"/>
                <w:lang w:val="en-US" w:eastAsia="zh-CN"/>
              </w:rPr>
              <w:t>及组成情况表</w:t>
            </w:r>
          </w:p>
          <w:tbl>
            <w:tblPr>
              <w:tblStyle w:val="5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6"/>
              <w:gridCol w:w="10"/>
              <w:gridCol w:w="678"/>
              <w:gridCol w:w="5900"/>
              <w:gridCol w:w="871"/>
            </w:tblGrid>
            <w:tr w14:paraId="4275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833" w:type="pct"/>
                  <w:gridSpan w:val="3"/>
                  <w:vAlign w:val="center"/>
                </w:tcPr>
                <w:p w14:paraId="72FB799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3"/>
                      <w:sz w:val="21"/>
                      <w:szCs w:val="21"/>
                    </w:rPr>
                    <w:t>工程内容</w:t>
                  </w:r>
                </w:p>
              </w:tc>
              <w:tc>
                <w:tcPr>
                  <w:tcW w:w="3630" w:type="pct"/>
                  <w:vAlign w:val="center"/>
                </w:tcPr>
                <w:p w14:paraId="2A28B42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3"/>
                      <w:sz w:val="21"/>
                      <w:szCs w:val="21"/>
                    </w:rPr>
                    <w:t>建设内容</w:t>
                  </w:r>
                </w:p>
              </w:tc>
              <w:tc>
                <w:tcPr>
                  <w:tcW w:w="536" w:type="pct"/>
                  <w:vAlign w:val="center"/>
                </w:tcPr>
                <w:p w14:paraId="4331510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7"/>
                      <w:sz w:val="21"/>
                      <w:szCs w:val="21"/>
                    </w:rPr>
                    <w:t>备注</w:t>
                  </w:r>
                </w:p>
              </w:tc>
            </w:tr>
            <w:tr w14:paraId="77B8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33" w:type="pct"/>
                  <w:gridSpan w:val="3"/>
                  <w:vMerge w:val="restart"/>
                  <w:vAlign w:val="center"/>
                </w:tcPr>
                <w:p w14:paraId="71FA3C9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2"/>
                      <w:sz w:val="21"/>
                      <w:szCs w:val="21"/>
                    </w:rPr>
                    <w:t>主体工程</w:t>
                  </w:r>
                </w:p>
              </w:tc>
              <w:tc>
                <w:tcPr>
                  <w:tcW w:w="3630" w:type="pct"/>
                  <w:vAlign w:val="center"/>
                </w:tcPr>
                <w:p w14:paraId="124803D0">
                  <w:pPr>
                    <w:keepNext w:val="0"/>
                    <w:keepLines w:val="0"/>
                    <w:widowControl/>
                    <w:suppressLineNumbers w:val="0"/>
                    <w:jc w:val="left"/>
                    <w:rPr>
                      <w:rFonts w:hint="default" w:ascii="Times New Roman" w:hAnsi="Times New Roman" w:eastAsia="宋体" w:cs="Times New Roman"/>
                      <w:b w:val="0"/>
                      <w:bCs w:val="0"/>
                      <w:color w:val="auto"/>
                      <w:spacing w:val="0"/>
                      <w:sz w:val="21"/>
                      <w:szCs w:val="21"/>
                      <w:lang w:val="en-US" w:eastAsia="zh-CN"/>
                    </w:rPr>
                  </w:pPr>
                  <w:r>
                    <w:rPr>
                      <w:rFonts w:hint="eastAsia" w:ascii="Times New Roman" w:hAnsi="Times New Roman" w:cs="Times New Roman"/>
                      <w:b w:val="0"/>
                      <w:bCs w:val="0"/>
                      <w:color w:val="auto"/>
                      <w:spacing w:val="0"/>
                      <w:sz w:val="21"/>
                      <w:szCs w:val="21"/>
                      <w:lang w:val="en-US" w:eastAsia="zh-CN"/>
                    </w:rPr>
                    <w:t>（</w:t>
                  </w:r>
                  <w:r>
                    <w:rPr>
                      <w:rFonts w:hint="default" w:ascii="Times New Roman" w:hAnsi="Times New Roman" w:cs="Times New Roman"/>
                      <w:b w:val="0"/>
                      <w:bCs w:val="0"/>
                      <w:color w:val="auto"/>
                      <w:spacing w:val="0"/>
                      <w:sz w:val="21"/>
                      <w:szCs w:val="21"/>
                      <w:lang w:val="en-US" w:eastAsia="zh-CN"/>
                    </w:rPr>
                    <w:t>1）</w:t>
                  </w:r>
                  <w:r>
                    <w:rPr>
                      <w:rFonts w:hint="default" w:ascii="Times New Roman" w:hAnsi="Times New Roman" w:eastAsia="宋体" w:cs="Times New Roman"/>
                      <w:b w:val="0"/>
                      <w:bCs w:val="0"/>
                      <w:color w:val="auto"/>
                      <w:sz w:val="21"/>
                      <w:szCs w:val="21"/>
                      <w:highlight w:val="none"/>
                      <w:lang w:val="en-US" w:eastAsia="zh-CN"/>
                    </w:rPr>
                    <w:t>DN1400输水管道</w:t>
                  </w:r>
                  <w:r>
                    <w:rPr>
                      <w:rFonts w:hint="default" w:ascii="Times New Roman" w:hAnsi="Times New Roman" w:eastAsia="宋体" w:cs="Times New Roman"/>
                      <w:b w:val="0"/>
                      <w:bCs w:val="0"/>
                      <w:color w:val="auto"/>
                      <w:spacing w:val="0"/>
                      <w:sz w:val="21"/>
                      <w:szCs w:val="21"/>
                      <w:lang w:val="en-US" w:eastAsia="zh-CN"/>
                    </w:rPr>
                    <w:t>：</w:t>
                  </w:r>
                </w:p>
                <w:p w14:paraId="52230B63">
                  <w:pPr>
                    <w:keepNext w:val="0"/>
                    <w:keepLines w:val="0"/>
                    <w:widowControl/>
                    <w:suppressLineNumbers w:val="0"/>
                    <w:jc w:val="left"/>
                    <w:rPr>
                      <w:rFonts w:hint="default" w:ascii="Times New Roman" w:hAnsi="Times New Roman" w:eastAsia="宋体" w:cs="Times New Roman"/>
                      <w:b w:val="0"/>
                      <w:bCs w:val="0"/>
                      <w:color w:val="auto"/>
                      <w:spacing w:val="0"/>
                      <w:sz w:val="21"/>
                      <w:szCs w:val="21"/>
                    </w:rPr>
                  </w:pPr>
                  <w:r>
                    <w:rPr>
                      <w:rFonts w:hint="default" w:ascii="Times New Roman" w:hAnsi="Times New Roman" w:cs="Times New Roman"/>
                      <w:b w:val="0"/>
                      <w:bCs w:val="0"/>
                      <w:color w:val="auto"/>
                      <w:spacing w:val="0"/>
                      <w:sz w:val="21"/>
                      <w:szCs w:val="21"/>
                      <w:lang w:val="en-US" w:eastAsia="zh-CN"/>
                    </w:rPr>
                    <w:t>1）第一段</w:t>
                  </w:r>
                  <w:r>
                    <w:rPr>
                      <w:rFonts w:hint="default" w:ascii="Times New Roman" w:hAnsi="Times New Roman" w:eastAsia="宋体" w:cs="Times New Roman"/>
                      <w:b w:val="0"/>
                      <w:bCs w:val="0"/>
                      <w:color w:val="auto"/>
                      <w:spacing w:val="0"/>
                      <w:sz w:val="21"/>
                      <w:szCs w:val="21"/>
                    </w:rPr>
                    <w:t>从</w:t>
                  </w:r>
                  <w:r>
                    <w:rPr>
                      <w:rFonts w:hint="default" w:ascii="Times New Roman" w:hAnsi="Times New Roman" w:cs="Times New Roman"/>
                      <w:b w:val="0"/>
                      <w:bCs w:val="0"/>
                      <w:color w:val="auto"/>
                      <w:spacing w:val="0"/>
                      <w:sz w:val="21"/>
                      <w:szCs w:val="21"/>
                      <w:lang w:val="en-US" w:eastAsia="zh-CN"/>
                    </w:rPr>
                    <w:t>贺家营</w:t>
                  </w:r>
                  <w:r>
                    <w:rPr>
                      <w:rFonts w:hint="default" w:ascii="Times New Roman" w:hAnsi="Times New Roman" w:eastAsia="宋体" w:cs="Times New Roman"/>
                      <w:b w:val="0"/>
                      <w:bCs w:val="0"/>
                      <w:color w:val="auto"/>
                      <w:spacing w:val="0"/>
                      <w:sz w:val="21"/>
                      <w:szCs w:val="21"/>
                    </w:rPr>
                    <w:t>现有的DN1</w:t>
                  </w:r>
                  <w:r>
                    <w:rPr>
                      <w:rFonts w:hint="default" w:ascii="Times New Roman" w:hAnsi="Times New Roman" w:cs="Times New Roman"/>
                      <w:b w:val="0"/>
                      <w:bCs w:val="0"/>
                      <w:color w:val="auto"/>
                      <w:spacing w:val="0"/>
                      <w:sz w:val="21"/>
                      <w:szCs w:val="21"/>
                      <w:lang w:val="en-US" w:eastAsia="zh-CN"/>
                    </w:rPr>
                    <w:t>4</w:t>
                  </w:r>
                  <w:r>
                    <w:rPr>
                      <w:rFonts w:hint="default" w:ascii="Times New Roman" w:hAnsi="Times New Roman" w:eastAsia="宋体" w:cs="Times New Roman"/>
                      <w:b w:val="0"/>
                      <w:bCs w:val="0"/>
                      <w:color w:val="auto"/>
                      <w:spacing w:val="0"/>
                      <w:sz w:val="21"/>
                      <w:szCs w:val="21"/>
                    </w:rPr>
                    <w:t>00 管的闸门室前开口</w:t>
                  </w:r>
                  <w:r>
                    <w:rPr>
                      <w:rFonts w:hint="default" w:ascii="Times New Roman" w:hAnsi="Times New Roman" w:cs="Times New Roman"/>
                      <w:b w:val="0"/>
                      <w:bCs w:val="0"/>
                      <w:color w:val="auto"/>
                      <w:spacing w:val="0"/>
                      <w:sz w:val="21"/>
                      <w:szCs w:val="21"/>
                      <w:lang w:val="en-US" w:eastAsia="zh-CN"/>
                    </w:rPr>
                    <w:t>连接</w:t>
                  </w:r>
                  <w:r>
                    <w:rPr>
                      <w:rFonts w:hint="default" w:ascii="Times New Roman" w:hAnsi="Times New Roman" w:eastAsia="宋体" w:cs="Times New Roman"/>
                      <w:b w:val="0"/>
                      <w:bCs w:val="0"/>
                      <w:color w:val="auto"/>
                      <w:spacing w:val="0"/>
                      <w:sz w:val="21"/>
                      <w:szCs w:val="21"/>
                    </w:rPr>
                    <w:t>，</w:t>
                  </w:r>
                  <w:r>
                    <w:rPr>
                      <w:rFonts w:hint="default" w:ascii="Times New Roman" w:hAnsi="Times New Roman" w:cs="Times New Roman"/>
                      <w:b w:val="0"/>
                      <w:bCs w:val="0"/>
                      <w:color w:val="auto"/>
                      <w:spacing w:val="0"/>
                      <w:sz w:val="21"/>
                      <w:szCs w:val="21"/>
                      <w:lang w:val="en-US" w:eastAsia="zh-CN"/>
                    </w:rPr>
                    <w:t>途经八街河、魏家营公路、魏石公路、枧东公路，终点与前所村</w:t>
                  </w:r>
                  <w:r>
                    <w:rPr>
                      <w:rFonts w:hint="default" w:ascii="Times New Roman" w:hAnsi="Times New Roman" w:eastAsia="宋体" w:cs="Times New Roman"/>
                      <w:b w:val="0"/>
                      <w:bCs w:val="0"/>
                      <w:color w:val="auto"/>
                      <w:spacing w:val="0"/>
                      <w:sz w:val="21"/>
                      <w:szCs w:val="21"/>
                    </w:rPr>
                    <w:t>现有的DN1</w:t>
                  </w:r>
                  <w:r>
                    <w:rPr>
                      <w:rFonts w:hint="default" w:ascii="Times New Roman" w:hAnsi="Times New Roman" w:cs="Times New Roman"/>
                      <w:b w:val="0"/>
                      <w:bCs w:val="0"/>
                      <w:color w:val="auto"/>
                      <w:spacing w:val="0"/>
                      <w:sz w:val="21"/>
                      <w:szCs w:val="21"/>
                      <w:lang w:val="en-US" w:eastAsia="zh-CN"/>
                    </w:rPr>
                    <w:t>4</w:t>
                  </w:r>
                  <w:r>
                    <w:rPr>
                      <w:rFonts w:hint="default" w:ascii="Times New Roman" w:hAnsi="Times New Roman" w:eastAsia="宋体" w:cs="Times New Roman"/>
                      <w:b w:val="0"/>
                      <w:bCs w:val="0"/>
                      <w:color w:val="auto"/>
                      <w:spacing w:val="0"/>
                      <w:sz w:val="21"/>
                      <w:szCs w:val="21"/>
                    </w:rPr>
                    <w:t>00 管</w:t>
                  </w:r>
                  <w:r>
                    <w:rPr>
                      <w:rFonts w:hint="default" w:ascii="Times New Roman" w:hAnsi="Times New Roman" w:cs="Times New Roman"/>
                      <w:b w:val="0"/>
                      <w:bCs w:val="0"/>
                      <w:color w:val="auto"/>
                      <w:spacing w:val="0"/>
                      <w:sz w:val="21"/>
                      <w:szCs w:val="21"/>
                      <w:lang w:val="en-US" w:eastAsia="zh-CN"/>
                    </w:rPr>
                    <w:t>连接，</w:t>
                  </w:r>
                  <w:r>
                    <w:rPr>
                      <w:rFonts w:hint="default" w:ascii="Times New Roman" w:hAnsi="Times New Roman" w:eastAsia="宋体" w:cs="Times New Roman"/>
                      <w:b w:val="0"/>
                      <w:bCs w:val="0"/>
                      <w:color w:val="auto"/>
                      <w:spacing w:val="0"/>
                      <w:sz w:val="21"/>
                      <w:szCs w:val="21"/>
                      <w:lang w:val="en-US" w:eastAsia="zh-CN"/>
                    </w:rPr>
                    <w:t>总长4942m</w:t>
                  </w:r>
                  <w:r>
                    <w:rPr>
                      <w:rFonts w:hint="default" w:ascii="Times New Roman" w:hAnsi="Times New Roman" w:cs="Times New Roman"/>
                      <w:b w:val="0"/>
                      <w:bCs w:val="0"/>
                      <w:color w:val="auto"/>
                      <w:spacing w:val="0"/>
                      <w:sz w:val="21"/>
                      <w:szCs w:val="21"/>
                      <w:lang w:val="en-US" w:eastAsia="zh-CN"/>
                    </w:rPr>
                    <w:t>；</w:t>
                  </w:r>
                  <w:r>
                    <w:rPr>
                      <w:rFonts w:hint="default" w:ascii="Times New Roman" w:hAnsi="Times New Roman" w:eastAsia="宋体" w:cs="Times New Roman"/>
                      <w:b w:val="0"/>
                      <w:bCs w:val="0"/>
                      <w:color w:val="auto"/>
                      <w:sz w:val="21"/>
                      <w:szCs w:val="21"/>
                    </w:rPr>
                    <w:t>主线采用预应力钢筒混凝土管</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道路下穿段采用DN1400顶管</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CIDFont" w:cs="Times New Roman"/>
                      <w:b w:val="0"/>
                      <w:bCs w:val="0"/>
                      <w:color w:val="auto"/>
                      <w:kern w:val="0"/>
                      <w:sz w:val="21"/>
                      <w:szCs w:val="21"/>
                      <w:lang w:val="en-US" w:eastAsia="zh-CN" w:bidi="ar"/>
                    </w:rPr>
                    <w:t>穿越鸣矣河</w:t>
                  </w:r>
                  <w:r>
                    <w:rPr>
                      <w:rFonts w:hint="eastAsia" w:ascii="Times New Roman" w:hAnsi="Times New Roman" w:eastAsia="CIDFont" w:cs="Times New Roman"/>
                      <w:b w:val="0"/>
                      <w:bCs w:val="0"/>
                      <w:color w:val="auto"/>
                      <w:kern w:val="0"/>
                      <w:sz w:val="21"/>
                      <w:szCs w:val="21"/>
                      <w:lang w:val="en-US" w:eastAsia="zh-CN" w:bidi="ar"/>
                    </w:rPr>
                    <w:t>（</w:t>
                  </w:r>
                  <w:r>
                    <w:rPr>
                      <w:rFonts w:hint="default" w:ascii="Times New Roman" w:hAnsi="Times New Roman" w:eastAsia="CIDFont" w:cs="Times New Roman"/>
                      <w:b w:val="0"/>
                      <w:bCs w:val="0"/>
                      <w:color w:val="auto"/>
                      <w:kern w:val="0"/>
                      <w:sz w:val="21"/>
                      <w:szCs w:val="21"/>
                      <w:lang w:val="en-US" w:eastAsia="zh-CN" w:bidi="ar"/>
                    </w:rPr>
                    <w:t>八街河）段，采用明槽开挖施工</w:t>
                  </w:r>
                  <w:r>
                    <w:rPr>
                      <w:rFonts w:hint="default" w:ascii="Times New Roman" w:hAnsi="Times New Roman" w:eastAsia="宋体" w:cs="Times New Roman"/>
                      <w:b w:val="0"/>
                      <w:bCs w:val="0"/>
                      <w:color w:val="auto"/>
                      <w:spacing w:val="0"/>
                      <w:sz w:val="21"/>
                      <w:szCs w:val="21"/>
                    </w:rPr>
                    <w:t>。</w:t>
                  </w:r>
                </w:p>
                <w:p w14:paraId="112AA9BF">
                  <w:pPr>
                    <w:keepNext w:val="0"/>
                    <w:keepLines w:val="0"/>
                    <w:widowControl/>
                    <w:suppressLineNumbers w:val="0"/>
                    <w:jc w:val="left"/>
                    <w:rPr>
                      <w:rFonts w:hint="default" w:ascii="Times New Roman" w:hAnsi="Times New Roman" w:eastAsia="宋体" w:cs="Times New Roman"/>
                      <w:b w:val="0"/>
                      <w:bCs w:val="0"/>
                      <w:color w:val="auto"/>
                      <w:spacing w:val="0"/>
                      <w:sz w:val="21"/>
                      <w:szCs w:val="21"/>
                    </w:rPr>
                  </w:pPr>
                  <w:r>
                    <w:rPr>
                      <w:rFonts w:hint="default" w:ascii="Times New Roman" w:hAnsi="Times New Roman" w:cs="Times New Roman"/>
                      <w:b w:val="0"/>
                      <w:bCs w:val="0"/>
                      <w:color w:val="auto"/>
                      <w:spacing w:val="0"/>
                      <w:sz w:val="21"/>
                      <w:szCs w:val="21"/>
                      <w:lang w:val="en-US" w:eastAsia="zh-CN"/>
                    </w:rPr>
                    <w:t>2）第二段</w:t>
                  </w:r>
                  <w:r>
                    <w:rPr>
                      <w:rFonts w:hint="default" w:ascii="Times New Roman" w:hAnsi="Times New Roman" w:eastAsia="宋体" w:cs="Times New Roman"/>
                      <w:b w:val="0"/>
                      <w:bCs w:val="0"/>
                      <w:color w:val="auto"/>
                      <w:spacing w:val="0"/>
                      <w:sz w:val="21"/>
                      <w:szCs w:val="21"/>
                    </w:rPr>
                    <w:t>从</w:t>
                  </w:r>
                  <w:r>
                    <w:rPr>
                      <w:rFonts w:hint="default" w:ascii="Times New Roman" w:hAnsi="Times New Roman" w:cs="Times New Roman"/>
                      <w:b w:val="0"/>
                      <w:bCs w:val="0"/>
                      <w:color w:val="auto"/>
                      <w:spacing w:val="0"/>
                      <w:sz w:val="21"/>
                      <w:szCs w:val="21"/>
                      <w:lang w:val="en-US" w:eastAsia="zh-CN"/>
                    </w:rPr>
                    <w:t>鸣矣河西侧</w:t>
                  </w:r>
                  <w:r>
                    <w:rPr>
                      <w:rFonts w:hint="default" w:ascii="Times New Roman" w:hAnsi="Times New Roman" w:eastAsia="宋体" w:cs="Times New Roman"/>
                      <w:b w:val="0"/>
                      <w:bCs w:val="0"/>
                      <w:color w:val="auto"/>
                      <w:spacing w:val="0"/>
                      <w:sz w:val="21"/>
                      <w:szCs w:val="21"/>
                    </w:rPr>
                    <w:t>现有的DN1</w:t>
                  </w:r>
                  <w:r>
                    <w:rPr>
                      <w:rFonts w:hint="default" w:ascii="Times New Roman" w:hAnsi="Times New Roman" w:cs="Times New Roman"/>
                      <w:b w:val="0"/>
                      <w:bCs w:val="0"/>
                      <w:color w:val="auto"/>
                      <w:spacing w:val="0"/>
                      <w:sz w:val="21"/>
                      <w:szCs w:val="21"/>
                      <w:lang w:val="en-US" w:eastAsia="zh-CN"/>
                    </w:rPr>
                    <w:t>4</w:t>
                  </w:r>
                  <w:r>
                    <w:rPr>
                      <w:rFonts w:hint="default" w:ascii="Times New Roman" w:hAnsi="Times New Roman" w:eastAsia="宋体" w:cs="Times New Roman"/>
                      <w:b w:val="0"/>
                      <w:bCs w:val="0"/>
                      <w:color w:val="auto"/>
                      <w:spacing w:val="0"/>
                      <w:sz w:val="21"/>
                      <w:szCs w:val="21"/>
                    </w:rPr>
                    <w:t>00 管的闸门室前开口</w:t>
                  </w:r>
                  <w:r>
                    <w:rPr>
                      <w:rFonts w:hint="default" w:ascii="Times New Roman" w:hAnsi="Times New Roman" w:cs="Times New Roman"/>
                      <w:b w:val="0"/>
                      <w:bCs w:val="0"/>
                      <w:color w:val="auto"/>
                      <w:spacing w:val="0"/>
                      <w:sz w:val="21"/>
                      <w:szCs w:val="21"/>
                      <w:lang w:val="en-US" w:eastAsia="zh-CN"/>
                    </w:rPr>
                    <w:t>连接</w:t>
                  </w:r>
                  <w:r>
                    <w:rPr>
                      <w:rFonts w:hint="default" w:ascii="Times New Roman" w:hAnsi="Times New Roman" w:eastAsia="宋体" w:cs="Times New Roman"/>
                      <w:b w:val="0"/>
                      <w:bCs w:val="0"/>
                      <w:color w:val="auto"/>
                      <w:spacing w:val="0"/>
                      <w:sz w:val="21"/>
                      <w:szCs w:val="21"/>
                    </w:rPr>
                    <w:t>，</w:t>
                  </w:r>
                  <w:r>
                    <w:rPr>
                      <w:rFonts w:hint="default" w:ascii="Times New Roman" w:hAnsi="Times New Roman" w:cs="Times New Roman"/>
                      <w:b w:val="0"/>
                      <w:bCs w:val="0"/>
                      <w:color w:val="auto"/>
                      <w:spacing w:val="0"/>
                      <w:sz w:val="21"/>
                      <w:szCs w:val="21"/>
                      <w:lang w:val="en-US" w:eastAsia="zh-CN"/>
                    </w:rPr>
                    <w:t>途经安八线、甸东村、县小公路、新民村，终点与新民村</w:t>
                  </w:r>
                  <w:r>
                    <w:rPr>
                      <w:rFonts w:hint="default" w:ascii="Times New Roman" w:hAnsi="Times New Roman" w:eastAsia="宋体" w:cs="Times New Roman"/>
                      <w:b w:val="0"/>
                      <w:bCs w:val="0"/>
                      <w:color w:val="auto"/>
                      <w:spacing w:val="0"/>
                      <w:sz w:val="21"/>
                      <w:szCs w:val="21"/>
                    </w:rPr>
                    <w:t>现有的DN1</w:t>
                  </w:r>
                  <w:r>
                    <w:rPr>
                      <w:rFonts w:hint="default" w:ascii="Times New Roman" w:hAnsi="Times New Roman" w:cs="Times New Roman"/>
                      <w:b w:val="0"/>
                      <w:bCs w:val="0"/>
                      <w:color w:val="auto"/>
                      <w:spacing w:val="0"/>
                      <w:sz w:val="21"/>
                      <w:szCs w:val="21"/>
                      <w:lang w:val="en-US" w:eastAsia="zh-CN"/>
                    </w:rPr>
                    <w:t>4</w:t>
                  </w:r>
                  <w:r>
                    <w:rPr>
                      <w:rFonts w:hint="default" w:ascii="Times New Roman" w:hAnsi="Times New Roman" w:eastAsia="宋体" w:cs="Times New Roman"/>
                      <w:b w:val="0"/>
                      <w:bCs w:val="0"/>
                      <w:color w:val="auto"/>
                      <w:spacing w:val="0"/>
                      <w:sz w:val="21"/>
                      <w:szCs w:val="21"/>
                    </w:rPr>
                    <w:t>00 管</w:t>
                  </w:r>
                  <w:r>
                    <w:rPr>
                      <w:rFonts w:hint="default" w:ascii="Times New Roman" w:hAnsi="Times New Roman" w:cs="Times New Roman"/>
                      <w:b w:val="0"/>
                      <w:bCs w:val="0"/>
                      <w:color w:val="auto"/>
                      <w:spacing w:val="0"/>
                      <w:sz w:val="21"/>
                      <w:szCs w:val="21"/>
                      <w:lang w:val="en-US" w:eastAsia="zh-CN"/>
                    </w:rPr>
                    <w:t>连接，</w:t>
                  </w:r>
                  <w:r>
                    <w:rPr>
                      <w:rFonts w:hint="default" w:ascii="Times New Roman" w:hAnsi="Times New Roman" w:eastAsia="宋体" w:cs="Times New Roman"/>
                      <w:b w:val="0"/>
                      <w:bCs w:val="0"/>
                      <w:color w:val="auto"/>
                      <w:spacing w:val="0"/>
                      <w:sz w:val="21"/>
                      <w:szCs w:val="21"/>
                      <w:lang w:val="en-US" w:eastAsia="zh-CN"/>
                    </w:rPr>
                    <w:t>总长 6803m</w:t>
                  </w:r>
                  <w:r>
                    <w:rPr>
                      <w:rFonts w:hint="default" w:ascii="Times New Roman" w:hAnsi="Times New Roman" w:cs="Times New Roman"/>
                      <w:b w:val="0"/>
                      <w:bCs w:val="0"/>
                      <w:color w:val="auto"/>
                      <w:spacing w:val="0"/>
                      <w:sz w:val="21"/>
                      <w:szCs w:val="21"/>
                      <w:lang w:val="en-US" w:eastAsia="zh-CN"/>
                    </w:rPr>
                    <w:t>；</w:t>
                  </w:r>
                  <w:r>
                    <w:rPr>
                      <w:rFonts w:hint="default" w:ascii="Times New Roman" w:hAnsi="Times New Roman" w:eastAsia="宋体" w:cs="Times New Roman"/>
                      <w:b w:val="0"/>
                      <w:bCs w:val="0"/>
                      <w:color w:val="auto"/>
                      <w:sz w:val="21"/>
                      <w:szCs w:val="21"/>
                    </w:rPr>
                    <w:t>主线采用预应力钢筒混凝土管</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道路下穿段采用DN1400顶管</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CIDFont" w:cs="Times New Roman"/>
                      <w:b w:val="0"/>
                      <w:bCs w:val="0"/>
                      <w:color w:val="auto"/>
                      <w:kern w:val="0"/>
                      <w:sz w:val="21"/>
                      <w:szCs w:val="21"/>
                      <w:lang w:val="en-US" w:eastAsia="zh-CN" w:bidi="ar"/>
                    </w:rPr>
                    <w:t>穿越鸣矣河段，采用明槽开挖施工</w:t>
                  </w:r>
                  <w:r>
                    <w:rPr>
                      <w:rFonts w:hint="default" w:ascii="Times New Roman" w:hAnsi="Times New Roman" w:eastAsia="宋体" w:cs="Times New Roman"/>
                      <w:b w:val="0"/>
                      <w:bCs w:val="0"/>
                      <w:color w:val="auto"/>
                      <w:spacing w:val="0"/>
                      <w:sz w:val="21"/>
                      <w:szCs w:val="21"/>
                    </w:rPr>
                    <w:t>。</w:t>
                  </w:r>
                </w:p>
                <w:p w14:paraId="1700E33D">
                  <w:pPr>
                    <w:keepNext w:val="0"/>
                    <w:keepLines w:val="0"/>
                    <w:widowControl/>
                    <w:suppressLineNumbers w:val="0"/>
                    <w:jc w:val="left"/>
                    <w:rPr>
                      <w:rFonts w:hint="default"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w:t>
                  </w:r>
                  <w:r>
                    <w:rPr>
                      <w:rFonts w:hint="default" w:ascii="Times New Roman" w:hAnsi="Times New Roman" w:eastAsia="宋体" w:cs="Times New Roman"/>
                      <w:b w:val="0"/>
                      <w:bCs w:val="0"/>
                      <w:color w:val="auto"/>
                      <w:spacing w:val="0"/>
                      <w:sz w:val="21"/>
                      <w:szCs w:val="21"/>
                      <w:lang w:val="en-US" w:eastAsia="zh-CN"/>
                    </w:rPr>
                    <w:t>2）</w:t>
                  </w:r>
                  <w:r>
                    <w:rPr>
                      <w:rFonts w:hint="default" w:ascii="Times New Roman" w:hAnsi="Times New Roman" w:eastAsia="宋体" w:cs="Times New Roman"/>
                      <w:b w:val="0"/>
                      <w:bCs w:val="0"/>
                      <w:color w:val="auto"/>
                      <w:sz w:val="21"/>
                      <w:szCs w:val="21"/>
                      <w:highlight w:val="none"/>
                      <w:lang w:val="en-US" w:eastAsia="zh-CN"/>
                    </w:rPr>
                    <w:t>DN1400输水管道</w:t>
                  </w:r>
                  <w:r>
                    <w:rPr>
                      <w:rFonts w:hint="default" w:ascii="Times New Roman" w:hAnsi="Times New Roman" w:eastAsia="宋体" w:cs="Times New Roman"/>
                      <w:b w:val="0"/>
                      <w:bCs w:val="0"/>
                      <w:color w:val="auto"/>
                      <w:spacing w:val="0"/>
                      <w:sz w:val="21"/>
                      <w:szCs w:val="21"/>
                      <w:lang w:val="en-US" w:eastAsia="zh-CN"/>
                    </w:rPr>
                    <w:t>：</w:t>
                  </w:r>
                  <w:r>
                    <w:rPr>
                      <w:rFonts w:hint="default" w:ascii="Times New Roman" w:hAnsi="Times New Roman" w:eastAsia="宋体" w:cs="Times New Roman"/>
                      <w:b w:val="0"/>
                      <w:bCs w:val="0"/>
                      <w:color w:val="auto"/>
                      <w:spacing w:val="0"/>
                      <w:sz w:val="21"/>
                      <w:szCs w:val="21"/>
                    </w:rPr>
                    <w:t>从</w:t>
                  </w:r>
                  <w:r>
                    <w:rPr>
                      <w:rFonts w:hint="default" w:ascii="Times New Roman" w:hAnsi="Times New Roman" w:cs="Times New Roman"/>
                      <w:b w:val="0"/>
                      <w:bCs w:val="0"/>
                      <w:color w:val="auto"/>
                      <w:spacing w:val="0"/>
                      <w:sz w:val="21"/>
                      <w:szCs w:val="21"/>
                      <w:lang w:val="en-US" w:eastAsia="zh-CN"/>
                    </w:rPr>
                    <w:t>月子庄水库坝下西侧</w:t>
                  </w:r>
                  <w:r>
                    <w:rPr>
                      <w:rFonts w:hint="default" w:ascii="Times New Roman" w:hAnsi="Times New Roman" w:eastAsia="宋体" w:cs="Times New Roman"/>
                      <w:b w:val="0"/>
                      <w:bCs w:val="0"/>
                      <w:color w:val="auto"/>
                      <w:spacing w:val="0"/>
                      <w:sz w:val="21"/>
                      <w:szCs w:val="21"/>
                    </w:rPr>
                    <w:t>现有的DN</w:t>
                  </w:r>
                  <w:r>
                    <w:rPr>
                      <w:rFonts w:hint="default" w:ascii="Times New Roman" w:hAnsi="Times New Roman" w:cs="Times New Roman"/>
                      <w:b w:val="0"/>
                      <w:bCs w:val="0"/>
                      <w:color w:val="auto"/>
                      <w:spacing w:val="0"/>
                      <w:sz w:val="21"/>
                      <w:szCs w:val="21"/>
                      <w:lang w:val="en-US" w:eastAsia="zh-CN"/>
                    </w:rPr>
                    <w:t>4</w:t>
                  </w:r>
                  <w:r>
                    <w:rPr>
                      <w:rFonts w:hint="default" w:ascii="Times New Roman" w:hAnsi="Times New Roman" w:eastAsia="宋体" w:cs="Times New Roman"/>
                      <w:b w:val="0"/>
                      <w:bCs w:val="0"/>
                      <w:color w:val="auto"/>
                      <w:spacing w:val="0"/>
                      <w:sz w:val="21"/>
                      <w:szCs w:val="21"/>
                    </w:rPr>
                    <w:t>00 管的闸门室前开口</w:t>
                  </w:r>
                  <w:r>
                    <w:rPr>
                      <w:rFonts w:hint="default" w:ascii="Times New Roman" w:hAnsi="Times New Roman" w:cs="Times New Roman"/>
                      <w:b w:val="0"/>
                      <w:bCs w:val="0"/>
                      <w:color w:val="auto"/>
                      <w:spacing w:val="0"/>
                      <w:sz w:val="21"/>
                      <w:szCs w:val="21"/>
                      <w:lang w:val="en-US" w:eastAsia="zh-CN"/>
                    </w:rPr>
                    <w:t>连接</w:t>
                  </w:r>
                  <w:r>
                    <w:rPr>
                      <w:rFonts w:hint="default" w:ascii="Times New Roman" w:hAnsi="Times New Roman" w:eastAsia="宋体" w:cs="Times New Roman"/>
                      <w:b w:val="0"/>
                      <w:bCs w:val="0"/>
                      <w:color w:val="auto"/>
                      <w:spacing w:val="0"/>
                      <w:sz w:val="21"/>
                      <w:szCs w:val="21"/>
                    </w:rPr>
                    <w:t>，</w:t>
                  </w:r>
                  <w:r>
                    <w:rPr>
                      <w:rFonts w:hint="default" w:ascii="Times New Roman" w:hAnsi="Times New Roman" w:cs="Times New Roman"/>
                      <w:b w:val="0"/>
                      <w:bCs w:val="0"/>
                      <w:color w:val="auto"/>
                      <w:spacing w:val="0"/>
                      <w:sz w:val="21"/>
                      <w:szCs w:val="21"/>
                      <w:lang w:val="en-US" w:eastAsia="zh-CN"/>
                    </w:rPr>
                    <w:t>途经安白线、白小公路、上元良村公路</w:t>
                  </w:r>
                  <w:r>
                    <w:rPr>
                      <w:rFonts w:hint="default" w:ascii="Times New Roman" w:hAnsi="Times New Roman" w:eastAsia="宋体" w:cs="Times New Roman"/>
                      <w:b w:val="0"/>
                      <w:bCs w:val="0"/>
                      <w:color w:val="auto"/>
                      <w:spacing w:val="0"/>
                      <w:sz w:val="21"/>
                      <w:szCs w:val="21"/>
                      <w:lang w:val="en-US" w:eastAsia="zh-CN"/>
                    </w:rPr>
                    <w:t>，终点连接县街水厂；外 PE 内环氧涂塑 Q235B 焊接钢管，壁厚 6mm，总长 6595m；道路下穿段采用</w:t>
                  </w:r>
                  <w:r>
                    <w:rPr>
                      <w:rFonts w:hint="eastAsia" w:ascii="Times New Roman" w:hAnsi="Times New Roman" w:eastAsia="宋体" w:cs="Times New Roman"/>
                      <w:b w:val="0"/>
                      <w:bCs w:val="0"/>
                      <w:color w:val="auto"/>
                      <w:spacing w:val="0"/>
                      <w:sz w:val="21"/>
                      <w:szCs w:val="21"/>
                      <w:lang w:val="en-US" w:eastAsia="zh-CN"/>
                    </w:rPr>
                    <w:t>明挖开槽，不设置顶管</w:t>
                  </w:r>
                  <w:r>
                    <w:rPr>
                      <w:rFonts w:hint="default" w:ascii="Times New Roman" w:hAnsi="Times New Roman" w:eastAsia="宋体" w:cs="Times New Roman"/>
                      <w:b w:val="0"/>
                      <w:bCs w:val="0"/>
                      <w:color w:val="auto"/>
                      <w:spacing w:val="0"/>
                      <w:sz w:val="21"/>
                      <w:szCs w:val="21"/>
                      <w:lang w:val="en-US" w:eastAsia="zh-CN"/>
                    </w:rPr>
                    <w:t>。</w:t>
                  </w:r>
                </w:p>
              </w:tc>
              <w:tc>
                <w:tcPr>
                  <w:tcW w:w="536" w:type="pct"/>
                  <w:vAlign w:val="center"/>
                </w:tcPr>
                <w:p w14:paraId="3CFA13C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6"/>
                      <w:sz w:val="21"/>
                      <w:szCs w:val="21"/>
                    </w:rPr>
                    <w:t>新建</w:t>
                  </w:r>
                </w:p>
              </w:tc>
            </w:tr>
            <w:tr w14:paraId="687B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33" w:type="pct"/>
                  <w:gridSpan w:val="3"/>
                  <w:vMerge w:val="continue"/>
                  <w:vAlign w:val="center"/>
                </w:tcPr>
                <w:p w14:paraId="2C0F929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2"/>
                      <w:sz w:val="21"/>
                      <w:szCs w:val="21"/>
                    </w:rPr>
                  </w:pPr>
                </w:p>
              </w:tc>
              <w:tc>
                <w:tcPr>
                  <w:tcW w:w="3630" w:type="pct"/>
                  <w:vAlign w:val="center"/>
                </w:tcPr>
                <w:p w14:paraId="0697BD92">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（3）加压泵站：</w:t>
                  </w:r>
                  <w:r>
                    <w:rPr>
                      <w:rFonts w:hint="default" w:ascii="Times New Roman" w:hAnsi="Times New Roman" w:eastAsia="宋体" w:cs="Times New Roman"/>
                      <w:b w:val="0"/>
                      <w:bCs w:val="0"/>
                      <w:color w:val="auto"/>
                      <w:spacing w:val="0"/>
                      <w:sz w:val="21"/>
                      <w:szCs w:val="21"/>
                      <w:lang w:val="en-US" w:eastAsia="zh-CN"/>
                    </w:rPr>
                    <w:t>一体化钢筋混凝土泵站，外形 8m×6m×3.1m；吸水水箱有效容积 80m³</w:t>
                  </w:r>
                  <w:r>
                    <w:rPr>
                      <w:rFonts w:hint="eastAsia" w:ascii="Times New Roman" w:hAnsi="Times New Roman" w:eastAsia="宋体" w:cs="Times New Roman"/>
                      <w:b w:val="0"/>
                      <w:bCs w:val="0"/>
                      <w:color w:val="auto"/>
                      <w:spacing w:val="0"/>
                      <w:sz w:val="21"/>
                      <w:szCs w:val="21"/>
                      <w:lang w:val="en-US" w:eastAsia="zh-CN"/>
                    </w:rPr>
                    <w:t>。</w:t>
                  </w:r>
                </w:p>
                <w:p w14:paraId="5BD115F7">
                  <w:pPr>
                    <w:keepNext w:val="0"/>
                    <w:keepLines w:val="0"/>
                    <w:widowControl/>
                    <w:suppressLineNumbers w:val="0"/>
                    <w:jc w:val="left"/>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泵站内设置</w:t>
                  </w:r>
                  <w:r>
                    <w:rPr>
                      <w:rFonts w:hint="default" w:ascii="Times New Roman" w:hAnsi="Times New Roman" w:eastAsia="宋体" w:cs="Times New Roman"/>
                      <w:b w:val="0"/>
                      <w:bCs w:val="0"/>
                      <w:color w:val="auto"/>
                      <w:spacing w:val="0"/>
                      <w:sz w:val="21"/>
                      <w:szCs w:val="21"/>
                      <w:lang w:val="en-US" w:eastAsia="zh-CN"/>
                    </w:rPr>
                    <w:t>离心泵 3 台</w:t>
                  </w:r>
                  <w:r>
                    <w:rPr>
                      <w:rFonts w:hint="eastAsia" w:ascii="Times New Roman" w:hAnsi="Times New Roman" w:eastAsia="宋体" w:cs="Times New Roman"/>
                      <w:b w:val="0"/>
                      <w:bCs w:val="0"/>
                      <w:color w:val="auto"/>
                      <w:spacing w:val="0"/>
                      <w:sz w:val="21"/>
                      <w:szCs w:val="21"/>
                      <w:lang w:val="en-US" w:eastAsia="zh-CN"/>
                    </w:rPr>
                    <w:t>（</w:t>
                  </w:r>
                  <w:r>
                    <w:rPr>
                      <w:rFonts w:hint="default" w:ascii="Times New Roman" w:hAnsi="Times New Roman" w:eastAsia="宋体" w:cs="Times New Roman"/>
                      <w:b w:val="0"/>
                      <w:bCs w:val="0"/>
                      <w:color w:val="auto"/>
                      <w:spacing w:val="0"/>
                      <w:sz w:val="21"/>
                      <w:szCs w:val="21"/>
                      <w:lang w:val="en-US" w:eastAsia="zh-CN"/>
                    </w:rPr>
                    <w:t>2 用 1 备），单台流量 160m³/h，扬程 117m，功率 90kW，变频控制，总供水规模 320m³/h</w:t>
                  </w:r>
                </w:p>
              </w:tc>
              <w:tc>
                <w:tcPr>
                  <w:tcW w:w="536" w:type="pct"/>
                  <w:vAlign w:val="center"/>
                </w:tcPr>
                <w:p w14:paraId="682285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pacing w:val="6"/>
                      <w:sz w:val="21"/>
                      <w:szCs w:val="21"/>
                    </w:rPr>
                    <w:t>新建</w:t>
                  </w:r>
                </w:p>
              </w:tc>
            </w:tr>
            <w:tr w14:paraId="27CF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33" w:type="pct"/>
                  <w:gridSpan w:val="3"/>
                  <w:vAlign w:val="center"/>
                </w:tcPr>
                <w:p w14:paraId="0266DAB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eastAsia" w:cs="Times New Roman"/>
                      <w:color w:val="auto"/>
                      <w:spacing w:val="2"/>
                      <w:sz w:val="21"/>
                      <w:szCs w:val="21"/>
                      <w:highlight w:val="none"/>
                      <w:lang w:val="en-US" w:eastAsia="zh-CN"/>
                    </w:rPr>
                    <w:t>附属</w:t>
                  </w:r>
                  <w:r>
                    <w:rPr>
                      <w:rFonts w:hint="default" w:ascii="Times New Roman" w:hAnsi="Times New Roman" w:eastAsia="宋体" w:cs="Times New Roman"/>
                      <w:color w:val="auto"/>
                      <w:spacing w:val="2"/>
                      <w:sz w:val="21"/>
                      <w:szCs w:val="21"/>
                      <w:highlight w:val="none"/>
                    </w:rPr>
                    <w:t>工程</w:t>
                  </w:r>
                </w:p>
              </w:tc>
              <w:tc>
                <w:tcPr>
                  <w:tcW w:w="3630" w:type="pct"/>
                  <w:vAlign w:val="center"/>
                </w:tcPr>
                <w:p w14:paraId="5681004D">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管道附属设施：</w:t>
                  </w:r>
                </w:p>
                <w:p w14:paraId="2977DB0A">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（1）</w:t>
                  </w:r>
                  <w:r>
                    <w:rPr>
                      <w:rFonts w:hint="default" w:ascii="Times New Roman" w:hAnsi="Times New Roman" w:eastAsia="宋体" w:cs="Times New Roman"/>
                      <w:b w:val="0"/>
                      <w:bCs w:val="0"/>
                      <w:color w:val="auto"/>
                      <w:spacing w:val="0"/>
                      <w:sz w:val="21"/>
                      <w:szCs w:val="21"/>
                      <w:lang w:val="en-US" w:eastAsia="zh-CN"/>
                    </w:rPr>
                    <w:t>DN1400输水管道</w:t>
                  </w:r>
                </w:p>
                <w:p w14:paraId="706EA44E">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1）排气阀井：在管坡顶点上均设有排气阀，在平直管道上间隔约800-1000 米也设置排气阀，同时具有进排气功能。管道沿线设置复合式排气阀22座。</w:t>
                  </w:r>
                </w:p>
                <w:p w14:paraId="06085A1C">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2）检修阀井：管线沿途共设置检修阀井12座。</w:t>
                  </w:r>
                </w:p>
                <w:p w14:paraId="09324DA3">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3）排泥湿井：在输水管线中途</w:t>
                  </w:r>
                  <w:r>
                    <w:rPr>
                      <w:rFonts w:hint="default" w:ascii="Times New Roman" w:hAnsi="Times New Roman" w:eastAsia="宋体" w:cs="Times New Roman"/>
                      <w:b w:val="0"/>
                      <w:bCs w:val="0"/>
                      <w:color w:val="auto"/>
                      <w:spacing w:val="0"/>
                      <w:sz w:val="21"/>
                      <w:szCs w:val="21"/>
                      <w:lang w:val="en-US" w:eastAsia="zh-CN"/>
                    </w:rPr>
                    <w:t>管道低洼处</w:t>
                  </w:r>
                  <w:r>
                    <w:rPr>
                      <w:rFonts w:hint="eastAsia" w:ascii="Times New Roman" w:hAnsi="Times New Roman" w:eastAsia="宋体" w:cs="Times New Roman"/>
                      <w:b w:val="0"/>
                      <w:bCs w:val="0"/>
                      <w:color w:val="auto"/>
                      <w:spacing w:val="0"/>
                      <w:sz w:val="21"/>
                      <w:szCs w:val="21"/>
                      <w:lang w:val="en-US" w:eastAsia="zh-CN"/>
                    </w:rPr>
                    <w:t>设置</w:t>
                  </w:r>
                  <w:r>
                    <w:rPr>
                      <w:rFonts w:hint="default" w:ascii="Times New Roman" w:hAnsi="Times New Roman" w:eastAsia="宋体" w:cs="Times New Roman"/>
                      <w:b w:val="0"/>
                      <w:bCs w:val="0"/>
                      <w:color w:val="auto"/>
                      <w:spacing w:val="0"/>
                      <w:sz w:val="21"/>
                      <w:szCs w:val="21"/>
                      <w:lang w:val="en-US" w:eastAsia="zh-CN"/>
                    </w:rPr>
                    <w:t>放空排淤</w:t>
                  </w:r>
                  <w:r>
                    <w:rPr>
                      <w:rFonts w:hint="eastAsia" w:ascii="Times New Roman" w:hAnsi="Times New Roman" w:eastAsia="宋体" w:cs="Times New Roman"/>
                      <w:b w:val="0"/>
                      <w:bCs w:val="0"/>
                      <w:color w:val="auto"/>
                      <w:spacing w:val="0"/>
                      <w:sz w:val="21"/>
                      <w:szCs w:val="21"/>
                      <w:lang w:val="en-US" w:eastAsia="zh-CN"/>
                    </w:rPr>
                    <w:t>湿井9座。</w:t>
                  </w:r>
                </w:p>
                <w:p w14:paraId="66E1735B">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（2）</w:t>
                  </w:r>
                  <w:r>
                    <w:rPr>
                      <w:rFonts w:hint="default" w:ascii="Times New Roman" w:hAnsi="Times New Roman" w:eastAsia="宋体" w:cs="Times New Roman"/>
                      <w:b w:val="0"/>
                      <w:bCs w:val="0"/>
                      <w:color w:val="auto"/>
                      <w:spacing w:val="0"/>
                      <w:sz w:val="21"/>
                      <w:szCs w:val="21"/>
                      <w:lang w:val="en-US" w:eastAsia="zh-CN"/>
                    </w:rPr>
                    <w:t>DN400输水管道</w:t>
                  </w:r>
                </w:p>
                <w:p w14:paraId="46A20159">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1）排气阀：在管坡顶点上均设有排气阀。管道沿线设置复合式排气阀13座。</w:t>
                  </w:r>
                </w:p>
                <w:p w14:paraId="6DDA14D2">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2）检修阀：管线沿途共设置检修阀井11座。</w:t>
                  </w:r>
                </w:p>
                <w:p w14:paraId="552C01A2">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3）排泥湿井：在输水管线中途</w:t>
                  </w:r>
                  <w:r>
                    <w:rPr>
                      <w:rFonts w:hint="default" w:ascii="Times New Roman" w:hAnsi="Times New Roman" w:eastAsia="宋体" w:cs="Times New Roman"/>
                      <w:b w:val="0"/>
                      <w:bCs w:val="0"/>
                      <w:color w:val="auto"/>
                      <w:spacing w:val="0"/>
                      <w:sz w:val="21"/>
                      <w:szCs w:val="21"/>
                      <w:lang w:val="en-US" w:eastAsia="zh-CN"/>
                    </w:rPr>
                    <w:t>管道低洼处</w:t>
                  </w:r>
                  <w:r>
                    <w:rPr>
                      <w:rFonts w:hint="eastAsia" w:ascii="Times New Roman" w:hAnsi="Times New Roman" w:eastAsia="宋体" w:cs="Times New Roman"/>
                      <w:b w:val="0"/>
                      <w:bCs w:val="0"/>
                      <w:color w:val="auto"/>
                      <w:spacing w:val="0"/>
                      <w:sz w:val="21"/>
                      <w:szCs w:val="21"/>
                      <w:lang w:val="en-US" w:eastAsia="zh-CN"/>
                    </w:rPr>
                    <w:t>设置</w:t>
                  </w:r>
                  <w:r>
                    <w:rPr>
                      <w:rFonts w:hint="default" w:ascii="Times New Roman" w:hAnsi="Times New Roman" w:eastAsia="宋体" w:cs="Times New Roman"/>
                      <w:b w:val="0"/>
                      <w:bCs w:val="0"/>
                      <w:color w:val="auto"/>
                      <w:spacing w:val="0"/>
                      <w:sz w:val="21"/>
                      <w:szCs w:val="21"/>
                      <w:lang w:val="en-US" w:eastAsia="zh-CN"/>
                    </w:rPr>
                    <w:t>放空排淤</w:t>
                  </w:r>
                  <w:r>
                    <w:rPr>
                      <w:rFonts w:hint="eastAsia" w:ascii="Times New Roman" w:hAnsi="Times New Roman" w:eastAsia="宋体" w:cs="Times New Roman"/>
                      <w:b w:val="0"/>
                      <w:bCs w:val="0"/>
                      <w:color w:val="auto"/>
                      <w:spacing w:val="0"/>
                      <w:sz w:val="21"/>
                      <w:szCs w:val="21"/>
                      <w:lang w:val="en-US" w:eastAsia="zh-CN"/>
                    </w:rPr>
                    <w:t>湿井9座。</w:t>
                  </w:r>
                </w:p>
                <w:p w14:paraId="7914194D">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一体化加压泵站附属设施：</w:t>
                  </w:r>
                </w:p>
                <w:p w14:paraId="0C8F46C6">
                  <w:pPr>
                    <w:keepNext w:val="0"/>
                    <w:keepLines w:val="0"/>
                    <w:widowControl/>
                    <w:suppressLineNumbers w:val="0"/>
                    <w:jc w:val="left"/>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1）电气系统：10kV架空进线500m；250kVA箱式变电站1座；250kVA备用柴油发电机1台；低压电缆、接地系统；</w:t>
                  </w:r>
                </w:p>
                <w:p w14:paraId="21E9B8AD">
                  <w:pPr>
                    <w:keepNext w:val="0"/>
                    <w:keepLines w:val="0"/>
                    <w:widowControl/>
                    <w:suppressLineNumbers w:val="0"/>
                    <w:jc w:val="left"/>
                    <w:rPr>
                      <w:rFonts w:hint="eastAsia" w:ascii="宋体" w:hAnsi="宋体" w:eastAsia="宋体" w:cs="宋体"/>
                      <w:color w:val="auto"/>
                      <w:sz w:val="24"/>
                      <w:szCs w:val="24"/>
                      <w:lang w:val="en-US" w:eastAsia="zh-CN"/>
                    </w:rPr>
                  </w:pPr>
                  <w:r>
                    <w:rPr>
                      <w:rFonts w:hint="eastAsia" w:ascii="Times New Roman" w:hAnsi="Times New Roman" w:eastAsia="宋体" w:cs="Times New Roman"/>
                      <w:b w:val="0"/>
                      <w:bCs w:val="0"/>
                      <w:color w:val="auto"/>
                      <w:spacing w:val="0"/>
                      <w:sz w:val="21"/>
                      <w:szCs w:val="21"/>
                      <w:lang w:val="en-US" w:eastAsia="zh-CN"/>
                    </w:rPr>
                    <w:t>2）PLC 全自动控制系统、压力变频轮换、视频监控、门禁系统、浪涌防雷装置。</w:t>
                  </w:r>
                </w:p>
              </w:tc>
              <w:tc>
                <w:tcPr>
                  <w:tcW w:w="536" w:type="pct"/>
                  <w:vAlign w:val="center"/>
                </w:tcPr>
                <w:p w14:paraId="3AB39B2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新建</w:t>
                  </w:r>
                </w:p>
              </w:tc>
            </w:tr>
            <w:tr w14:paraId="76C7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16" w:type="pct"/>
                  <w:gridSpan w:val="2"/>
                  <w:vMerge w:val="restart"/>
                  <w:vAlign w:val="center"/>
                </w:tcPr>
                <w:p w14:paraId="2008A73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s="Times New Roman"/>
                      <w:color w:val="auto"/>
                      <w:spacing w:val="2"/>
                      <w:sz w:val="21"/>
                      <w:szCs w:val="21"/>
                      <w:highlight w:val="none"/>
                      <w:lang w:val="en-US" w:eastAsia="zh-CN"/>
                    </w:rPr>
                  </w:pPr>
                  <w:r>
                    <w:rPr>
                      <w:rFonts w:hint="eastAsia" w:cs="Times New Roman"/>
                      <w:color w:val="auto"/>
                      <w:spacing w:val="2"/>
                      <w:sz w:val="21"/>
                      <w:szCs w:val="21"/>
                      <w:highlight w:val="none"/>
                      <w:lang w:val="en-US" w:eastAsia="zh-CN"/>
                    </w:rPr>
                    <w:t>辅助工程</w:t>
                  </w:r>
                </w:p>
              </w:tc>
              <w:tc>
                <w:tcPr>
                  <w:tcW w:w="416" w:type="pct"/>
                  <w:vAlign w:val="center"/>
                </w:tcPr>
                <w:p w14:paraId="6908C55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cs="Times New Roman"/>
                      <w:color w:val="auto"/>
                      <w:spacing w:val="2"/>
                      <w:sz w:val="21"/>
                      <w:szCs w:val="21"/>
                      <w:highlight w:val="none"/>
                      <w:lang w:val="en-US" w:eastAsia="zh-CN"/>
                    </w:rPr>
                  </w:pPr>
                  <w:r>
                    <w:rPr>
                      <w:rFonts w:hint="eastAsia" w:ascii="宋体" w:hAnsi="宋体" w:cs="宋体"/>
                      <w:color w:val="auto"/>
                      <w:kern w:val="0"/>
                      <w:sz w:val="21"/>
                      <w:szCs w:val="21"/>
                      <w:highlight w:val="none"/>
                      <w:lang w:val="en-US" w:eastAsia="zh-CN"/>
                    </w:rPr>
                    <w:t>工程管理</w:t>
                  </w:r>
                </w:p>
              </w:tc>
              <w:tc>
                <w:tcPr>
                  <w:tcW w:w="3630" w:type="pct"/>
                  <w:vAlign w:val="center"/>
                </w:tcPr>
                <w:p w14:paraId="3EEEDD2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Times New Roman" w:hAnsi="Times New Roman" w:eastAsia="宋体" w:cs="Times New Roman"/>
                      <w:b w:val="0"/>
                      <w:bCs w:val="0"/>
                      <w:color w:val="auto"/>
                      <w:spacing w:val="0"/>
                      <w:sz w:val="21"/>
                      <w:szCs w:val="21"/>
                      <w:lang w:val="en-US" w:eastAsia="zh-CN"/>
                    </w:rPr>
                  </w:pPr>
                  <w:r>
                    <w:rPr>
                      <w:rFonts w:hint="eastAsia" w:cs="Times New Roman"/>
                      <w:color w:val="auto"/>
                      <w:sz w:val="21"/>
                      <w:szCs w:val="21"/>
                      <w:highlight w:val="none"/>
                      <w:lang w:val="en-US" w:eastAsia="zh-CN"/>
                    </w:rPr>
                    <w:t>项目运营期不设工程管理区，</w:t>
                  </w:r>
                  <w:r>
                    <w:rPr>
                      <w:rFonts w:hint="eastAsia" w:ascii="Times New Roman" w:hAnsi="Times New Roman" w:eastAsia="宋体" w:cs="Times New Roman"/>
                      <w:color w:val="auto"/>
                      <w:sz w:val="21"/>
                      <w:szCs w:val="21"/>
                      <w:highlight w:val="none"/>
                      <w:lang w:val="en-US" w:eastAsia="zh-CN"/>
                    </w:rPr>
                    <w:t>由</w:t>
                  </w:r>
                  <w:r>
                    <w:rPr>
                      <w:rFonts w:hint="eastAsia" w:ascii="Times New Roman" w:hAnsi="Times New Roman" w:eastAsia="宋体" w:cs="Times New Roman"/>
                      <w:b w:val="0"/>
                      <w:bCs w:val="0"/>
                      <w:color w:val="auto"/>
                      <w:sz w:val="21"/>
                      <w:szCs w:val="21"/>
                      <w:highlight w:val="none"/>
                      <w:lang w:val="en-US" w:eastAsia="zh-CN"/>
                    </w:rPr>
                    <w:t>水务部门下属管理公司</w:t>
                  </w:r>
                  <w:r>
                    <w:rPr>
                      <w:rFonts w:hint="eastAsia" w:ascii="Times New Roman" w:hAnsi="Times New Roman" w:eastAsia="宋体" w:cs="Times New Roman"/>
                      <w:color w:val="auto"/>
                      <w:sz w:val="21"/>
                      <w:szCs w:val="21"/>
                      <w:highlight w:val="none"/>
                      <w:lang w:val="en-US" w:eastAsia="zh-CN"/>
                    </w:rPr>
                    <w:t>统一管理，</w:t>
                  </w:r>
                  <w:r>
                    <w:rPr>
                      <w:rFonts w:hint="eastAsia"/>
                      <w:color w:val="auto"/>
                      <w:sz w:val="21"/>
                      <w:szCs w:val="21"/>
                      <w:highlight w:val="none"/>
                    </w:rPr>
                    <w:t>可由公司内部运行班组负责日常运行，不再单独设置管理人员</w:t>
                  </w:r>
                  <w:r>
                    <w:rPr>
                      <w:rFonts w:hint="eastAsia" w:ascii="Times New Roman" w:hAnsi="Times New Roman" w:eastAsia="宋体" w:cs="Times New Roman"/>
                      <w:color w:val="auto"/>
                      <w:sz w:val="21"/>
                      <w:szCs w:val="21"/>
                      <w:highlight w:val="none"/>
                      <w:lang w:val="en-US" w:eastAsia="zh-CN"/>
                    </w:rPr>
                    <w:t>。</w:t>
                  </w:r>
                </w:p>
              </w:tc>
              <w:tc>
                <w:tcPr>
                  <w:tcW w:w="536" w:type="pct"/>
                  <w:vAlign w:val="center"/>
                </w:tcPr>
                <w:p w14:paraId="5F8A2FF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pacing w:val="6"/>
                      <w:sz w:val="21"/>
                      <w:szCs w:val="21"/>
                      <w:highlight w:val="none"/>
                      <w:lang w:val="en-US" w:eastAsia="zh-CN"/>
                    </w:rPr>
                  </w:pPr>
                  <w:r>
                    <w:rPr>
                      <w:rFonts w:hint="eastAsia" w:cs="Times New Roman"/>
                      <w:color w:val="auto"/>
                      <w:spacing w:val="6"/>
                      <w:sz w:val="21"/>
                      <w:szCs w:val="21"/>
                      <w:highlight w:val="none"/>
                      <w:lang w:val="en-US" w:eastAsia="zh-CN"/>
                    </w:rPr>
                    <w:t>/</w:t>
                  </w:r>
                </w:p>
              </w:tc>
            </w:tr>
            <w:tr w14:paraId="0FDF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16" w:type="pct"/>
                  <w:gridSpan w:val="2"/>
                  <w:vMerge w:val="continue"/>
                  <w:vAlign w:val="center"/>
                </w:tcPr>
                <w:p w14:paraId="2AE3E4D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s="Times New Roman"/>
                      <w:color w:val="auto"/>
                      <w:spacing w:val="2"/>
                      <w:sz w:val="21"/>
                      <w:szCs w:val="21"/>
                      <w:highlight w:val="none"/>
                      <w:lang w:val="en-US" w:eastAsia="zh-CN"/>
                    </w:rPr>
                  </w:pPr>
                </w:p>
              </w:tc>
              <w:tc>
                <w:tcPr>
                  <w:tcW w:w="416" w:type="pct"/>
                  <w:vAlign w:val="center"/>
                </w:tcPr>
                <w:p w14:paraId="50225B3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s="Times New Roman"/>
                      <w:color w:val="auto"/>
                      <w:spacing w:val="2"/>
                      <w:sz w:val="21"/>
                      <w:szCs w:val="21"/>
                      <w:highlight w:val="none"/>
                      <w:lang w:val="en-US" w:eastAsia="zh-CN"/>
                    </w:rPr>
                  </w:pPr>
                  <w:r>
                    <w:rPr>
                      <w:rFonts w:hint="eastAsia" w:cs="Times New Roman"/>
                      <w:color w:val="auto"/>
                      <w:spacing w:val="2"/>
                      <w:sz w:val="21"/>
                      <w:szCs w:val="21"/>
                      <w:highlight w:val="none"/>
                      <w:lang w:val="en-US" w:eastAsia="zh-CN"/>
                    </w:rPr>
                    <w:t>弃渣场</w:t>
                  </w:r>
                </w:p>
              </w:tc>
              <w:tc>
                <w:tcPr>
                  <w:tcW w:w="3630" w:type="pct"/>
                  <w:vAlign w:val="center"/>
                </w:tcPr>
                <w:p w14:paraId="32E59CF4">
                  <w:pPr>
                    <w:keepNext w:val="0"/>
                    <w:keepLines w:val="0"/>
                    <w:widowControl/>
                    <w:suppressLineNumbers w:val="0"/>
                    <w:jc w:val="left"/>
                    <w:rPr>
                      <w:rFonts w:hint="default"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本工程不设置弃渣场。开挖等施工过程中产生的土石方能填尽填，回填不完的废弃土石方由</w:t>
                  </w:r>
                  <w:r>
                    <w:rPr>
                      <w:rFonts w:hint="default" w:ascii="Times New Roman" w:hAnsi="Times New Roman" w:eastAsia="宋体" w:cs="Times New Roman"/>
                      <w:b w:val="0"/>
                      <w:bCs w:val="0"/>
                      <w:color w:val="auto"/>
                      <w:spacing w:val="0"/>
                      <w:sz w:val="21"/>
                      <w:szCs w:val="21"/>
                      <w:lang w:val="en-US" w:eastAsia="zh-CN"/>
                    </w:rPr>
                    <w:t>安宁市交通投资有限公司运至具有合法手续的弃土场地合法处理</w:t>
                  </w:r>
                </w:p>
              </w:tc>
              <w:tc>
                <w:tcPr>
                  <w:tcW w:w="536" w:type="pct"/>
                  <w:vAlign w:val="center"/>
                </w:tcPr>
                <w:p w14:paraId="420BFEF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pacing w:val="6"/>
                      <w:sz w:val="21"/>
                      <w:szCs w:val="21"/>
                      <w:highlight w:val="none"/>
                      <w:lang w:val="en-US" w:eastAsia="zh-CN"/>
                    </w:rPr>
                  </w:pPr>
                  <w:r>
                    <w:rPr>
                      <w:rFonts w:hint="eastAsia" w:cs="Times New Roman"/>
                      <w:color w:val="auto"/>
                      <w:spacing w:val="6"/>
                      <w:sz w:val="21"/>
                      <w:szCs w:val="21"/>
                      <w:highlight w:val="none"/>
                      <w:lang w:val="en-US" w:eastAsia="zh-CN"/>
                    </w:rPr>
                    <w:t>/</w:t>
                  </w:r>
                </w:p>
              </w:tc>
            </w:tr>
            <w:tr w14:paraId="4CD0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16" w:type="pct"/>
                  <w:gridSpan w:val="2"/>
                  <w:vMerge w:val="continue"/>
                  <w:vAlign w:val="center"/>
                </w:tcPr>
                <w:p w14:paraId="5B34114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s="Times New Roman"/>
                      <w:color w:val="auto"/>
                      <w:spacing w:val="2"/>
                      <w:sz w:val="21"/>
                      <w:szCs w:val="21"/>
                      <w:highlight w:val="none"/>
                      <w:lang w:val="en-US" w:eastAsia="zh-CN"/>
                    </w:rPr>
                  </w:pPr>
                </w:p>
              </w:tc>
              <w:tc>
                <w:tcPr>
                  <w:tcW w:w="416" w:type="pct"/>
                  <w:vAlign w:val="center"/>
                </w:tcPr>
                <w:p w14:paraId="077712C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cs="Times New Roman"/>
                      <w:color w:val="auto"/>
                      <w:spacing w:val="2"/>
                      <w:sz w:val="21"/>
                      <w:szCs w:val="21"/>
                      <w:highlight w:val="none"/>
                      <w:lang w:val="en-US" w:eastAsia="zh-CN"/>
                    </w:rPr>
                  </w:pPr>
                  <w:r>
                    <w:rPr>
                      <w:rFonts w:hint="eastAsia" w:ascii="宋体" w:hAnsi="宋体" w:cs="宋体"/>
                      <w:color w:val="auto"/>
                      <w:kern w:val="0"/>
                      <w:sz w:val="21"/>
                      <w:szCs w:val="21"/>
                      <w:highlight w:val="none"/>
                      <w:lang w:val="en-US" w:eastAsia="zh-CN"/>
                    </w:rPr>
                    <w:t>施工营地</w:t>
                  </w:r>
                </w:p>
              </w:tc>
              <w:tc>
                <w:tcPr>
                  <w:tcW w:w="3630" w:type="pct"/>
                  <w:vAlign w:val="center"/>
                </w:tcPr>
                <w:p w14:paraId="0654066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管道属于线性工程，</w:t>
                  </w:r>
                  <w:r>
                    <w:rPr>
                      <w:rFonts w:hint="default" w:ascii="Times New Roman" w:hAnsi="Times New Roman" w:eastAsia="宋体" w:cs="Times New Roman"/>
                      <w:b w:val="0"/>
                      <w:bCs w:val="0"/>
                      <w:color w:val="auto"/>
                      <w:sz w:val="21"/>
                      <w:szCs w:val="21"/>
                      <w:lang w:val="en-US" w:eastAsia="zh-CN"/>
                    </w:rPr>
                    <w:t>沿途均为村庄，且施工影响范围小，施工工人多为附近村民，或外地工人租用周边居民用房；因此不考虑在现场设施工营地</w:t>
                  </w:r>
                  <w:r>
                    <w:rPr>
                      <w:rFonts w:hint="default" w:ascii="Times New Roman" w:hAnsi="Times New Roman" w:cs="Times New Roman"/>
                      <w:b w:val="0"/>
                      <w:bCs w:val="0"/>
                      <w:color w:val="auto"/>
                      <w:sz w:val="21"/>
                      <w:szCs w:val="21"/>
                      <w:lang w:val="en-US" w:eastAsia="zh-CN"/>
                    </w:rPr>
                    <w:t>。</w:t>
                  </w:r>
                  <w:r>
                    <w:rPr>
                      <w:rFonts w:hint="default" w:ascii="Times New Roman" w:hAnsi="Times New Roman" w:cs="Times New Roman"/>
                      <w:color w:val="auto"/>
                      <w:sz w:val="21"/>
                      <w:szCs w:val="21"/>
                    </w:rPr>
                    <w:t>管道工程施工场地均布置在工程建设临时用地范围内。</w:t>
                  </w:r>
                </w:p>
                <w:p w14:paraId="076F462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cs="宋体"/>
                      <w:color w:val="auto"/>
                      <w:kern w:val="0"/>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项目浇筑均采用商品混凝土，不设原料堆场和搅拌场地。</w:t>
                  </w:r>
                </w:p>
                <w:p w14:paraId="3542B68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Times New Roman" w:hAnsi="Times New Roman" w:eastAsia="宋体" w:cs="Times New Roman"/>
                      <w:b w:val="0"/>
                      <w:bCs w:val="0"/>
                      <w:color w:val="auto"/>
                      <w:spacing w:val="0"/>
                      <w:sz w:val="21"/>
                      <w:szCs w:val="21"/>
                      <w:lang w:val="en-US" w:eastAsia="zh-CN"/>
                    </w:rPr>
                  </w:pPr>
                  <w:r>
                    <w:rPr>
                      <w:rFonts w:hint="eastAsia" w:ascii="宋体" w:hAnsi="宋体" w:cs="宋体"/>
                      <w:color w:val="auto"/>
                      <w:kern w:val="0"/>
                      <w:sz w:val="21"/>
                      <w:szCs w:val="21"/>
                      <w:highlight w:val="none"/>
                      <w:lang w:val="en-US" w:eastAsia="zh-CN"/>
                    </w:rPr>
                    <w:t>施工设备送安宁市或施工区域周边村镇上的修理厂进行检查和维护，本项目不在施工营地设置临时机修间，可有效避免废机油产生后储存和处置问题。</w:t>
                  </w:r>
                </w:p>
              </w:tc>
              <w:tc>
                <w:tcPr>
                  <w:tcW w:w="536" w:type="pct"/>
                  <w:vAlign w:val="center"/>
                </w:tcPr>
                <w:p w14:paraId="6FA4555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pacing w:val="6"/>
                      <w:sz w:val="21"/>
                      <w:szCs w:val="21"/>
                      <w:highlight w:val="none"/>
                      <w:lang w:val="en-US" w:eastAsia="zh-CN"/>
                    </w:rPr>
                  </w:pPr>
                  <w:r>
                    <w:rPr>
                      <w:rFonts w:hint="eastAsia" w:cs="Times New Roman"/>
                      <w:color w:val="auto"/>
                      <w:spacing w:val="6"/>
                      <w:sz w:val="21"/>
                      <w:szCs w:val="21"/>
                      <w:highlight w:val="none"/>
                      <w:lang w:val="en-US" w:eastAsia="zh-CN"/>
                    </w:rPr>
                    <w:t>/</w:t>
                  </w:r>
                </w:p>
              </w:tc>
            </w:tr>
            <w:tr w14:paraId="25DB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16" w:type="pct"/>
                  <w:gridSpan w:val="2"/>
                  <w:vMerge w:val="continue"/>
                  <w:vAlign w:val="center"/>
                </w:tcPr>
                <w:p w14:paraId="79A1210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s="Times New Roman"/>
                      <w:color w:val="auto"/>
                      <w:spacing w:val="2"/>
                      <w:sz w:val="21"/>
                      <w:szCs w:val="21"/>
                      <w:highlight w:val="none"/>
                      <w:lang w:val="en-US" w:eastAsia="zh-CN"/>
                    </w:rPr>
                  </w:pPr>
                </w:p>
              </w:tc>
              <w:tc>
                <w:tcPr>
                  <w:tcW w:w="416" w:type="pct"/>
                  <w:vAlign w:val="center"/>
                </w:tcPr>
                <w:p w14:paraId="6B51B79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cs="Times New Roman"/>
                      <w:color w:val="auto"/>
                      <w:spacing w:val="2"/>
                      <w:sz w:val="21"/>
                      <w:szCs w:val="21"/>
                      <w:highlight w:val="none"/>
                      <w:lang w:val="en-US" w:eastAsia="zh-CN"/>
                    </w:rPr>
                  </w:pPr>
                  <w:r>
                    <w:rPr>
                      <w:rFonts w:hint="eastAsia" w:ascii="宋体" w:hAnsi="宋体" w:cs="宋体"/>
                      <w:color w:val="auto"/>
                      <w:kern w:val="0"/>
                      <w:sz w:val="21"/>
                      <w:szCs w:val="21"/>
                      <w:highlight w:val="none"/>
                      <w:lang w:val="en-US" w:eastAsia="zh-CN"/>
                    </w:rPr>
                    <w:t>施工便道</w:t>
                  </w:r>
                </w:p>
              </w:tc>
              <w:tc>
                <w:tcPr>
                  <w:tcW w:w="3630" w:type="pct"/>
                  <w:vAlign w:val="center"/>
                </w:tcPr>
                <w:p w14:paraId="4A65CA9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z w:val="21"/>
                      <w:szCs w:val="21"/>
                      <w:lang w:val="en-US" w:eastAsia="zh-CN"/>
                    </w:rPr>
                    <w:t>本工程实施</w:t>
                  </w:r>
                  <w:r>
                    <w:rPr>
                      <w:rFonts w:hint="default" w:ascii="Times New Roman" w:hAnsi="Times New Roman" w:eastAsia="宋体" w:cs="Times New Roman"/>
                      <w:b w:val="0"/>
                      <w:bCs w:val="0"/>
                      <w:color w:val="auto"/>
                      <w:sz w:val="21"/>
                      <w:szCs w:val="21"/>
                      <w:lang w:val="en-US" w:eastAsia="zh-CN"/>
                    </w:rPr>
                    <w:t>沿途均为村庄，</w:t>
                  </w:r>
                  <w:r>
                    <w:rPr>
                      <w:rFonts w:hint="eastAsia" w:ascii="Times New Roman" w:hAnsi="Times New Roman" w:eastAsia="宋体" w:cs="Times New Roman"/>
                      <w:b w:val="0"/>
                      <w:bCs w:val="0"/>
                      <w:color w:val="auto"/>
                      <w:sz w:val="21"/>
                      <w:szCs w:val="21"/>
                      <w:lang w:val="en-US" w:eastAsia="zh-CN"/>
                    </w:rPr>
                    <w:t>有现成乡镇公路、村道可以依托使用，无需修建施工便道。</w:t>
                  </w:r>
                </w:p>
              </w:tc>
              <w:tc>
                <w:tcPr>
                  <w:tcW w:w="536" w:type="pct"/>
                  <w:vAlign w:val="center"/>
                </w:tcPr>
                <w:p w14:paraId="556946B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6"/>
                      <w:sz w:val="21"/>
                      <w:szCs w:val="21"/>
                      <w:highlight w:val="none"/>
                    </w:rPr>
                  </w:pPr>
                  <w:r>
                    <w:rPr>
                      <w:rFonts w:hint="default" w:ascii="Times New Roman" w:hAnsi="Times New Roman" w:eastAsia="宋体" w:cs="Times New Roman"/>
                      <w:color w:val="auto"/>
                      <w:spacing w:val="5"/>
                      <w:sz w:val="21"/>
                      <w:szCs w:val="21"/>
                    </w:rPr>
                    <w:t>依托</w:t>
                  </w:r>
                </w:p>
              </w:tc>
            </w:tr>
            <w:tr w14:paraId="5211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10" w:type="pct"/>
                  <w:vMerge w:val="restart"/>
                  <w:vAlign w:val="center"/>
                </w:tcPr>
                <w:p w14:paraId="1A9FE24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7"/>
                      <w:sz w:val="21"/>
                      <w:szCs w:val="21"/>
                    </w:rPr>
                    <w:t>公用</w:t>
                  </w:r>
                  <w:r>
                    <w:rPr>
                      <w:rFonts w:hint="default" w:ascii="Times New Roman" w:hAnsi="Times New Roman" w:eastAsia="宋体" w:cs="Times New Roman"/>
                      <w:color w:val="auto"/>
                      <w:sz w:val="21"/>
                      <w:szCs w:val="21"/>
                    </w:rPr>
                    <w:t xml:space="preserve"> </w:t>
                  </w:r>
                  <w:r>
                    <w:rPr>
                      <w:rFonts w:hint="default" w:ascii="Times New Roman" w:hAnsi="Times New Roman" w:eastAsia="宋体" w:cs="Times New Roman"/>
                      <w:color w:val="auto"/>
                      <w:spacing w:val="5"/>
                      <w:sz w:val="21"/>
                      <w:szCs w:val="21"/>
                    </w:rPr>
                    <w:t>工程</w:t>
                  </w:r>
                </w:p>
              </w:tc>
              <w:tc>
                <w:tcPr>
                  <w:tcW w:w="423" w:type="pct"/>
                  <w:gridSpan w:val="2"/>
                  <w:vAlign w:val="center"/>
                </w:tcPr>
                <w:p w14:paraId="0C1A905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电</w:t>
                  </w:r>
                </w:p>
              </w:tc>
              <w:tc>
                <w:tcPr>
                  <w:tcW w:w="3630" w:type="pct"/>
                  <w:vAlign w:val="center"/>
                </w:tcPr>
                <w:p w14:paraId="357E3DFA">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施工用电可由当地电网供给，施工时从</w:t>
                  </w:r>
                  <w:r>
                    <w:rPr>
                      <w:rFonts w:hint="eastAsia" w:cs="Times New Roman"/>
                      <w:color w:val="auto"/>
                      <w:spacing w:val="0"/>
                      <w:sz w:val="21"/>
                      <w:szCs w:val="21"/>
                      <w:lang w:eastAsia="zh-CN"/>
                    </w:rPr>
                    <w:t>附近</w:t>
                  </w:r>
                  <w:r>
                    <w:rPr>
                      <w:rFonts w:hint="default" w:ascii="Times New Roman" w:hAnsi="Times New Roman" w:eastAsia="宋体" w:cs="Times New Roman"/>
                      <w:color w:val="auto"/>
                      <w:spacing w:val="0"/>
                      <w:sz w:val="21"/>
                      <w:szCs w:val="21"/>
                    </w:rPr>
                    <w:t>电网接入。运营 期由当地电网供给。</w:t>
                  </w:r>
                </w:p>
              </w:tc>
              <w:tc>
                <w:tcPr>
                  <w:tcW w:w="536" w:type="pct"/>
                  <w:vAlign w:val="center"/>
                </w:tcPr>
                <w:p w14:paraId="4F2FDA6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依托</w:t>
                  </w:r>
                </w:p>
              </w:tc>
            </w:tr>
            <w:tr w14:paraId="2057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10" w:type="pct"/>
                  <w:vMerge w:val="continue"/>
                  <w:vAlign w:val="center"/>
                </w:tcPr>
                <w:p w14:paraId="65D493D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p>
              </w:tc>
              <w:tc>
                <w:tcPr>
                  <w:tcW w:w="423" w:type="pct"/>
                  <w:gridSpan w:val="2"/>
                  <w:vAlign w:val="center"/>
                </w:tcPr>
                <w:p w14:paraId="070B9CF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w:t>
                  </w:r>
                </w:p>
              </w:tc>
              <w:tc>
                <w:tcPr>
                  <w:tcW w:w="3630" w:type="pct"/>
                  <w:vAlign w:val="center"/>
                </w:tcPr>
                <w:p w14:paraId="0334DD7D">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施工用水可在</w:t>
                  </w:r>
                  <w:r>
                    <w:rPr>
                      <w:rFonts w:hint="eastAsia" w:cs="Times New Roman"/>
                      <w:color w:val="auto"/>
                      <w:spacing w:val="0"/>
                      <w:sz w:val="21"/>
                      <w:szCs w:val="21"/>
                      <w:lang w:val="en-US" w:eastAsia="zh-CN"/>
                    </w:rPr>
                    <w:t>沿途河流（鸣矣河）</w:t>
                  </w:r>
                  <w:r>
                    <w:rPr>
                      <w:rFonts w:hint="default" w:ascii="Times New Roman" w:hAnsi="Times New Roman" w:eastAsia="宋体" w:cs="Times New Roman"/>
                      <w:color w:val="auto"/>
                      <w:spacing w:val="0"/>
                      <w:sz w:val="21"/>
                      <w:szCs w:val="21"/>
                    </w:rPr>
                    <w:t>取水，生活用水</w:t>
                  </w:r>
                  <w:r>
                    <w:rPr>
                      <w:rFonts w:hint="eastAsia" w:cs="Times New Roman"/>
                      <w:color w:val="auto"/>
                      <w:spacing w:val="0"/>
                      <w:sz w:val="21"/>
                      <w:szCs w:val="21"/>
                      <w:lang w:val="en-US" w:eastAsia="zh-CN"/>
                    </w:rPr>
                    <w:t>为</w:t>
                  </w:r>
                  <w:r>
                    <w:rPr>
                      <w:rFonts w:hint="default" w:ascii="Times New Roman" w:hAnsi="Times New Roman" w:eastAsia="宋体" w:cs="Times New Roman"/>
                      <w:color w:val="auto"/>
                      <w:spacing w:val="0"/>
                      <w:sz w:val="21"/>
                      <w:szCs w:val="21"/>
                    </w:rPr>
                    <w:t>当地生活饮用水。</w:t>
                  </w:r>
                </w:p>
              </w:tc>
              <w:tc>
                <w:tcPr>
                  <w:tcW w:w="536" w:type="pct"/>
                  <w:vAlign w:val="center"/>
                </w:tcPr>
                <w:p w14:paraId="3540461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依托</w:t>
                  </w:r>
                </w:p>
              </w:tc>
            </w:tr>
            <w:tr w14:paraId="288E3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10" w:type="pct"/>
                  <w:vMerge w:val="restart"/>
                  <w:vAlign w:val="center"/>
                </w:tcPr>
                <w:p w14:paraId="590C45A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环保工程</w:t>
                  </w:r>
                </w:p>
              </w:tc>
              <w:tc>
                <w:tcPr>
                  <w:tcW w:w="423" w:type="pct"/>
                  <w:gridSpan w:val="2"/>
                  <w:vAlign w:val="center"/>
                </w:tcPr>
                <w:p w14:paraId="4B9B832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9"/>
                      <w:sz w:val="21"/>
                      <w:szCs w:val="21"/>
                    </w:rPr>
                    <w:t>废气</w:t>
                  </w:r>
                </w:p>
              </w:tc>
              <w:tc>
                <w:tcPr>
                  <w:tcW w:w="3630" w:type="pct"/>
                  <w:vAlign w:val="center"/>
                </w:tcPr>
                <w:p w14:paraId="2E89738B">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施工期：</w:t>
                  </w:r>
                </w:p>
                <w:p w14:paraId="7C46C623">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rPr>
                  </w:pPr>
                  <w:r>
                    <w:rPr>
                      <w:rFonts w:hint="eastAsia" w:cs="Times New Roman"/>
                      <w:b w:val="0"/>
                      <w:bCs w:val="0"/>
                      <w:color w:val="auto"/>
                      <w:spacing w:val="0"/>
                      <w:sz w:val="21"/>
                      <w:szCs w:val="21"/>
                      <w:lang w:val="en-US" w:eastAsia="zh-CN"/>
                    </w:rPr>
                    <w:t>（1）施工扬尘防治措施</w:t>
                  </w:r>
                  <w:r>
                    <w:rPr>
                      <w:rFonts w:hint="default" w:ascii="Times New Roman" w:hAnsi="Times New Roman" w:eastAsia="宋体" w:cs="Times New Roman"/>
                      <w:b w:val="0"/>
                      <w:bCs w:val="0"/>
                      <w:color w:val="auto"/>
                      <w:spacing w:val="0"/>
                      <w:sz w:val="21"/>
                      <w:szCs w:val="21"/>
                    </w:rPr>
                    <w:t>：临时道路表面铺设碎石、道路洒水、车辆封闭、轮胎清洗。</w:t>
                  </w:r>
                </w:p>
                <w:p w14:paraId="5B53C441">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rPr>
                  </w:pPr>
                  <w:r>
                    <w:rPr>
                      <w:rFonts w:hint="eastAsia" w:cs="Times New Roman"/>
                      <w:b w:val="0"/>
                      <w:bCs w:val="0"/>
                      <w:color w:val="auto"/>
                      <w:spacing w:val="0"/>
                      <w:sz w:val="21"/>
                      <w:szCs w:val="21"/>
                      <w:lang w:eastAsia="zh-CN"/>
                    </w:rPr>
                    <w:t>（</w:t>
                  </w:r>
                  <w:r>
                    <w:rPr>
                      <w:rFonts w:hint="eastAsia" w:cs="Times New Roman"/>
                      <w:b w:val="0"/>
                      <w:bCs w:val="0"/>
                      <w:color w:val="auto"/>
                      <w:spacing w:val="0"/>
                      <w:sz w:val="21"/>
                      <w:szCs w:val="21"/>
                      <w:lang w:val="en-US" w:eastAsia="zh-CN"/>
                    </w:rPr>
                    <w:t>2</w:t>
                  </w:r>
                  <w:r>
                    <w:rPr>
                      <w:rFonts w:hint="eastAsia"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燃油废气控制措施：洁净燃料、绿植吸附。</w:t>
                  </w:r>
                </w:p>
                <w:p w14:paraId="666D894F">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rPr>
                  </w:pPr>
                  <w:r>
                    <w:rPr>
                      <w:rFonts w:hint="eastAsia" w:cs="Times New Roman"/>
                      <w:b w:val="0"/>
                      <w:bCs w:val="0"/>
                      <w:color w:val="auto"/>
                      <w:spacing w:val="0"/>
                      <w:sz w:val="21"/>
                      <w:szCs w:val="21"/>
                      <w:lang w:eastAsia="zh-CN"/>
                    </w:rPr>
                    <w:t>（</w:t>
                  </w:r>
                  <w:r>
                    <w:rPr>
                      <w:rFonts w:hint="eastAsia" w:cs="Times New Roman"/>
                      <w:b w:val="0"/>
                      <w:bCs w:val="0"/>
                      <w:color w:val="auto"/>
                      <w:spacing w:val="0"/>
                      <w:sz w:val="21"/>
                      <w:szCs w:val="21"/>
                      <w:lang w:val="en-US" w:eastAsia="zh-CN"/>
                    </w:rPr>
                    <w:t>3</w:t>
                  </w:r>
                  <w:r>
                    <w:rPr>
                      <w:rFonts w:hint="eastAsia"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恶臭气体控制措施：植被吸附，运输车辆车斗封闭。</w:t>
                  </w:r>
                </w:p>
                <w:p w14:paraId="5A874825">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运营期：无。</w:t>
                  </w:r>
                </w:p>
              </w:tc>
              <w:tc>
                <w:tcPr>
                  <w:tcW w:w="536" w:type="pct"/>
                  <w:vAlign w:val="center"/>
                </w:tcPr>
                <w:p w14:paraId="13B40E4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6"/>
                      <w:sz w:val="21"/>
                      <w:szCs w:val="21"/>
                    </w:rPr>
                    <w:t>新建</w:t>
                  </w:r>
                </w:p>
              </w:tc>
            </w:tr>
            <w:tr w14:paraId="0371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10" w:type="pct"/>
                  <w:vMerge w:val="continue"/>
                  <w:vAlign w:val="center"/>
                </w:tcPr>
                <w:p w14:paraId="13289DD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FF"/>
                      <w:sz w:val="21"/>
                      <w:szCs w:val="21"/>
                    </w:rPr>
                  </w:pPr>
                </w:p>
              </w:tc>
              <w:tc>
                <w:tcPr>
                  <w:tcW w:w="423" w:type="pct"/>
                  <w:gridSpan w:val="2"/>
                  <w:vAlign w:val="center"/>
                </w:tcPr>
                <w:p w14:paraId="0BCB25F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废水</w:t>
                  </w:r>
                </w:p>
              </w:tc>
              <w:tc>
                <w:tcPr>
                  <w:tcW w:w="3630" w:type="pct"/>
                  <w:vAlign w:val="center"/>
                </w:tcPr>
                <w:p w14:paraId="4EB6B697">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施工期：</w:t>
                  </w:r>
                </w:p>
                <w:p w14:paraId="114E4F6E">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right="0" w:firstLine="0"/>
                    <w:jc w:val="both"/>
                    <w:textAlignment w:val="auto"/>
                    <w:rPr>
                      <w:rFonts w:hint="eastAsia"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lang w:eastAsia="zh-CN"/>
                    </w:rPr>
                    <w:t>施工现场不设置施工营地，施工人员及管理监督人员依托周边民房、餐馆或当地的施工人员回家不在施工场地内进行食宿，无生活污水产生</w:t>
                  </w:r>
                  <w:r>
                    <w:rPr>
                      <w:rFonts w:hint="eastAsia" w:cs="Times New Roman"/>
                      <w:b w:val="0"/>
                      <w:bCs w:val="0"/>
                      <w:color w:val="auto"/>
                      <w:spacing w:val="0"/>
                      <w:sz w:val="21"/>
                      <w:szCs w:val="21"/>
                      <w:lang w:eastAsia="zh-CN"/>
                    </w:rPr>
                    <w:t>；</w:t>
                  </w:r>
                </w:p>
                <w:p w14:paraId="5FD1AEA5">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rPr>
                  </w:pPr>
                  <w:r>
                    <w:rPr>
                      <w:rFonts w:hint="eastAsia" w:cs="Times New Roman"/>
                      <w:b w:val="0"/>
                      <w:bCs w:val="0"/>
                      <w:color w:val="auto"/>
                      <w:sz w:val="21"/>
                      <w:szCs w:val="21"/>
                      <w:lang w:val="en-US" w:eastAsia="zh-CN"/>
                    </w:rPr>
                    <w:t>施工废水</w:t>
                  </w:r>
                  <w:r>
                    <w:rPr>
                      <w:rFonts w:hint="default" w:ascii="Times New Roman" w:hAnsi="Times New Roman" w:eastAsia="宋体" w:cs="Times New Roman"/>
                      <w:b w:val="0"/>
                      <w:bCs w:val="0"/>
                      <w:color w:val="auto"/>
                      <w:sz w:val="21"/>
                      <w:szCs w:val="21"/>
                    </w:rPr>
                    <w:t>经</w:t>
                  </w:r>
                  <w:r>
                    <w:rPr>
                      <w:rFonts w:hint="eastAsia" w:cs="Times New Roman"/>
                      <w:b w:val="0"/>
                      <w:bCs w:val="0"/>
                      <w:color w:val="auto"/>
                      <w:sz w:val="21"/>
                      <w:szCs w:val="21"/>
                      <w:lang w:val="en-US" w:eastAsia="zh-CN"/>
                    </w:rPr>
                    <w:t>收集、</w:t>
                  </w:r>
                  <w:r>
                    <w:rPr>
                      <w:rFonts w:hint="default" w:ascii="Times New Roman" w:hAnsi="Times New Roman" w:eastAsia="宋体" w:cs="Times New Roman"/>
                      <w:b w:val="0"/>
                      <w:bCs w:val="0"/>
                      <w:color w:val="auto"/>
                      <w:sz w:val="21"/>
                      <w:szCs w:val="21"/>
                    </w:rPr>
                    <w:t>沉淀处理后的废水用于施工现场的洒水降尘和混凝土保养，</w:t>
                  </w:r>
                  <w:r>
                    <w:rPr>
                      <w:rFonts w:hint="eastAsia" w:cs="Times New Roman"/>
                      <w:b w:val="0"/>
                      <w:bCs w:val="0"/>
                      <w:color w:val="auto"/>
                      <w:sz w:val="21"/>
                      <w:szCs w:val="21"/>
                      <w:lang w:val="en-US" w:eastAsia="zh-CN"/>
                    </w:rPr>
                    <w:t>不外排</w:t>
                  </w:r>
                  <w:r>
                    <w:rPr>
                      <w:rFonts w:hint="default" w:ascii="Times New Roman" w:hAnsi="Times New Roman" w:eastAsia="宋体" w:cs="Times New Roman"/>
                      <w:b w:val="0"/>
                      <w:bCs w:val="0"/>
                      <w:color w:val="auto"/>
                      <w:spacing w:val="0"/>
                      <w:sz w:val="21"/>
                      <w:szCs w:val="21"/>
                    </w:rPr>
                    <w:t>。</w:t>
                  </w:r>
                </w:p>
                <w:p w14:paraId="5FA20715">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color w:val="auto"/>
                      <w:sz w:val="21"/>
                      <w:szCs w:val="21"/>
                      <w:highlight w:val="none"/>
                      <w:lang w:val="en-US" w:eastAsia="zh-CN"/>
                    </w:rPr>
                    <w:t>管道采用清水试压，试压废水</w:t>
                  </w:r>
                  <w:r>
                    <w:rPr>
                      <w:rFonts w:hint="default" w:ascii="Times New Roman" w:hAnsi="Times New Roman" w:cs="Times New Roman"/>
                      <w:color w:val="auto"/>
                      <w:sz w:val="21"/>
                      <w:szCs w:val="21"/>
                      <w:highlight w:val="none"/>
                      <w:lang w:val="en-US" w:eastAsia="zh-CN"/>
                    </w:rPr>
                    <w:t>经沉淀池沉淀处理后</w:t>
                  </w:r>
                  <w:r>
                    <w:rPr>
                      <w:rFonts w:hint="default" w:ascii="Times New Roman" w:hAnsi="Times New Roman" w:eastAsia="宋体" w:cs="Times New Roman"/>
                      <w:color w:val="auto"/>
                      <w:sz w:val="21"/>
                      <w:szCs w:val="21"/>
                      <w:highlight w:val="none"/>
                      <w:lang w:val="en-US" w:eastAsia="zh-CN"/>
                    </w:rPr>
                    <w:t>就近排入附近</w:t>
                  </w:r>
                  <w:r>
                    <w:rPr>
                      <w:rFonts w:hint="default" w:ascii="Times New Roman" w:hAnsi="Times New Roman" w:cs="Times New Roman"/>
                      <w:color w:val="auto"/>
                      <w:sz w:val="21"/>
                      <w:szCs w:val="21"/>
                      <w:highlight w:val="none"/>
                      <w:lang w:val="en-US" w:eastAsia="zh-CN"/>
                    </w:rPr>
                    <w:t>沟渠、</w:t>
                  </w:r>
                  <w:r>
                    <w:rPr>
                      <w:rFonts w:hint="default" w:ascii="Times New Roman" w:hAnsi="Times New Roman" w:eastAsia="宋体" w:cs="Times New Roman"/>
                      <w:color w:val="auto"/>
                      <w:sz w:val="21"/>
                      <w:szCs w:val="21"/>
                      <w:highlight w:val="none"/>
                      <w:lang w:val="en-US" w:eastAsia="zh-CN"/>
                    </w:rPr>
                    <w:t>耕地</w:t>
                  </w:r>
                  <w:r>
                    <w:rPr>
                      <w:rFonts w:hint="eastAsia" w:ascii="Times New Roman" w:hAnsi="Times New Roman" w:eastAsia="宋体" w:cs="Times New Roman"/>
                      <w:color w:val="auto"/>
                      <w:sz w:val="21"/>
                      <w:szCs w:val="21"/>
                      <w:highlight w:val="none"/>
                      <w:lang w:val="en-US" w:eastAsia="zh-CN"/>
                    </w:rPr>
                    <w:t>。</w:t>
                  </w:r>
                </w:p>
                <w:p w14:paraId="6DB233BD">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rPr>
                    <w:t>运营期：</w:t>
                  </w:r>
                  <w:r>
                    <w:rPr>
                      <w:rFonts w:hint="eastAsia" w:cs="Times New Roman"/>
                      <w:b w:val="0"/>
                      <w:bCs w:val="0"/>
                      <w:color w:val="auto"/>
                      <w:spacing w:val="0"/>
                      <w:sz w:val="21"/>
                      <w:szCs w:val="21"/>
                      <w:lang w:val="en-US" w:eastAsia="zh-CN"/>
                    </w:rPr>
                    <w:t>正常运行过程中无废水外排；事故及检修情况下废水直接就近排入附近地表水体。</w:t>
                  </w:r>
                </w:p>
              </w:tc>
              <w:tc>
                <w:tcPr>
                  <w:tcW w:w="536" w:type="pct"/>
                  <w:vAlign w:val="center"/>
                </w:tcPr>
                <w:p w14:paraId="7074264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6"/>
                      <w:sz w:val="21"/>
                      <w:szCs w:val="21"/>
                    </w:rPr>
                    <w:t>新建</w:t>
                  </w:r>
                </w:p>
              </w:tc>
            </w:tr>
            <w:tr w14:paraId="6871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10" w:type="pct"/>
                  <w:vMerge w:val="continue"/>
                  <w:vAlign w:val="center"/>
                </w:tcPr>
                <w:p w14:paraId="6DAF8AD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FF"/>
                      <w:sz w:val="21"/>
                      <w:szCs w:val="21"/>
                    </w:rPr>
                  </w:pPr>
                </w:p>
              </w:tc>
              <w:tc>
                <w:tcPr>
                  <w:tcW w:w="423" w:type="pct"/>
                  <w:gridSpan w:val="2"/>
                  <w:vAlign w:val="center"/>
                </w:tcPr>
                <w:p w14:paraId="51CEDC2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pacing w:val="11"/>
                      <w:sz w:val="21"/>
                      <w:szCs w:val="21"/>
                      <w:lang w:val="en-US" w:eastAsia="zh-CN"/>
                    </w:rPr>
                    <w:t>固废</w:t>
                  </w:r>
                </w:p>
              </w:tc>
              <w:tc>
                <w:tcPr>
                  <w:tcW w:w="3630" w:type="pct"/>
                  <w:vAlign w:val="center"/>
                </w:tcPr>
                <w:p w14:paraId="5F38AFC6">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施工期：</w:t>
                  </w:r>
                </w:p>
                <w:p w14:paraId="51B583FD">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right="0" w:firstLine="0"/>
                    <w:jc w:val="both"/>
                    <w:textAlignment w:val="auto"/>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开挖土石方及时回填；</w:t>
                  </w:r>
                </w:p>
                <w:p w14:paraId="794D9E40">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right="0" w:firstLine="0"/>
                    <w:jc w:val="both"/>
                    <w:textAlignment w:val="auto"/>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施工固废（废弃管道、五金配件等）可回收利用的回收，不可回收利用的做一般固废交</w:t>
                  </w:r>
                  <w:r>
                    <w:rPr>
                      <w:rFonts w:hint="default" w:ascii="Times New Roman" w:hAnsi="Times New Roman" w:eastAsia="宋体" w:cs="Times New Roman"/>
                      <w:b w:val="0"/>
                      <w:bCs w:val="0"/>
                      <w:color w:val="auto"/>
                      <w:spacing w:val="0"/>
                      <w:sz w:val="21"/>
                      <w:szCs w:val="21"/>
                    </w:rPr>
                    <w:t>环卫部门统一收集处置</w:t>
                  </w:r>
                  <w:r>
                    <w:rPr>
                      <w:rFonts w:hint="eastAsia" w:cs="Times New Roman"/>
                      <w:b w:val="0"/>
                      <w:bCs w:val="0"/>
                      <w:color w:val="auto"/>
                      <w:spacing w:val="0"/>
                      <w:sz w:val="21"/>
                      <w:szCs w:val="21"/>
                      <w:lang w:eastAsia="zh-CN"/>
                    </w:rPr>
                    <w:t>；</w:t>
                  </w:r>
                </w:p>
                <w:p w14:paraId="6E318BAF">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rPr>
                  </w:pPr>
                  <w:r>
                    <w:rPr>
                      <w:rFonts w:hint="eastAsia" w:cs="Times New Roman"/>
                      <w:b w:val="0"/>
                      <w:bCs w:val="0"/>
                      <w:color w:val="auto"/>
                      <w:spacing w:val="0"/>
                      <w:sz w:val="21"/>
                      <w:szCs w:val="21"/>
                      <w:lang w:eastAsia="zh-CN"/>
                    </w:rPr>
                    <w:t>（</w:t>
                  </w:r>
                  <w:r>
                    <w:rPr>
                      <w:rFonts w:hint="eastAsia" w:cs="Times New Roman"/>
                      <w:b w:val="0"/>
                      <w:bCs w:val="0"/>
                      <w:color w:val="auto"/>
                      <w:spacing w:val="0"/>
                      <w:sz w:val="21"/>
                      <w:szCs w:val="21"/>
                      <w:lang w:val="en-US" w:eastAsia="zh-CN"/>
                    </w:rPr>
                    <w:t>3</w:t>
                  </w:r>
                  <w:r>
                    <w:rPr>
                      <w:rFonts w:hint="eastAsia"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施工人员生活垃圾由环卫部门统一收集处置。</w:t>
                  </w:r>
                </w:p>
                <w:p w14:paraId="728F1B1F">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运营期：</w:t>
                  </w:r>
                </w:p>
                <w:p w14:paraId="7C5B7DCA">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排泥水做一般固废交</w:t>
                  </w:r>
                  <w:r>
                    <w:rPr>
                      <w:rFonts w:hint="default" w:ascii="Times New Roman" w:hAnsi="Times New Roman" w:eastAsia="宋体" w:cs="Times New Roman"/>
                      <w:b w:val="0"/>
                      <w:bCs w:val="0"/>
                      <w:color w:val="auto"/>
                      <w:spacing w:val="0"/>
                      <w:sz w:val="21"/>
                      <w:szCs w:val="21"/>
                    </w:rPr>
                    <w:t>环卫部门统一收集处置</w:t>
                  </w:r>
                  <w:r>
                    <w:rPr>
                      <w:rFonts w:hint="eastAsia" w:cs="Times New Roman"/>
                      <w:b w:val="0"/>
                      <w:bCs w:val="0"/>
                      <w:color w:val="auto"/>
                      <w:spacing w:val="0"/>
                      <w:sz w:val="21"/>
                      <w:szCs w:val="21"/>
                      <w:lang w:eastAsia="zh-CN"/>
                    </w:rPr>
                    <w:t>，</w:t>
                  </w:r>
                  <w:r>
                    <w:rPr>
                      <w:rFonts w:hint="eastAsia" w:cs="Times New Roman"/>
                      <w:b w:val="0"/>
                      <w:bCs w:val="0"/>
                      <w:color w:val="auto"/>
                      <w:spacing w:val="0"/>
                      <w:sz w:val="21"/>
                      <w:szCs w:val="21"/>
                      <w:lang w:val="en-US" w:eastAsia="zh-CN"/>
                    </w:rPr>
                    <w:t>具有一定周期性；</w:t>
                  </w:r>
                </w:p>
                <w:p w14:paraId="6396AF72">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color w:val="auto"/>
                      <w:sz w:val="21"/>
                      <w:szCs w:val="21"/>
                      <w:highlight w:val="none"/>
                      <w:lang w:val="en-US" w:eastAsia="zh-CN"/>
                    </w:rPr>
                    <w:t>管线、闸站等检修过程中可能产生少量更换零件等固废，经统一收集后做一般固废处理，不外排</w:t>
                  </w:r>
                  <w:r>
                    <w:rPr>
                      <w:rFonts w:hint="eastAsia" w:cs="Times New Roman"/>
                      <w:b w:val="0"/>
                      <w:bCs w:val="0"/>
                      <w:color w:val="auto"/>
                      <w:spacing w:val="0"/>
                      <w:sz w:val="21"/>
                      <w:szCs w:val="21"/>
                      <w:lang w:val="en-US" w:eastAsia="zh-CN"/>
                    </w:rPr>
                    <w:t>。</w:t>
                  </w:r>
                </w:p>
              </w:tc>
              <w:tc>
                <w:tcPr>
                  <w:tcW w:w="536" w:type="pct"/>
                  <w:vAlign w:val="center"/>
                </w:tcPr>
                <w:p w14:paraId="0DD6BB8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6"/>
                      <w:sz w:val="21"/>
                      <w:szCs w:val="21"/>
                    </w:rPr>
                    <w:t>新建</w:t>
                  </w:r>
                </w:p>
              </w:tc>
            </w:tr>
            <w:tr w14:paraId="5F7C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10" w:type="pct"/>
                  <w:vMerge w:val="continue"/>
                  <w:vAlign w:val="center"/>
                </w:tcPr>
                <w:p w14:paraId="44C6E48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0000FF"/>
                      <w:sz w:val="21"/>
                      <w:szCs w:val="21"/>
                    </w:rPr>
                  </w:pPr>
                </w:p>
              </w:tc>
              <w:tc>
                <w:tcPr>
                  <w:tcW w:w="423" w:type="pct"/>
                  <w:gridSpan w:val="2"/>
                  <w:vAlign w:val="center"/>
                </w:tcPr>
                <w:p w14:paraId="46FF4E1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pacing w:val="-11"/>
                      <w:sz w:val="21"/>
                      <w:szCs w:val="21"/>
                    </w:rPr>
                    <w:t>噪声</w:t>
                  </w:r>
                </w:p>
              </w:tc>
              <w:tc>
                <w:tcPr>
                  <w:tcW w:w="3630" w:type="pct"/>
                  <w:vAlign w:val="center"/>
                </w:tcPr>
                <w:p w14:paraId="68381D7D">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施工期：</w:t>
                  </w:r>
                </w:p>
                <w:p w14:paraId="60E470CD">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rPr>
                    <w:t>选用低噪声施工机械</w:t>
                  </w:r>
                  <w:r>
                    <w:rPr>
                      <w:rFonts w:hint="eastAsia" w:cs="Times New Roman"/>
                      <w:b w:val="0"/>
                      <w:bCs w:val="0"/>
                      <w:color w:val="auto"/>
                      <w:spacing w:val="0"/>
                      <w:sz w:val="21"/>
                      <w:szCs w:val="21"/>
                      <w:lang w:eastAsia="zh-CN"/>
                    </w:rPr>
                    <w:t>；</w:t>
                  </w:r>
                </w:p>
                <w:p w14:paraId="6ECF7D4F">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对施工运输车辆严格控制和管理，</w:t>
                  </w:r>
                  <w:r>
                    <w:rPr>
                      <w:rFonts w:hint="eastAsia" w:cs="Times New Roman"/>
                      <w:b w:val="0"/>
                      <w:bCs w:val="0"/>
                      <w:color w:val="auto"/>
                      <w:spacing w:val="0"/>
                      <w:sz w:val="21"/>
                      <w:szCs w:val="21"/>
                      <w:lang w:eastAsia="zh-CN"/>
                    </w:rPr>
                    <w:t>途经</w:t>
                  </w:r>
                  <w:r>
                    <w:rPr>
                      <w:rFonts w:hint="default" w:ascii="Times New Roman" w:hAnsi="Times New Roman" w:eastAsia="宋体" w:cs="Times New Roman"/>
                      <w:b w:val="0"/>
                      <w:bCs w:val="0"/>
                      <w:color w:val="auto"/>
                      <w:spacing w:val="0"/>
                      <w:sz w:val="21"/>
                      <w:szCs w:val="21"/>
                    </w:rPr>
                    <w:t>村庄时减速慢行；</w:t>
                  </w:r>
                </w:p>
                <w:p w14:paraId="51727A5D">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采用低噪声设备、</w:t>
                  </w:r>
                  <w:r>
                    <w:rPr>
                      <w:rFonts w:hint="eastAsia" w:cs="Times New Roman"/>
                      <w:b w:val="0"/>
                      <w:bCs w:val="0"/>
                      <w:color w:val="auto"/>
                      <w:spacing w:val="0"/>
                      <w:sz w:val="21"/>
                      <w:szCs w:val="21"/>
                      <w:lang w:eastAsia="zh-CN"/>
                    </w:rPr>
                    <w:t>减振</w:t>
                  </w:r>
                  <w:r>
                    <w:rPr>
                      <w:rFonts w:hint="default" w:ascii="Times New Roman" w:hAnsi="Times New Roman" w:eastAsia="宋体" w:cs="Times New Roman"/>
                      <w:b w:val="0"/>
                      <w:bCs w:val="0"/>
                      <w:color w:val="auto"/>
                      <w:spacing w:val="0"/>
                      <w:sz w:val="21"/>
                      <w:szCs w:val="21"/>
                    </w:rPr>
                    <w:t>、隔声等措施；</w:t>
                  </w:r>
                </w:p>
                <w:p w14:paraId="53107C15">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避免在夜间作业及运输。</w:t>
                  </w:r>
                </w:p>
                <w:p w14:paraId="20D1B638">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运营期：</w:t>
                  </w:r>
                </w:p>
                <w:p w14:paraId="55CF46D7">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rPr>
                    <w:t>选用低噪声</w:t>
                  </w:r>
                  <w:r>
                    <w:rPr>
                      <w:rFonts w:hint="eastAsia" w:ascii="Times New Roman" w:hAnsi="Times New Roman" w:eastAsia="宋体" w:cs="Times New Roman"/>
                      <w:b w:val="0"/>
                      <w:bCs w:val="0"/>
                      <w:color w:val="auto"/>
                      <w:spacing w:val="0"/>
                      <w:sz w:val="21"/>
                      <w:szCs w:val="21"/>
                      <w:lang w:val="en-US" w:eastAsia="zh-CN"/>
                    </w:rPr>
                    <w:t>离心泵</w:t>
                  </w:r>
                  <w:r>
                    <w:rPr>
                      <w:rFonts w:hint="eastAsia" w:cs="Times New Roman"/>
                      <w:b w:val="0"/>
                      <w:bCs w:val="0"/>
                      <w:color w:val="auto"/>
                      <w:spacing w:val="0"/>
                      <w:sz w:val="21"/>
                      <w:szCs w:val="21"/>
                      <w:lang w:eastAsia="zh-CN"/>
                    </w:rPr>
                    <w:t>；</w:t>
                  </w:r>
                </w:p>
                <w:p w14:paraId="20E4265C">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eastAsia" w:ascii="Times New Roman" w:hAnsi="Times New Roman" w:eastAsia="宋体" w:cs="Times New Roman"/>
                      <w:b w:val="0"/>
                      <w:bCs w:val="0"/>
                      <w:color w:val="auto"/>
                      <w:spacing w:val="0"/>
                      <w:sz w:val="21"/>
                      <w:szCs w:val="21"/>
                      <w:lang w:val="en-US" w:eastAsia="zh-CN"/>
                    </w:rPr>
                    <w:t>加强</w:t>
                  </w:r>
                  <w:r>
                    <w:rPr>
                      <w:rFonts w:hint="default" w:ascii="Times New Roman" w:hAnsi="Times New Roman" w:eastAsia="宋体" w:cs="Times New Roman"/>
                      <w:b w:val="0"/>
                      <w:bCs w:val="0"/>
                      <w:color w:val="auto"/>
                      <w:spacing w:val="0"/>
                      <w:sz w:val="21"/>
                      <w:szCs w:val="21"/>
                    </w:rPr>
                    <w:t>设备减震、隔声等措施；</w:t>
                  </w:r>
                </w:p>
                <w:p w14:paraId="25A2A809">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（3）加强设备设施检修、维护管理，确保设备正常、稳定运行。</w:t>
                  </w:r>
                </w:p>
              </w:tc>
              <w:tc>
                <w:tcPr>
                  <w:tcW w:w="536" w:type="pct"/>
                  <w:vAlign w:val="center"/>
                </w:tcPr>
                <w:p w14:paraId="5A4240C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val="0"/>
                      <w:color w:val="auto"/>
                      <w:spacing w:val="6"/>
                      <w:sz w:val="21"/>
                      <w:szCs w:val="21"/>
                    </w:rPr>
                  </w:pPr>
                  <w:r>
                    <w:rPr>
                      <w:rFonts w:hint="default" w:ascii="Times New Roman" w:hAnsi="Times New Roman" w:eastAsia="宋体" w:cs="Times New Roman"/>
                      <w:b w:val="0"/>
                      <w:bCs w:val="0"/>
                      <w:color w:val="auto"/>
                      <w:spacing w:val="6"/>
                      <w:sz w:val="21"/>
                      <w:szCs w:val="21"/>
                    </w:rPr>
                    <w:t>新建</w:t>
                  </w:r>
                </w:p>
              </w:tc>
            </w:tr>
            <w:tr w14:paraId="64A9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33" w:type="pct"/>
                  <w:gridSpan w:val="3"/>
                  <w:vAlign w:val="center"/>
                </w:tcPr>
                <w:p w14:paraId="16A996E3">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临时工程</w:t>
                  </w:r>
                </w:p>
              </w:tc>
              <w:tc>
                <w:tcPr>
                  <w:tcW w:w="3630" w:type="pct"/>
                  <w:vAlign w:val="center"/>
                </w:tcPr>
                <w:p w14:paraId="593244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rPr>
                      <w:rFonts w:hint="eastAsia" w:cs="Times New Roman"/>
                      <w:color w:val="auto"/>
                      <w:spacing w:val="0"/>
                      <w:sz w:val="21"/>
                      <w:szCs w:val="21"/>
                      <w:lang w:val="en-US" w:eastAsia="zh-CN"/>
                    </w:rPr>
                  </w:pPr>
                  <w:r>
                    <w:rPr>
                      <w:rFonts w:hint="eastAsia" w:cs="Times New Roman"/>
                      <w:color w:val="auto"/>
                      <w:spacing w:val="0"/>
                      <w:sz w:val="21"/>
                      <w:szCs w:val="21"/>
                      <w:lang w:val="en-US" w:eastAsia="zh-CN"/>
                    </w:rPr>
                    <w:t>包括施工临时便道；临时堆土区；临时堆料区等。</w:t>
                  </w:r>
                </w:p>
                <w:p w14:paraId="54BD252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rPr>
                      <w:rFonts w:hint="default" w:cs="Times New Roman"/>
                      <w:color w:val="auto"/>
                      <w:spacing w:val="0"/>
                      <w:sz w:val="21"/>
                      <w:szCs w:val="21"/>
                      <w:lang w:val="en-US" w:eastAsia="zh-CN"/>
                    </w:rPr>
                  </w:pPr>
                  <w:r>
                    <w:rPr>
                      <w:rFonts w:hint="eastAsia" w:cs="Times New Roman"/>
                      <w:color w:val="auto"/>
                      <w:spacing w:val="0"/>
                      <w:sz w:val="21"/>
                      <w:szCs w:val="21"/>
                      <w:lang w:val="en-US" w:eastAsia="zh-CN"/>
                    </w:rPr>
                    <w:t>（1）根据管线走向，临时借地范围为管中两侧各3.5m，共7.0m 幅宽，施工便道、临时堆土区、临时堆料区等均设置在7m 借地范围内。</w:t>
                  </w:r>
                </w:p>
                <w:p w14:paraId="5294DA7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rPr>
                      <w:rFonts w:hint="eastAsia" w:cs="Times New Roman"/>
                      <w:color w:val="auto"/>
                      <w:spacing w:val="0"/>
                      <w:sz w:val="21"/>
                      <w:szCs w:val="21"/>
                      <w:lang w:val="en-US" w:eastAsia="zh-CN"/>
                    </w:rPr>
                  </w:pPr>
                  <w:r>
                    <w:rPr>
                      <w:rFonts w:hint="eastAsia" w:cs="Times New Roman"/>
                      <w:color w:val="auto"/>
                      <w:spacing w:val="0"/>
                      <w:sz w:val="21"/>
                      <w:szCs w:val="21"/>
                      <w:lang w:val="en-US" w:eastAsia="zh-CN"/>
                    </w:rPr>
                    <w:t>（2）项目采取分段施工，各段管道开挖土方均临时堆存于开挖区边缘，方便后续回填。</w:t>
                  </w:r>
                </w:p>
                <w:p w14:paraId="3B15FA1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rPr>
                      <w:rFonts w:hint="default" w:ascii="Times New Roman" w:hAnsi="Times New Roman" w:eastAsia="宋体" w:cs="Times New Roman"/>
                      <w:color w:val="auto"/>
                      <w:spacing w:val="0"/>
                      <w:kern w:val="2"/>
                      <w:sz w:val="21"/>
                      <w:szCs w:val="21"/>
                      <w:lang w:val="en-US" w:eastAsia="zh-CN" w:bidi="ar-SA"/>
                    </w:rPr>
                  </w:pPr>
                  <w:r>
                    <w:rPr>
                      <w:rFonts w:hint="eastAsia" w:cs="Times New Roman"/>
                      <w:color w:val="auto"/>
                      <w:spacing w:val="0"/>
                      <w:sz w:val="21"/>
                      <w:szCs w:val="21"/>
                      <w:lang w:val="en-US" w:eastAsia="zh-CN"/>
                    </w:rPr>
                    <w:t>（3）</w:t>
                  </w:r>
                  <w:r>
                    <w:rPr>
                      <w:rFonts w:hint="default" w:cs="Times New Roman"/>
                      <w:color w:val="auto"/>
                      <w:spacing w:val="0"/>
                      <w:sz w:val="21"/>
                      <w:szCs w:val="21"/>
                      <w:lang w:val="en-US" w:eastAsia="zh-CN"/>
                    </w:rPr>
                    <w:t>主体工程完工后，</w:t>
                  </w:r>
                  <w:r>
                    <w:rPr>
                      <w:rFonts w:hint="eastAsia" w:cs="Times New Roman"/>
                      <w:color w:val="auto"/>
                      <w:spacing w:val="0"/>
                      <w:sz w:val="21"/>
                      <w:szCs w:val="21"/>
                      <w:lang w:val="en-US" w:eastAsia="zh-CN"/>
                    </w:rPr>
                    <w:t>及时进行土地整治，恢复农田、植被原样。</w:t>
                  </w:r>
                </w:p>
              </w:tc>
              <w:tc>
                <w:tcPr>
                  <w:tcW w:w="536" w:type="pct"/>
                  <w:vAlign w:val="center"/>
                </w:tcPr>
                <w:p w14:paraId="6D09ED9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新建</w:t>
                  </w:r>
                </w:p>
              </w:tc>
            </w:tr>
          </w:tbl>
          <w:p w14:paraId="5C747F39">
            <w:pPr>
              <w:keepNext w:val="0"/>
              <w:keepLines w:val="0"/>
              <w:pageBreakBefore w:val="0"/>
              <w:widowControl w:val="0"/>
              <w:numPr>
                <w:ilvl w:val="0"/>
                <w:numId w:val="0"/>
              </w:numPr>
              <w:kinsoku/>
              <w:wordWrap/>
              <w:overflowPunct/>
              <w:topLinePunct w:val="0"/>
              <w:autoSpaceDE/>
              <w:autoSpaceDN/>
              <w:bidi w:val="0"/>
              <w:adjustRightInd w:val="0"/>
              <w:snapToGrid w:val="0"/>
              <w:spacing w:before="313" w:beforeLines="100" w:line="360" w:lineRule="auto"/>
              <w:jc w:val="both"/>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2、穿跨越工程</w:t>
            </w:r>
          </w:p>
          <w:p w14:paraId="6004C29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根据本工程实施内容，穿跨越对象涵盖公路、鸣矣河等沟渠河道；其中新建DN1400管段公路穿越全部采用</w:t>
            </w:r>
            <w:r>
              <w:rPr>
                <w:rFonts w:hint="default" w:ascii="Times New Roman" w:hAnsi="Times New Roman" w:eastAsia="宋体" w:cs="Times New Roman"/>
                <w:b w:val="0"/>
                <w:bCs w:val="0"/>
                <w:color w:val="auto"/>
                <w:sz w:val="24"/>
                <w:szCs w:val="24"/>
                <w:highlight w:val="none"/>
                <w:lang w:val="en-US" w:eastAsia="zh-CN"/>
              </w:rPr>
              <w:t>预应力钢筒混凝土管</w:t>
            </w:r>
            <w:r>
              <w:rPr>
                <w:rFonts w:hint="eastAsia" w:ascii="Times New Roman" w:hAnsi="Times New Roman" w:eastAsia="宋体" w:cs="Times New Roman"/>
                <w:b w:val="0"/>
                <w:bCs w:val="0"/>
                <w:color w:val="auto"/>
                <w:sz w:val="24"/>
                <w:szCs w:val="24"/>
                <w:highlight w:val="none"/>
                <w:lang w:val="en-US" w:eastAsia="zh-CN"/>
              </w:rPr>
              <w:t>顶管施工，河道、沟渠采用明挖下埋方式，无桥梁架空穿越方案；新建DN400管段公路穿越、河道、沟渠穿越全部采用明挖开槽施工，不设置顶管。</w:t>
            </w:r>
          </w:p>
          <w:p w14:paraId="1320786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表2-2    工程穿跨越工程节点及形式</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571"/>
              <w:gridCol w:w="1241"/>
              <w:gridCol w:w="1435"/>
              <w:gridCol w:w="2245"/>
            </w:tblGrid>
            <w:tr w14:paraId="3645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0A540EF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序号</w:t>
                  </w:r>
                </w:p>
              </w:tc>
              <w:tc>
                <w:tcPr>
                  <w:tcW w:w="2571" w:type="dxa"/>
                  <w:vAlign w:val="center"/>
                </w:tcPr>
                <w:p w14:paraId="46A139D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桩号</w:t>
                  </w:r>
                </w:p>
              </w:tc>
              <w:tc>
                <w:tcPr>
                  <w:tcW w:w="1241" w:type="dxa"/>
                  <w:vAlign w:val="center"/>
                </w:tcPr>
                <w:p w14:paraId="63102C0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穿越长度</w:t>
                  </w:r>
                </w:p>
              </w:tc>
              <w:tc>
                <w:tcPr>
                  <w:tcW w:w="1435" w:type="dxa"/>
                  <w:vAlign w:val="center"/>
                </w:tcPr>
                <w:p w14:paraId="101050D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穿越位置</w:t>
                  </w:r>
                </w:p>
              </w:tc>
              <w:tc>
                <w:tcPr>
                  <w:tcW w:w="2245" w:type="dxa"/>
                  <w:vAlign w:val="center"/>
                </w:tcPr>
                <w:p w14:paraId="2C5392F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管材及管径</w:t>
                  </w:r>
                </w:p>
              </w:tc>
            </w:tr>
            <w:tr w14:paraId="2CB6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34196E9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一</w:t>
                  </w:r>
                </w:p>
              </w:tc>
              <w:tc>
                <w:tcPr>
                  <w:tcW w:w="7492" w:type="dxa"/>
                  <w:gridSpan w:val="4"/>
                  <w:vAlign w:val="center"/>
                </w:tcPr>
                <w:p w14:paraId="1008A66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lang w:val="en-US" w:eastAsia="zh-CN"/>
                    </w:rPr>
                    <w:t>新建DN1400管段</w:t>
                  </w:r>
                </w:p>
              </w:tc>
            </w:tr>
            <w:tr w14:paraId="7EC4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0D4D9BA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1</w:t>
                  </w:r>
                </w:p>
              </w:tc>
              <w:tc>
                <w:tcPr>
                  <w:tcW w:w="2571" w:type="dxa"/>
                  <w:vAlign w:val="center"/>
                </w:tcPr>
                <w:p w14:paraId="0B0188E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5+196</w:t>
                  </w:r>
                </w:p>
              </w:tc>
              <w:tc>
                <w:tcPr>
                  <w:tcW w:w="1241" w:type="dxa"/>
                  <w:vAlign w:val="center"/>
                </w:tcPr>
                <w:p w14:paraId="1641584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22</w:t>
                  </w:r>
                </w:p>
              </w:tc>
              <w:tc>
                <w:tcPr>
                  <w:tcW w:w="1435" w:type="dxa"/>
                  <w:vAlign w:val="center"/>
                </w:tcPr>
                <w:p w14:paraId="724A51B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公路</w:t>
                  </w:r>
                </w:p>
              </w:tc>
              <w:tc>
                <w:tcPr>
                  <w:tcW w:w="2245" w:type="dxa"/>
                  <w:vMerge w:val="restart"/>
                  <w:vAlign w:val="center"/>
                </w:tcPr>
                <w:p w14:paraId="64352D7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lang w:val="en-US" w:eastAsia="zh-CN"/>
                    </w:rPr>
                    <w:t>预应力钢筒混凝土管顶管，DN1400</w:t>
                  </w:r>
                </w:p>
              </w:tc>
            </w:tr>
            <w:tr w14:paraId="7B91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0F3AB49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2</w:t>
                  </w:r>
                </w:p>
              </w:tc>
              <w:tc>
                <w:tcPr>
                  <w:tcW w:w="2571" w:type="dxa"/>
                  <w:vAlign w:val="center"/>
                </w:tcPr>
                <w:p w14:paraId="103BD4B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5+300</w:t>
                  </w:r>
                </w:p>
              </w:tc>
              <w:tc>
                <w:tcPr>
                  <w:tcW w:w="1241" w:type="dxa"/>
                  <w:vAlign w:val="center"/>
                </w:tcPr>
                <w:p w14:paraId="3D61E23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173</w:t>
                  </w:r>
                </w:p>
              </w:tc>
              <w:tc>
                <w:tcPr>
                  <w:tcW w:w="1435" w:type="dxa"/>
                  <w:vAlign w:val="center"/>
                </w:tcPr>
                <w:p w14:paraId="5698946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公路</w:t>
                  </w:r>
                </w:p>
              </w:tc>
              <w:tc>
                <w:tcPr>
                  <w:tcW w:w="2245" w:type="dxa"/>
                  <w:vMerge w:val="continue"/>
                  <w:vAlign w:val="center"/>
                </w:tcPr>
                <w:p w14:paraId="1A3E2D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3046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2CF4DE6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3</w:t>
                  </w:r>
                </w:p>
              </w:tc>
              <w:tc>
                <w:tcPr>
                  <w:tcW w:w="2571" w:type="dxa"/>
                  <w:vAlign w:val="center"/>
                </w:tcPr>
                <w:p w14:paraId="2F33734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5+432</w:t>
                  </w:r>
                </w:p>
              </w:tc>
              <w:tc>
                <w:tcPr>
                  <w:tcW w:w="1241" w:type="dxa"/>
                  <w:vAlign w:val="center"/>
                </w:tcPr>
                <w:p w14:paraId="66C4FFB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91</w:t>
                  </w:r>
                </w:p>
              </w:tc>
              <w:tc>
                <w:tcPr>
                  <w:tcW w:w="1435" w:type="dxa"/>
                  <w:vAlign w:val="center"/>
                </w:tcPr>
                <w:p w14:paraId="48439B5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公路</w:t>
                  </w:r>
                </w:p>
              </w:tc>
              <w:tc>
                <w:tcPr>
                  <w:tcW w:w="2245" w:type="dxa"/>
                  <w:vMerge w:val="continue"/>
                  <w:vAlign w:val="center"/>
                </w:tcPr>
                <w:p w14:paraId="0CF6C60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51DE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20A3928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4</w:t>
                  </w:r>
                </w:p>
              </w:tc>
              <w:tc>
                <w:tcPr>
                  <w:tcW w:w="2571" w:type="dxa"/>
                  <w:vAlign w:val="center"/>
                </w:tcPr>
                <w:p w14:paraId="2EE26FC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5+500</w:t>
                  </w:r>
                </w:p>
              </w:tc>
              <w:tc>
                <w:tcPr>
                  <w:tcW w:w="1241" w:type="dxa"/>
                  <w:vAlign w:val="center"/>
                </w:tcPr>
                <w:p w14:paraId="2D91D43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88</w:t>
                  </w:r>
                </w:p>
              </w:tc>
              <w:tc>
                <w:tcPr>
                  <w:tcW w:w="1435" w:type="dxa"/>
                  <w:vAlign w:val="center"/>
                </w:tcPr>
                <w:p w14:paraId="566FDF8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公路</w:t>
                  </w:r>
                </w:p>
              </w:tc>
              <w:tc>
                <w:tcPr>
                  <w:tcW w:w="2245" w:type="dxa"/>
                  <w:vMerge w:val="continue"/>
                  <w:vAlign w:val="center"/>
                </w:tcPr>
                <w:p w14:paraId="2617181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518C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2474446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5</w:t>
                  </w:r>
                </w:p>
              </w:tc>
              <w:tc>
                <w:tcPr>
                  <w:tcW w:w="2571" w:type="dxa"/>
                  <w:vAlign w:val="center"/>
                </w:tcPr>
                <w:p w14:paraId="73128C6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7+689</w:t>
                  </w:r>
                </w:p>
              </w:tc>
              <w:tc>
                <w:tcPr>
                  <w:tcW w:w="1241" w:type="dxa"/>
                  <w:vAlign w:val="center"/>
                </w:tcPr>
                <w:p w14:paraId="70A0F14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70</w:t>
                  </w:r>
                </w:p>
              </w:tc>
              <w:tc>
                <w:tcPr>
                  <w:tcW w:w="1435" w:type="dxa"/>
                  <w:vAlign w:val="center"/>
                </w:tcPr>
                <w:p w14:paraId="53AEAB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公路</w:t>
                  </w:r>
                </w:p>
              </w:tc>
              <w:tc>
                <w:tcPr>
                  <w:tcW w:w="2245" w:type="dxa"/>
                  <w:vMerge w:val="continue"/>
                  <w:vAlign w:val="center"/>
                </w:tcPr>
                <w:p w14:paraId="6A41DF9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27F5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66D73E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6</w:t>
                  </w:r>
                </w:p>
              </w:tc>
              <w:tc>
                <w:tcPr>
                  <w:tcW w:w="2571" w:type="dxa"/>
                  <w:vAlign w:val="center"/>
                </w:tcPr>
                <w:p w14:paraId="2BE9BCD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26+291</w:t>
                  </w:r>
                </w:p>
              </w:tc>
              <w:tc>
                <w:tcPr>
                  <w:tcW w:w="1241" w:type="dxa"/>
                  <w:vAlign w:val="center"/>
                </w:tcPr>
                <w:p w14:paraId="12AA67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80</w:t>
                  </w:r>
                </w:p>
              </w:tc>
              <w:tc>
                <w:tcPr>
                  <w:tcW w:w="1435" w:type="dxa"/>
                  <w:vAlign w:val="center"/>
                </w:tcPr>
                <w:p w14:paraId="4ACEED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公路</w:t>
                  </w:r>
                </w:p>
              </w:tc>
              <w:tc>
                <w:tcPr>
                  <w:tcW w:w="2245" w:type="dxa"/>
                  <w:vMerge w:val="continue"/>
                  <w:vAlign w:val="center"/>
                </w:tcPr>
                <w:p w14:paraId="4914D3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7619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63D1FDF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7</w:t>
                  </w:r>
                </w:p>
              </w:tc>
              <w:tc>
                <w:tcPr>
                  <w:tcW w:w="2571" w:type="dxa"/>
                  <w:vAlign w:val="center"/>
                </w:tcPr>
                <w:p w14:paraId="0380093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color w:val="auto"/>
                      <w:sz w:val="21"/>
                      <w:szCs w:val="21"/>
                      <w:lang w:val="en-US" w:eastAsia="zh-CN"/>
                    </w:rPr>
                    <w:t>4</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008~4</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021</w:t>
                  </w:r>
                </w:p>
              </w:tc>
              <w:tc>
                <w:tcPr>
                  <w:tcW w:w="1241" w:type="dxa"/>
                  <w:vAlign w:val="center"/>
                </w:tcPr>
                <w:p w14:paraId="4372DB9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13</w:t>
                  </w:r>
                </w:p>
              </w:tc>
              <w:tc>
                <w:tcPr>
                  <w:tcW w:w="1435" w:type="dxa"/>
                  <w:vAlign w:val="center"/>
                </w:tcPr>
                <w:p w14:paraId="635AC08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八街河</w:t>
                  </w:r>
                </w:p>
              </w:tc>
              <w:tc>
                <w:tcPr>
                  <w:tcW w:w="2245" w:type="dxa"/>
                  <w:vMerge w:val="restart"/>
                  <w:vAlign w:val="center"/>
                </w:tcPr>
                <w:p w14:paraId="7D0D512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lang w:val="en-US" w:eastAsia="zh-CN"/>
                    </w:rPr>
                    <w:t>明挖下埋，DN1400</w:t>
                  </w:r>
                </w:p>
              </w:tc>
            </w:tr>
            <w:tr w14:paraId="2667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100FE33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8</w:t>
                  </w:r>
                </w:p>
              </w:tc>
              <w:tc>
                <w:tcPr>
                  <w:tcW w:w="2571" w:type="dxa"/>
                  <w:vAlign w:val="center"/>
                </w:tcPr>
                <w:p w14:paraId="2F834B1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color w:val="auto"/>
                      <w:sz w:val="21"/>
                      <w:szCs w:val="21"/>
                      <w:lang w:val="en-US" w:eastAsia="zh-CN"/>
                    </w:rPr>
                    <w:t>6</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635</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6</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650</w:t>
                  </w:r>
                </w:p>
              </w:tc>
              <w:tc>
                <w:tcPr>
                  <w:tcW w:w="1241" w:type="dxa"/>
                  <w:vAlign w:val="center"/>
                </w:tcPr>
                <w:p w14:paraId="139ABD4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15</w:t>
                  </w:r>
                </w:p>
              </w:tc>
              <w:tc>
                <w:tcPr>
                  <w:tcW w:w="1435" w:type="dxa"/>
                  <w:vAlign w:val="center"/>
                </w:tcPr>
                <w:p w14:paraId="4D8E8F5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八街河</w:t>
                  </w:r>
                </w:p>
              </w:tc>
              <w:tc>
                <w:tcPr>
                  <w:tcW w:w="2245" w:type="dxa"/>
                  <w:vMerge w:val="continue"/>
                  <w:vAlign w:val="center"/>
                </w:tcPr>
                <w:p w14:paraId="039D9E3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041E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4DCAE6A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9</w:t>
                  </w:r>
                </w:p>
              </w:tc>
              <w:tc>
                <w:tcPr>
                  <w:tcW w:w="2571" w:type="dxa"/>
                  <w:vAlign w:val="center"/>
                </w:tcPr>
                <w:p w14:paraId="624212C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color w:val="auto"/>
                      <w:sz w:val="21"/>
                      <w:szCs w:val="21"/>
                      <w:lang w:val="en-US" w:eastAsia="zh-CN"/>
                    </w:rPr>
                    <w:t>21</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635</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21</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650</w:t>
                  </w:r>
                </w:p>
              </w:tc>
              <w:tc>
                <w:tcPr>
                  <w:tcW w:w="1241" w:type="dxa"/>
                  <w:vAlign w:val="center"/>
                </w:tcPr>
                <w:p w14:paraId="7C28640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15</w:t>
                  </w:r>
                </w:p>
              </w:tc>
              <w:tc>
                <w:tcPr>
                  <w:tcW w:w="1435" w:type="dxa"/>
                  <w:vAlign w:val="center"/>
                </w:tcPr>
                <w:p w14:paraId="4A2BFDD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鸣矣河</w:t>
                  </w:r>
                </w:p>
              </w:tc>
              <w:tc>
                <w:tcPr>
                  <w:tcW w:w="2245" w:type="dxa"/>
                  <w:vMerge w:val="continue"/>
                  <w:vAlign w:val="center"/>
                </w:tcPr>
                <w:p w14:paraId="60233D6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726D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73F5342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10</w:t>
                  </w:r>
                </w:p>
              </w:tc>
              <w:tc>
                <w:tcPr>
                  <w:tcW w:w="2571" w:type="dxa"/>
                  <w:vAlign w:val="center"/>
                </w:tcPr>
                <w:p w14:paraId="212DABE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25</w:t>
                  </w:r>
                  <w:r>
                    <w:rPr>
                      <w:rFonts w:hint="default" w:ascii="Times New Roman" w:hAnsi="Times New Roman" w:eastAsia="宋体" w:cs="Times New Roman"/>
                      <w:color w:val="auto"/>
                      <w:sz w:val="21"/>
                      <w:szCs w:val="21"/>
                    </w:rPr>
                    <w:t>+4</w:t>
                  </w:r>
                  <w:r>
                    <w:rPr>
                      <w:rFonts w:hint="default" w:ascii="Times New Roman" w:hAnsi="Times New Roman" w:cs="Times New Roman"/>
                      <w:color w:val="auto"/>
                      <w:sz w:val="21"/>
                      <w:szCs w:val="21"/>
                      <w:lang w:val="en-US" w:eastAsia="zh-CN"/>
                    </w:rPr>
                    <w:t>33</w:t>
                  </w:r>
                  <w:r>
                    <w:rPr>
                      <w:rFonts w:hint="default" w:ascii="Times New Roman" w:hAnsi="Times New Roman" w:eastAsia="宋体" w:cs="Times New Roman"/>
                      <w:color w:val="auto"/>
                      <w:sz w:val="21"/>
                      <w:szCs w:val="21"/>
                    </w:rPr>
                    <w:t xml:space="preserve"> ～ </w:t>
                  </w:r>
                  <w:r>
                    <w:rPr>
                      <w:rFonts w:hint="default" w:ascii="Times New Roman" w:hAnsi="Times New Roman" w:cs="Times New Roman"/>
                      <w:color w:val="auto"/>
                      <w:sz w:val="21"/>
                      <w:szCs w:val="21"/>
                      <w:lang w:val="en-US" w:eastAsia="zh-CN"/>
                    </w:rPr>
                    <w:t>25</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440</w:t>
                  </w:r>
                </w:p>
              </w:tc>
              <w:tc>
                <w:tcPr>
                  <w:tcW w:w="1241" w:type="dxa"/>
                  <w:vAlign w:val="center"/>
                </w:tcPr>
                <w:p w14:paraId="6996952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7</w:t>
                  </w:r>
                </w:p>
              </w:tc>
              <w:tc>
                <w:tcPr>
                  <w:tcW w:w="1435" w:type="dxa"/>
                  <w:vAlign w:val="center"/>
                </w:tcPr>
                <w:p w14:paraId="3E7141B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鸣矣河</w:t>
                  </w:r>
                </w:p>
              </w:tc>
              <w:tc>
                <w:tcPr>
                  <w:tcW w:w="2245" w:type="dxa"/>
                  <w:vMerge w:val="continue"/>
                  <w:vAlign w:val="center"/>
                </w:tcPr>
                <w:p w14:paraId="7BADAF7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6395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2CCE12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11</w:t>
                  </w:r>
                </w:p>
              </w:tc>
              <w:tc>
                <w:tcPr>
                  <w:tcW w:w="2571" w:type="dxa"/>
                  <w:vAlign w:val="center"/>
                </w:tcPr>
                <w:p w14:paraId="245ED4A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27</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46</w:t>
                  </w:r>
                  <w:r>
                    <w:rPr>
                      <w:rFonts w:hint="default" w:ascii="Times New Roman" w:hAnsi="Times New Roman" w:eastAsia="宋体" w:cs="Times New Roman"/>
                      <w:color w:val="auto"/>
                      <w:sz w:val="21"/>
                      <w:szCs w:val="21"/>
                    </w:rPr>
                    <w:t>1 ～</w:t>
                  </w:r>
                  <w:r>
                    <w:rPr>
                      <w:rFonts w:hint="default" w:ascii="Times New Roman" w:hAnsi="Times New Roman" w:cs="Times New Roman"/>
                      <w:color w:val="auto"/>
                      <w:sz w:val="21"/>
                      <w:szCs w:val="21"/>
                      <w:lang w:val="en-US" w:eastAsia="zh-CN"/>
                    </w:rPr>
                    <w:t>27</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469</w:t>
                  </w:r>
                </w:p>
              </w:tc>
              <w:tc>
                <w:tcPr>
                  <w:tcW w:w="1241" w:type="dxa"/>
                  <w:vAlign w:val="center"/>
                </w:tcPr>
                <w:p w14:paraId="657813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8</w:t>
                  </w:r>
                </w:p>
              </w:tc>
              <w:tc>
                <w:tcPr>
                  <w:tcW w:w="1435" w:type="dxa"/>
                  <w:vAlign w:val="center"/>
                </w:tcPr>
                <w:p w14:paraId="5818996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鸣矣河</w:t>
                  </w:r>
                </w:p>
              </w:tc>
              <w:tc>
                <w:tcPr>
                  <w:tcW w:w="2245" w:type="dxa"/>
                  <w:vMerge w:val="continue"/>
                  <w:vAlign w:val="center"/>
                </w:tcPr>
                <w:p w14:paraId="03325A8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53A1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509D148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二</w:t>
                  </w:r>
                </w:p>
              </w:tc>
              <w:tc>
                <w:tcPr>
                  <w:tcW w:w="7492" w:type="dxa"/>
                  <w:gridSpan w:val="4"/>
                  <w:vAlign w:val="center"/>
                </w:tcPr>
                <w:p w14:paraId="4735880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lang w:val="en-US" w:eastAsia="zh-CN"/>
                    </w:rPr>
                    <w:t>新建DN400管段</w:t>
                  </w:r>
                </w:p>
              </w:tc>
            </w:tr>
            <w:tr w14:paraId="40BD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4CE4C1F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1</w:t>
                  </w:r>
                </w:p>
              </w:tc>
              <w:tc>
                <w:tcPr>
                  <w:tcW w:w="2571" w:type="dxa"/>
                  <w:vAlign w:val="center"/>
                </w:tcPr>
                <w:p w14:paraId="5C5C177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0+710</w:t>
                  </w:r>
                </w:p>
              </w:tc>
              <w:tc>
                <w:tcPr>
                  <w:tcW w:w="1241" w:type="dxa"/>
                  <w:vAlign w:val="center"/>
                </w:tcPr>
                <w:p w14:paraId="036187F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7</w:t>
                  </w:r>
                </w:p>
              </w:tc>
              <w:tc>
                <w:tcPr>
                  <w:tcW w:w="1435" w:type="dxa"/>
                  <w:shd w:val="clear" w:color="auto" w:fill="auto"/>
                  <w:vAlign w:val="center"/>
                </w:tcPr>
                <w:p w14:paraId="1853EE0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公路</w:t>
                  </w:r>
                </w:p>
              </w:tc>
              <w:tc>
                <w:tcPr>
                  <w:tcW w:w="2245" w:type="dxa"/>
                  <w:vMerge w:val="restart"/>
                  <w:vAlign w:val="center"/>
                </w:tcPr>
                <w:p w14:paraId="10771F2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lang w:val="en-US" w:eastAsia="zh-CN"/>
                    </w:rPr>
                    <w:t>明挖下埋，DN400</w:t>
                  </w:r>
                </w:p>
              </w:tc>
            </w:tr>
            <w:tr w14:paraId="2A89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3B77432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2</w:t>
                  </w:r>
                </w:p>
              </w:tc>
              <w:tc>
                <w:tcPr>
                  <w:tcW w:w="2571" w:type="dxa"/>
                  <w:vAlign w:val="center"/>
                </w:tcPr>
                <w:p w14:paraId="01ED717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6+720</w:t>
                  </w:r>
                </w:p>
              </w:tc>
              <w:tc>
                <w:tcPr>
                  <w:tcW w:w="1241" w:type="dxa"/>
                  <w:vAlign w:val="center"/>
                </w:tcPr>
                <w:p w14:paraId="4B80048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7</w:t>
                  </w:r>
                </w:p>
              </w:tc>
              <w:tc>
                <w:tcPr>
                  <w:tcW w:w="1435" w:type="dxa"/>
                  <w:shd w:val="clear" w:color="auto" w:fill="auto"/>
                  <w:vAlign w:val="center"/>
                </w:tcPr>
                <w:p w14:paraId="7B3910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公路</w:t>
                  </w:r>
                </w:p>
              </w:tc>
              <w:tc>
                <w:tcPr>
                  <w:tcW w:w="2245" w:type="dxa"/>
                  <w:vMerge w:val="continue"/>
                  <w:vAlign w:val="center"/>
                </w:tcPr>
                <w:p w14:paraId="34F304A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6980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36" w:type="dxa"/>
                  <w:vAlign w:val="center"/>
                </w:tcPr>
                <w:p w14:paraId="6A983C8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3</w:t>
                  </w:r>
                </w:p>
              </w:tc>
              <w:tc>
                <w:tcPr>
                  <w:tcW w:w="2571" w:type="dxa"/>
                  <w:vAlign w:val="center"/>
                </w:tcPr>
                <w:p w14:paraId="62B7907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eastAsia="宋体" w:cs="Times New Roman"/>
                      <w:color w:val="auto"/>
                      <w:sz w:val="24"/>
                      <w:szCs w:val="28"/>
                      <w:lang w:val="en-US" w:eastAsia="zh-CN"/>
                    </w:rPr>
                    <w:t>2+361~2+365</w:t>
                  </w:r>
                </w:p>
              </w:tc>
              <w:tc>
                <w:tcPr>
                  <w:tcW w:w="1241" w:type="dxa"/>
                  <w:vAlign w:val="center"/>
                </w:tcPr>
                <w:p w14:paraId="2B709BF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4</w:t>
                  </w:r>
                </w:p>
              </w:tc>
              <w:tc>
                <w:tcPr>
                  <w:tcW w:w="1435" w:type="dxa"/>
                  <w:vAlign w:val="center"/>
                </w:tcPr>
                <w:p w14:paraId="2583849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县街河</w:t>
                  </w:r>
                </w:p>
              </w:tc>
              <w:tc>
                <w:tcPr>
                  <w:tcW w:w="2245" w:type="dxa"/>
                  <w:vMerge w:val="continue"/>
                  <w:vAlign w:val="center"/>
                </w:tcPr>
                <w:p w14:paraId="24A7E6E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bl>
          <w:p w14:paraId="514B572F">
            <w:pPr>
              <w:keepNext w:val="0"/>
              <w:keepLines w:val="0"/>
              <w:pageBreakBefore w:val="0"/>
              <w:widowControl w:val="0"/>
              <w:numPr>
                <w:ilvl w:val="0"/>
                <w:numId w:val="13"/>
              </w:numPr>
              <w:kinsoku/>
              <w:wordWrap/>
              <w:overflowPunct/>
              <w:topLinePunct w:val="0"/>
              <w:autoSpaceDE/>
              <w:autoSpaceDN/>
              <w:bidi w:val="0"/>
              <w:adjustRightInd w:val="0"/>
              <w:snapToGrid w:val="0"/>
              <w:spacing w:before="313" w:beforeLines="100" w:line="360" w:lineRule="auto"/>
              <w:jc w:val="both"/>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工程占地及移民搬迁</w:t>
            </w:r>
          </w:p>
          <w:p w14:paraId="2D475408">
            <w:pPr>
              <w:adjustRightInd w:val="0"/>
              <w:snapToGrid w:val="0"/>
              <w:spacing w:line="360" w:lineRule="auto"/>
              <w:ind w:firstLine="482" w:firstLineChars="200"/>
              <w:rPr>
                <w:rFonts w:hint="eastAsia" w:ascii="Times New Roman" w:hAnsi="Times New Roman" w:eastAsia="宋体" w:cs="Times New Roman"/>
                <w:b/>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（1）工程占地</w:t>
            </w:r>
          </w:p>
          <w:p w14:paraId="6E8E32C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根据施工组织设计成果，本工程永久用地包括阀门井、排气井、排泥井、消火栓阀门井、提升泵站。根据设计方案，在满足运行条件的情况下，上述所有设施占地均避开永久基本农田；临时用地主要包括综合加工厂、机械停放场、</w:t>
            </w:r>
            <w:r>
              <w:rPr>
                <w:rFonts w:hint="default" w:ascii="Times New Roman" w:hAnsi="Times New Roman" w:eastAsia="宋体" w:cs="Times New Roman"/>
                <w:b w:val="0"/>
                <w:bCs w:val="0"/>
                <w:color w:val="auto"/>
                <w:sz w:val="24"/>
                <w:szCs w:val="24"/>
                <w:highlight w:val="none"/>
                <w:lang w:val="en-US" w:eastAsia="zh-CN"/>
              </w:rPr>
              <w:t>综合仓库、生活营地、管线施工临时占地、泵站等占地。</w:t>
            </w:r>
          </w:p>
          <w:p w14:paraId="6AD2492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根据统计，工程永久征占地面积0.92亩（613.34㎡），</w:t>
            </w:r>
            <w:r>
              <w:rPr>
                <w:rFonts w:hint="default" w:ascii="Times New Roman" w:hAnsi="Times New Roman" w:eastAsia="宋体" w:cs="Times New Roman"/>
                <w:b w:val="0"/>
                <w:bCs w:val="0"/>
                <w:color w:val="auto"/>
                <w:sz w:val="24"/>
                <w:szCs w:val="24"/>
                <w:highlight w:val="none"/>
                <w:lang w:val="en-US" w:eastAsia="zh-CN"/>
              </w:rPr>
              <w:t>临时用地面积根据临时用地线确定，临时用地总面积 471.32 亩</w:t>
            </w:r>
            <w:r>
              <w:rPr>
                <w:rFonts w:hint="eastAsia" w:ascii="Times New Roman" w:hAnsi="Times New Roman" w:eastAsia="宋体" w:cs="Times New Roman"/>
                <w:b w:val="0"/>
                <w:bCs w:val="0"/>
                <w:color w:val="auto"/>
                <w:sz w:val="24"/>
                <w:szCs w:val="24"/>
                <w:highlight w:val="none"/>
                <w:lang w:val="en-US" w:eastAsia="zh-CN"/>
              </w:rPr>
              <w:t>（314214.91㎡）</w:t>
            </w:r>
            <w:r>
              <w:rPr>
                <w:rFonts w:hint="default" w:ascii="Times New Roman" w:hAnsi="Times New Roman" w:eastAsia="宋体" w:cs="Times New Roman"/>
                <w:b w:val="0"/>
                <w:bCs w:val="0"/>
                <w:color w:val="auto"/>
                <w:sz w:val="24"/>
                <w:szCs w:val="24"/>
                <w:highlight w:val="none"/>
                <w:lang w:val="en-US" w:eastAsia="zh-CN"/>
              </w:rPr>
              <w:t>。</w:t>
            </w:r>
          </w:p>
          <w:p w14:paraId="264FD0A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表2-3    工程占地统计表</w:t>
            </w:r>
          </w:p>
          <w:tbl>
            <w:tblPr>
              <w:tblStyle w:val="2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284"/>
              <w:gridCol w:w="1979"/>
              <w:gridCol w:w="2301"/>
              <w:gridCol w:w="1284"/>
              <w:gridCol w:w="1287"/>
            </w:tblGrid>
            <w:tr w14:paraId="1D94E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89467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序号</w:t>
                  </w:r>
                </w:p>
              </w:tc>
              <w:tc>
                <w:tcPr>
                  <w:tcW w:w="1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6ADF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w:t>
                  </w: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A00B7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征地区域</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9766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单位</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31E50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面积</w:t>
                  </w:r>
                </w:p>
              </w:tc>
            </w:tr>
            <w:tr w14:paraId="28F6B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EDEA3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6158A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永久征收土地</w:t>
                  </w: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40DCA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阀门井</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4612A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B0851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0.32</w:t>
                  </w:r>
                </w:p>
              </w:tc>
            </w:tr>
            <w:tr w14:paraId="59385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1537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AD204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FF2F7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排气井</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79DA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451B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0.11</w:t>
                  </w:r>
                </w:p>
              </w:tc>
            </w:tr>
            <w:tr w14:paraId="79CB2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3772A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91EB5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39F5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排泥井</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AE338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749D4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0.2</w:t>
                  </w:r>
                </w:p>
              </w:tc>
            </w:tr>
            <w:tr w14:paraId="69642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A0433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FA85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F1222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消火栓阀门井</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F0840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C5B22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0.04</w:t>
                  </w:r>
                </w:p>
              </w:tc>
            </w:tr>
            <w:tr w14:paraId="09ADE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A39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E4C96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D05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提升泵站</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39AD9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4093F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0.25</w:t>
                  </w:r>
                </w:p>
              </w:tc>
            </w:tr>
            <w:tr w14:paraId="27500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07089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0C9BE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A7A41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小计</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4F509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0CBA8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0.92</w:t>
                  </w:r>
                </w:p>
              </w:tc>
            </w:tr>
            <w:tr w14:paraId="57649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39B77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1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53443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临时征用土地</w:t>
                  </w: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5DFAC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综合加工厂</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C00B9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D3851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10.2</w:t>
                  </w:r>
                </w:p>
              </w:tc>
            </w:tr>
            <w:tr w14:paraId="3F651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61687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A6A2D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9F9A8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机械停放场</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84A77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01420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w:t>
                  </w:r>
                </w:p>
              </w:tc>
            </w:tr>
            <w:tr w14:paraId="1B7C5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EA3BF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w:t>
                  </w: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B88D0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82F5D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综合仓库</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8F4DC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F82EA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w:t>
                  </w:r>
                </w:p>
              </w:tc>
            </w:tr>
            <w:tr w14:paraId="4A327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4E311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66475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54228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生活营地</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6F762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7D00B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w:t>
                  </w:r>
                </w:p>
              </w:tc>
            </w:tr>
            <w:tr w14:paraId="30F57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FD3B2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w:t>
                  </w: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01987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636F3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管线施工临时占地</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D6170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552FD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430.53</w:t>
                  </w:r>
                </w:p>
              </w:tc>
            </w:tr>
            <w:tr w14:paraId="10F3A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4C3B7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0ACED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5FA5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泵站占地</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750F0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0245F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0.29</w:t>
                  </w:r>
                </w:p>
              </w:tc>
            </w:tr>
            <w:tr w14:paraId="3348B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50B25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w:t>
                  </w: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9515F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p>
              </w:tc>
              <w:tc>
                <w:tcPr>
                  <w:tcW w:w="1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7DCDE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小计</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3493C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B911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471.32</w:t>
                  </w:r>
                </w:p>
              </w:tc>
            </w:tr>
            <w:tr w14:paraId="6A486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990E3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w:t>
                  </w:r>
                </w:p>
              </w:tc>
              <w:tc>
                <w:tcPr>
                  <w:tcW w:w="2630"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BB199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建设征地合计</w:t>
                  </w:r>
                </w:p>
              </w:tc>
              <w:tc>
                <w:tcPr>
                  <w:tcW w:w="7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E664A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亩</w:t>
                  </w:r>
                </w:p>
              </w:tc>
              <w:tc>
                <w:tcPr>
                  <w:tcW w:w="7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9221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472.24</w:t>
                  </w:r>
                </w:p>
              </w:tc>
            </w:tr>
          </w:tbl>
          <w:p w14:paraId="58527A5E">
            <w:pPr>
              <w:adjustRightInd w:val="0"/>
              <w:snapToGrid w:val="0"/>
              <w:spacing w:line="360" w:lineRule="auto"/>
              <w:ind w:firstLine="482" w:firstLineChars="200"/>
              <w:rPr>
                <w:rFonts w:hint="eastAsia"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lang w:eastAsia="zh-CN"/>
                <w14:textFill>
                  <w14:solidFill>
                    <w14:schemeClr w14:val="tx1"/>
                  </w14:solidFill>
                </w14:textFill>
              </w:rPr>
              <w:t>（</w:t>
            </w:r>
            <w:r>
              <w:rPr>
                <w:rFonts w:hint="eastAsia" w:ascii="Times New Roman" w:hAnsi="Times New Roman" w:eastAsia="宋体" w:cs="Times New Roman"/>
                <w:b/>
                <w:color w:val="000000" w:themeColor="text1"/>
                <w:sz w:val="24"/>
                <w:szCs w:val="24"/>
                <w14:textFill>
                  <w14:solidFill>
                    <w14:schemeClr w14:val="tx1"/>
                  </w14:solidFill>
                </w14:textFill>
              </w:rPr>
              <w:t>2）移民安置</w:t>
            </w:r>
          </w:p>
          <w:p w14:paraId="2DEEF11C">
            <w:pPr>
              <w:adjustRightInd w:val="0"/>
              <w:snapToGrid w:val="0"/>
              <w:spacing w:line="360" w:lineRule="auto"/>
              <w:ind w:firstLine="480" w:firstLineChars="200"/>
              <w:rPr>
                <w:rFonts w:hint="eastAsia" w:ascii="Times New Roman" w:hAnsi="Times New Roman" w:eastAsia="宋体" w:cs="Times New Roman"/>
                <w:bCs/>
                <w:color w:val="000000" w:themeColor="text1"/>
                <w:sz w:val="24"/>
                <w:szCs w:val="24"/>
                <w14:textFill>
                  <w14:solidFill>
                    <w14:schemeClr w14:val="tx1"/>
                  </w14:solidFill>
                </w14:textFill>
              </w:rPr>
            </w:pPr>
            <w:r>
              <w:rPr>
                <w:rFonts w:hint="eastAsia" w:ascii="Times New Roman" w:hAnsi="Times New Roman" w:eastAsia="宋体" w:cs="Times New Roman"/>
                <w:bCs/>
                <w:color w:val="000000" w:themeColor="text1"/>
                <w:sz w:val="24"/>
                <w:szCs w:val="24"/>
                <w14:textFill>
                  <w14:solidFill>
                    <w14:schemeClr w14:val="tx1"/>
                  </w14:solidFill>
                </w14:textFill>
              </w:rPr>
              <w:t>本工程未涉及移民搬迁。</w:t>
            </w:r>
          </w:p>
          <w:p w14:paraId="1D258093">
            <w:pPr>
              <w:keepNext w:val="0"/>
              <w:keepLines w:val="0"/>
              <w:pageBreakBefore w:val="0"/>
              <w:widowControl w:val="0"/>
              <w:numPr>
                <w:ilvl w:val="0"/>
                <w:numId w:val="0"/>
              </w:numPr>
              <w:kinsoku/>
              <w:wordWrap/>
              <w:overflowPunct/>
              <w:topLinePunct w:val="0"/>
              <w:autoSpaceDE/>
              <w:autoSpaceDN/>
              <w:bidi w:val="0"/>
              <w:adjustRightInd w:val="0"/>
              <w:snapToGrid w:val="0"/>
              <w:spacing w:before="313" w:beforeLines="100" w:line="360" w:lineRule="auto"/>
              <w:jc w:val="both"/>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4、主要设备及工程量</w:t>
            </w:r>
          </w:p>
          <w:p w14:paraId="52FBF0C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根据项目实施内容，结合实施方案，本工程实施过程中涉及设备及工程量情况见下表。</w:t>
            </w:r>
          </w:p>
          <w:p w14:paraId="6C97DFE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bCs/>
                <w:color w:val="auto"/>
                <w:sz w:val="24"/>
                <w:szCs w:val="24"/>
                <w:lang w:val="en-US" w:eastAsia="zh-CN"/>
              </w:rPr>
              <w:t>表2-4    主要设备及工程量</w:t>
            </w:r>
          </w:p>
          <w:tbl>
            <w:tblPr>
              <w:tblStyle w:val="57"/>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25"/>
              <w:gridCol w:w="1608"/>
              <w:gridCol w:w="2377"/>
              <w:gridCol w:w="1426"/>
              <w:gridCol w:w="425"/>
              <w:gridCol w:w="682"/>
              <w:gridCol w:w="987"/>
            </w:tblGrid>
            <w:tr w14:paraId="2D823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textDirection w:val="tbRlV"/>
                  <w:vAlign w:val="center"/>
                </w:tcPr>
                <w:p w14:paraId="2F95A60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序号</w:t>
                  </w:r>
                </w:p>
              </w:tc>
              <w:tc>
                <w:tcPr>
                  <w:tcW w:w="990" w:type="pct"/>
                  <w:vAlign w:val="center"/>
                </w:tcPr>
                <w:p w14:paraId="74DCCE9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项目</w:t>
                  </w:r>
                </w:p>
              </w:tc>
              <w:tc>
                <w:tcPr>
                  <w:tcW w:w="1450" w:type="pct"/>
                  <w:vAlign w:val="center"/>
                </w:tcPr>
                <w:p w14:paraId="22CB0D1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规格</w:t>
                  </w:r>
                </w:p>
              </w:tc>
              <w:tc>
                <w:tcPr>
                  <w:tcW w:w="878" w:type="pct"/>
                  <w:vAlign w:val="center"/>
                </w:tcPr>
                <w:p w14:paraId="21B18FA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材质</w:t>
                  </w:r>
                </w:p>
              </w:tc>
              <w:tc>
                <w:tcPr>
                  <w:tcW w:w="263" w:type="pct"/>
                  <w:textDirection w:val="tbRlV"/>
                  <w:vAlign w:val="center"/>
                </w:tcPr>
                <w:p w14:paraId="19522D7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单位</w:t>
                  </w:r>
                </w:p>
              </w:tc>
              <w:tc>
                <w:tcPr>
                  <w:tcW w:w="421" w:type="pct"/>
                  <w:vAlign w:val="center"/>
                </w:tcPr>
                <w:p w14:paraId="47FC7D5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数量</w:t>
                  </w:r>
                </w:p>
              </w:tc>
              <w:tc>
                <w:tcPr>
                  <w:tcW w:w="608" w:type="pct"/>
                  <w:vAlign w:val="center"/>
                </w:tcPr>
                <w:p w14:paraId="1679FBE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备注</w:t>
                  </w:r>
                </w:p>
              </w:tc>
            </w:tr>
            <w:tr w14:paraId="51298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380292F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position w:val="-4"/>
                      <w:sz w:val="21"/>
                      <w:szCs w:val="21"/>
                    </w:rPr>
                    <w:t>一</w:t>
                  </w:r>
                </w:p>
              </w:tc>
              <w:tc>
                <w:tcPr>
                  <w:tcW w:w="990" w:type="pct"/>
                  <w:vAlign w:val="center"/>
                </w:tcPr>
                <w:p w14:paraId="5F43D27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管道工程</w:t>
                  </w:r>
                </w:p>
              </w:tc>
              <w:tc>
                <w:tcPr>
                  <w:tcW w:w="1450" w:type="pct"/>
                  <w:vAlign w:val="center"/>
                </w:tcPr>
                <w:p w14:paraId="7AD2AF6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0E73A3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59BF4A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421" w:type="pct"/>
                  <w:vAlign w:val="center"/>
                </w:tcPr>
                <w:p w14:paraId="50B1B6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608" w:type="pct"/>
                  <w:vAlign w:val="center"/>
                </w:tcPr>
                <w:p w14:paraId="1FB2FDA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058BD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698801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position w:val="1"/>
                      <w:sz w:val="21"/>
                      <w:szCs w:val="21"/>
                    </w:rPr>
                    <w:t>1.1</w:t>
                  </w:r>
                </w:p>
              </w:tc>
              <w:tc>
                <w:tcPr>
                  <w:tcW w:w="990" w:type="pct"/>
                  <w:vAlign w:val="center"/>
                </w:tcPr>
                <w:p w14:paraId="4B69830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PCCP管道</w:t>
                  </w:r>
                </w:p>
              </w:tc>
              <w:tc>
                <w:tcPr>
                  <w:tcW w:w="1450" w:type="pct"/>
                  <w:vAlign w:val="center"/>
                </w:tcPr>
                <w:p w14:paraId="484845C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DN1400，1.0MPa</w:t>
                  </w:r>
                </w:p>
              </w:tc>
              <w:tc>
                <w:tcPr>
                  <w:tcW w:w="878" w:type="pct"/>
                  <w:vAlign w:val="center"/>
                </w:tcPr>
                <w:p w14:paraId="221EA1C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预应力钢筒混凝土管</w:t>
                  </w:r>
                </w:p>
              </w:tc>
              <w:tc>
                <w:tcPr>
                  <w:tcW w:w="263" w:type="pct"/>
                  <w:vAlign w:val="center"/>
                </w:tcPr>
                <w:p w14:paraId="3848CD8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position w:val="3"/>
                      <w:sz w:val="21"/>
                      <w:szCs w:val="21"/>
                    </w:rPr>
                    <w:t>m</w:t>
                  </w:r>
                </w:p>
              </w:tc>
              <w:tc>
                <w:tcPr>
                  <w:tcW w:w="421" w:type="pct"/>
                  <w:vAlign w:val="center"/>
                </w:tcPr>
                <w:p w14:paraId="7C5710F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5277</w:t>
                  </w:r>
                </w:p>
              </w:tc>
              <w:tc>
                <w:tcPr>
                  <w:tcW w:w="608" w:type="pct"/>
                  <w:vAlign w:val="center"/>
                </w:tcPr>
                <w:p w14:paraId="489073C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双胶圈承插接口</w:t>
                  </w:r>
                </w:p>
              </w:tc>
            </w:tr>
            <w:tr w14:paraId="673BA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020EA80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position w:val="1"/>
                      <w:sz w:val="21"/>
                      <w:szCs w:val="21"/>
                    </w:rPr>
                    <w:t>1.2</w:t>
                  </w:r>
                </w:p>
              </w:tc>
              <w:tc>
                <w:tcPr>
                  <w:tcW w:w="990" w:type="pct"/>
                  <w:vAlign w:val="center"/>
                </w:tcPr>
                <w:p w14:paraId="3A3609E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PCCP管道</w:t>
                  </w:r>
                </w:p>
              </w:tc>
              <w:tc>
                <w:tcPr>
                  <w:tcW w:w="1450" w:type="pct"/>
                  <w:vAlign w:val="center"/>
                </w:tcPr>
                <w:p w14:paraId="356985B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DN1400，1.6MPa，壁厚140mm</w:t>
                  </w:r>
                </w:p>
              </w:tc>
              <w:tc>
                <w:tcPr>
                  <w:tcW w:w="878" w:type="pct"/>
                  <w:vAlign w:val="center"/>
                </w:tcPr>
                <w:p w14:paraId="34CD800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预应力钢筒混凝土管</w:t>
                  </w:r>
                </w:p>
              </w:tc>
              <w:tc>
                <w:tcPr>
                  <w:tcW w:w="263" w:type="pct"/>
                  <w:vAlign w:val="center"/>
                </w:tcPr>
                <w:p w14:paraId="27E716F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position w:val="3"/>
                      <w:sz w:val="21"/>
                      <w:szCs w:val="21"/>
                    </w:rPr>
                    <w:t>m</w:t>
                  </w:r>
                </w:p>
              </w:tc>
              <w:tc>
                <w:tcPr>
                  <w:tcW w:w="421" w:type="pct"/>
                  <w:vAlign w:val="center"/>
                </w:tcPr>
                <w:p w14:paraId="4A07CAB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5939</w:t>
                  </w:r>
                </w:p>
              </w:tc>
              <w:tc>
                <w:tcPr>
                  <w:tcW w:w="608" w:type="pct"/>
                  <w:vAlign w:val="center"/>
                </w:tcPr>
                <w:p w14:paraId="324BD70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双胶圈承插接口</w:t>
                  </w:r>
                </w:p>
              </w:tc>
            </w:tr>
            <w:tr w14:paraId="0525D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6F1C513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position w:val="1"/>
                      <w:sz w:val="21"/>
                      <w:szCs w:val="21"/>
                    </w:rPr>
                    <w:t>1.3</w:t>
                  </w:r>
                </w:p>
              </w:tc>
              <w:tc>
                <w:tcPr>
                  <w:tcW w:w="990" w:type="pct"/>
                  <w:vAlign w:val="center"/>
                </w:tcPr>
                <w:p w14:paraId="3B00101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PCCP管道顶管</w:t>
                  </w:r>
                </w:p>
              </w:tc>
              <w:tc>
                <w:tcPr>
                  <w:tcW w:w="1450" w:type="pct"/>
                  <w:vAlign w:val="center"/>
                </w:tcPr>
                <w:p w14:paraId="0118D02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DN1400，1.6MPa，壁厚220mm</w:t>
                  </w:r>
                </w:p>
              </w:tc>
              <w:tc>
                <w:tcPr>
                  <w:tcW w:w="878" w:type="pct"/>
                  <w:vAlign w:val="center"/>
                </w:tcPr>
                <w:p w14:paraId="4DA0FF6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预应力钢筒混凝土顶管</w:t>
                  </w:r>
                </w:p>
              </w:tc>
              <w:tc>
                <w:tcPr>
                  <w:tcW w:w="263" w:type="pct"/>
                  <w:vAlign w:val="center"/>
                </w:tcPr>
                <w:p w14:paraId="30772AE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position w:val="3"/>
                      <w:sz w:val="21"/>
                      <w:szCs w:val="21"/>
                    </w:rPr>
                    <w:t>m</w:t>
                  </w:r>
                </w:p>
              </w:tc>
              <w:tc>
                <w:tcPr>
                  <w:tcW w:w="421" w:type="pct"/>
                  <w:vAlign w:val="center"/>
                </w:tcPr>
                <w:p w14:paraId="79B351C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524</w:t>
                  </w:r>
                </w:p>
              </w:tc>
              <w:tc>
                <w:tcPr>
                  <w:tcW w:w="608" w:type="pct"/>
                  <w:vAlign w:val="center"/>
                </w:tcPr>
                <w:p w14:paraId="46FCB3E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双胶圈接口</w:t>
                  </w:r>
                </w:p>
              </w:tc>
            </w:tr>
            <w:tr w14:paraId="694D9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4637F5F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position w:val="1"/>
                      <w:sz w:val="21"/>
                      <w:szCs w:val="21"/>
                    </w:rPr>
                    <w:t>1.4</w:t>
                  </w:r>
                </w:p>
              </w:tc>
              <w:tc>
                <w:tcPr>
                  <w:tcW w:w="990" w:type="pct"/>
                  <w:vAlign w:val="center"/>
                </w:tcPr>
                <w:p w14:paraId="7C610DE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涂塑钢管</w:t>
                  </w:r>
                </w:p>
              </w:tc>
              <w:tc>
                <w:tcPr>
                  <w:tcW w:w="1450" w:type="pct"/>
                  <w:vAlign w:val="center"/>
                </w:tcPr>
                <w:p w14:paraId="0C1EAB0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DN400，1.6MPa，壁厚6mm</w:t>
                  </w:r>
                </w:p>
              </w:tc>
              <w:tc>
                <w:tcPr>
                  <w:tcW w:w="878" w:type="pct"/>
                  <w:vAlign w:val="center"/>
                </w:tcPr>
                <w:p w14:paraId="3E19B6A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Q235B</w:t>
                  </w:r>
                </w:p>
              </w:tc>
              <w:tc>
                <w:tcPr>
                  <w:tcW w:w="263" w:type="pct"/>
                  <w:vAlign w:val="center"/>
                </w:tcPr>
                <w:p w14:paraId="06E36D6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position w:val="3"/>
                      <w:sz w:val="21"/>
                      <w:szCs w:val="21"/>
                    </w:rPr>
                    <w:t>m</w:t>
                  </w:r>
                </w:p>
              </w:tc>
              <w:tc>
                <w:tcPr>
                  <w:tcW w:w="421" w:type="pct"/>
                  <w:vAlign w:val="center"/>
                </w:tcPr>
                <w:p w14:paraId="53FB4B2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6595</w:t>
                  </w:r>
                </w:p>
              </w:tc>
              <w:tc>
                <w:tcPr>
                  <w:tcW w:w="608" w:type="pct"/>
                  <w:vAlign w:val="center"/>
                </w:tcPr>
                <w:p w14:paraId="7938394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焊接连接</w:t>
                  </w:r>
                </w:p>
              </w:tc>
            </w:tr>
            <w:tr w14:paraId="6F8C0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688095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二</w:t>
                  </w:r>
                </w:p>
              </w:tc>
              <w:tc>
                <w:tcPr>
                  <w:tcW w:w="990" w:type="pct"/>
                  <w:vAlign w:val="center"/>
                </w:tcPr>
                <w:p w14:paraId="7F85D4D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附属构筑物</w:t>
                  </w:r>
                </w:p>
              </w:tc>
              <w:tc>
                <w:tcPr>
                  <w:tcW w:w="1450" w:type="pct"/>
                  <w:vAlign w:val="center"/>
                </w:tcPr>
                <w:p w14:paraId="4E31DB4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3822C54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338EF75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421" w:type="pct"/>
                  <w:vAlign w:val="center"/>
                </w:tcPr>
                <w:p w14:paraId="18109BE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608" w:type="pct"/>
                  <w:vAlign w:val="center"/>
                </w:tcPr>
                <w:p w14:paraId="024755C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13E30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1459E9C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2.1</w:t>
                  </w:r>
                </w:p>
              </w:tc>
              <w:tc>
                <w:tcPr>
                  <w:tcW w:w="990" w:type="pct"/>
                  <w:vAlign w:val="center"/>
                </w:tcPr>
                <w:p w14:paraId="0D5971F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检修阀井</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蝶阀）</w:t>
                  </w:r>
                </w:p>
              </w:tc>
              <w:tc>
                <w:tcPr>
                  <w:tcW w:w="1450" w:type="pct"/>
                  <w:vAlign w:val="center"/>
                </w:tcPr>
                <w:p w14:paraId="3FFF997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4000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4400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4500，主管管径DN1400</w:t>
                  </w:r>
                </w:p>
              </w:tc>
              <w:tc>
                <w:tcPr>
                  <w:tcW w:w="878" w:type="pct"/>
                  <w:vAlign w:val="center"/>
                </w:tcPr>
                <w:p w14:paraId="4EB05A4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钢筋混凝土</w:t>
                  </w:r>
                </w:p>
              </w:tc>
              <w:tc>
                <w:tcPr>
                  <w:tcW w:w="263" w:type="pct"/>
                  <w:vAlign w:val="center"/>
                </w:tcPr>
                <w:p w14:paraId="74EAD10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座</w:t>
                  </w:r>
                </w:p>
              </w:tc>
              <w:tc>
                <w:tcPr>
                  <w:tcW w:w="421" w:type="pct"/>
                  <w:vAlign w:val="center"/>
                </w:tcPr>
                <w:p w14:paraId="3368E70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w:t>
                  </w:r>
                </w:p>
              </w:tc>
              <w:tc>
                <w:tcPr>
                  <w:tcW w:w="608" w:type="pct"/>
                  <w:vAlign w:val="center"/>
                </w:tcPr>
                <w:p w14:paraId="0F4636A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2426B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7DC15C3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2.2</w:t>
                  </w:r>
                </w:p>
              </w:tc>
              <w:tc>
                <w:tcPr>
                  <w:tcW w:w="990" w:type="pct"/>
                  <w:vAlign w:val="center"/>
                </w:tcPr>
                <w:p w14:paraId="509B791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检修阀井</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蝶阀）</w:t>
                  </w:r>
                </w:p>
              </w:tc>
              <w:tc>
                <w:tcPr>
                  <w:tcW w:w="1450" w:type="pct"/>
                  <w:vAlign w:val="center"/>
                </w:tcPr>
                <w:p w14:paraId="0C1C167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2400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2100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4100，主管管径DN500</w:t>
                  </w:r>
                </w:p>
              </w:tc>
              <w:tc>
                <w:tcPr>
                  <w:tcW w:w="878" w:type="pct"/>
                  <w:vAlign w:val="center"/>
                </w:tcPr>
                <w:p w14:paraId="61CC163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钢筋混凝土</w:t>
                  </w:r>
                </w:p>
              </w:tc>
              <w:tc>
                <w:tcPr>
                  <w:tcW w:w="263" w:type="pct"/>
                  <w:vAlign w:val="center"/>
                </w:tcPr>
                <w:p w14:paraId="51E0E7F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座</w:t>
                  </w:r>
                </w:p>
              </w:tc>
              <w:tc>
                <w:tcPr>
                  <w:tcW w:w="421" w:type="pct"/>
                  <w:vAlign w:val="center"/>
                </w:tcPr>
                <w:p w14:paraId="4D0E969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w:t>
                  </w:r>
                </w:p>
              </w:tc>
              <w:tc>
                <w:tcPr>
                  <w:tcW w:w="608" w:type="pct"/>
                  <w:vAlign w:val="center"/>
                </w:tcPr>
                <w:p w14:paraId="5E9E54F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4DE76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4E4578D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2.3</w:t>
                  </w:r>
                </w:p>
              </w:tc>
              <w:tc>
                <w:tcPr>
                  <w:tcW w:w="990" w:type="pct"/>
                  <w:vAlign w:val="center"/>
                </w:tcPr>
                <w:p w14:paraId="20D09E9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检修阀井</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蝶阀）</w:t>
                  </w:r>
                </w:p>
              </w:tc>
              <w:tc>
                <w:tcPr>
                  <w:tcW w:w="1450" w:type="pct"/>
                  <w:vAlign w:val="center"/>
                </w:tcPr>
                <w:p w14:paraId="49925DD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1900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2400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1800，主管管径DN400</w:t>
                  </w:r>
                </w:p>
              </w:tc>
              <w:tc>
                <w:tcPr>
                  <w:tcW w:w="878" w:type="pct"/>
                  <w:vAlign w:val="center"/>
                </w:tcPr>
                <w:p w14:paraId="022A029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钢筋混凝土</w:t>
                  </w:r>
                </w:p>
              </w:tc>
              <w:tc>
                <w:tcPr>
                  <w:tcW w:w="263" w:type="pct"/>
                  <w:vAlign w:val="center"/>
                </w:tcPr>
                <w:p w14:paraId="676CC66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座</w:t>
                  </w:r>
                </w:p>
              </w:tc>
              <w:tc>
                <w:tcPr>
                  <w:tcW w:w="421" w:type="pct"/>
                  <w:vAlign w:val="center"/>
                </w:tcPr>
                <w:p w14:paraId="0664C7A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11</w:t>
                  </w:r>
                </w:p>
              </w:tc>
              <w:tc>
                <w:tcPr>
                  <w:tcW w:w="608" w:type="pct"/>
                  <w:vAlign w:val="center"/>
                </w:tcPr>
                <w:p w14:paraId="5E93423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3EF66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56011D9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2.4</w:t>
                  </w:r>
                </w:p>
              </w:tc>
              <w:tc>
                <w:tcPr>
                  <w:tcW w:w="990" w:type="pct"/>
                  <w:vAlign w:val="center"/>
                </w:tcPr>
                <w:p w14:paraId="54A62CE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排气补气阀井</w:t>
                  </w:r>
                </w:p>
              </w:tc>
              <w:tc>
                <w:tcPr>
                  <w:tcW w:w="1450" w:type="pct"/>
                  <w:vAlign w:val="center"/>
                </w:tcPr>
                <w:p w14:paraId="130DB2C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3600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3600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4500，主管管径DN1400</w:t>
                  </w:r>
                </w:p>
              </w:tc>
              <w:tc>
                <w:tcPr>
                  <w:tcW w:w="878" w:type="pct"/>
                  <w:vAlign w:val="center"/>
                </w:tcPr>
                <w:p w14:paraId="3F85B01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钢筋混凝土</w:t>
                  </w:r>
                </w:p>
              </w:tc>
              <w:tc>
                <w:tcPr>
                  <w:tcW w:w="263" w:type="pct"/>
                  <w:vAlign w:val="center"/>
                </w:tcPr>
                <w:p w14:paraId="2D6C5F2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座</w:t>
                  </w:r>
                </w:p>
              </w:tc>
              <w:tc>
                <w:tcPr>
                  <w:tcW w:w="421" w:type="pct"/>
                  <w:vAlign w:val="center"/>
                </w:tcPr>
                <w:p w14:paraId="0B3EECD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w:t>
                  </w:r>
                </w:p>
              </w:tc>
              <w:tc>
                <w:tcPr>
                  <w:tcW w:w="608" w:type="pct"/>
                  <w:vAlign w:val="center"/>
                </w:tcPr>
                <w:p w14:paraId="1A8D8AC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7EA45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B4EB1D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2.5</w:t>
                  </w:r>
                </w:p>
              </w:tc>
              <w:tc>
                <w:tcPr>
                  <w:tcW w:w="990" w:type="pct"/>
                  <w:vAlign w:val="center"/>
                </w:tcPr>
                <w:p w14:paraId="42AAED0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排气补气阀井</w:t>
                  </w:r>
                </w:p>
              </w:tc>
              <w:tc>
                <w:tcPr>
                  <w:tcW w:w="1450" w:type="pct"/>
                  <w:vAlign w:val="center"/>
                </w:tcPr>
                <w:p w14:paraId="049223D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1500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1500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2100，主管管径DN1400</w:t>
                  </w:r>
                </w:p>
              </w:tc>
              <w:tc>
                <w:tcPr>
                  <w:tcW w:w="878" w:type="pct"/>
                  <w:vAlign w:val="center"/>
                </w:tcPr>
                <w:p w14:paraId="170E765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钢筋混凝土</w:t>
                  </w:r>
                </w:p>
              </w:tc>
              <w:tc>
                <w:tcPr>
                  <w:tcW w:w="263" w:type="pct"/>
                  <w:vAlign w:val="center"/>
                </w:tcPr>
                <w:p w14:paraId="1FC9BC4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座</w:t>
                  </w:r>
                </w:p>
              </w:tc>
              <w:tc>
                <w:tcPr>
                  <w:tcW w:w="421" w:type="pct"/>
                  <w:vAlign w:val="center"/>
                </w:tcPr>
                <w:p w14:paraId="01C03AA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13</w:t>
                  </w:r>
                </w:p>
              </w:tc>
              <w:tc>
                <w:tcPr>
                  <w:tcW w:w="608" w:type="pct"/>
                  <w:vAlign w:val="center"/>
                </w:tcPr>
                <w:p w14:paraId="20C0CC3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37E2C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3017A2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2.6</w:t>
                  </w:r>
                </w:p>
              </w:tc>
              <w:tc>
                <w:tcPr>
                  <w:tcW w:w="990" w:type="pct"/>
                  <w:vAlign w:val="center"/>
                </w:tcPr>
                <w:p w14:paraId="4E07C20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泄水井</w:t>
                  </w:r>
                </w:p>
              </w:tc>
              <w:tc>
                <w:tcPr>
                  <w:tcW w:w="1450" w:type="pct"/>
                  <w:vAlign w:val="center"/>
                </w:tcPr>
                <w:p w14:paraId="73ED526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3900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3600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4500，主管管径DN1400</w:t>
                  </w:r>
                </w:p>
              </w:tc>
              <w:tc>
                <w:tcPr>
                  <w:tcW w:w="878" w:type="pct"/>
                  <w:vAlign w:val="center"/>
                </w:tcPr>
                <w:p w14:paraId="378E3F4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钢筋混凝土</w:t>
                  </w:r>
                </w:p>
              </w:tc>
              <w:tc>
                <w:tcPr>
                  <w:tcW w:w="263" w:type="pct"/>
                  <w:vAlign w:val="center"/>
                </w:tcPr>
                <w:p w14:paraId="7BA57A6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座</w:t>
                  </w:r>
                </w:p>
              </w:tc>
              <w:tc>
                <w:tcPr>
                  <w:tcW w:w="421" w:type="pct"/>
                  <w:vAlign w:val="center"/>
                </w:tcPr>
                <w:p w14:paraId="55B90D5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9</w:t>
                  </w:r>
                </w:p>
              </w:tc>
              <w:tc>
                <w:tcPr>
                  <w:tcW w:w="608" w:type="pct"/>
                  <w:vAlign w:val="center"/>
                </w:tcPr>
                <w:p w14:paraId="44011E1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33703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7DB7919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2.7</w:t>
                  </w:r>
                </w:p>
              </w:tc>
              <w:tc>
                <w:tcPr>
                  <w:tcW w:w="990" w:type="pct"/>
                  <w:vAlign w:val="center"/>
                </w:tcPr>
                <w:p w14:paraId="069E6BF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排泥湿井</w:t>
                  </w:r>
                </w:p>
              </w:tc>
              <w:tc>
                <w:tcPr>
                  <w:tcW w:w="1450" w:type="pct"/>
                  <w:vAlign w:val="center"/>
                </w:tcPr>
                <w:p w14:paraId="11F6B07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D1000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3000</w:t>
                  </w:r>
                </w:p>
              </w:tc>
              <w:tc>
                <w:tcPr>
                  <w:tcW w:w="878" w:type="pct"/>
                  <w:vAlign w:val="center"/>
                </w:tcPr>
                <w:p w14:paraId="42FAE95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砖砌</w:t>
                  </w:r>
                </w:p>
              </w:tc>
              <w:tc>
                <w:tcPr>
                  <w:tcW w:w="263" w:type="pct"/>
                  <w:vAlign w:val="center"/>
                </w:tcPr>
                <w:p w14:paraId="0393942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座</w:t>
                  </w:r>
                </w:p>
              </w:tc>
              <w:tc>
                <w:tcPr>
                  <w:tcW w:w="421" w:type="pct"/>
                  <w:vAlign w:val="center"/>
                </w:tcPr>
                <w:p w14:paraId="77A0091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9</w:t>
                  </w:r>
                </w:p>
              </w:tc>
              <w:tc>
                <w:tcPr>
                  <w:tcW w:w="608" w:type="pct"/>
                  <w:vAlign w:val="center"/>
                </w:tcPr>
                <w:p w14:paraId="723EAEF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19FA7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34EEFF3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2.8</w:t>
                  </w:r>
                </w:p>
              </w:tc>
              <w:tc>
                <w:tcPr>
                  <w:tcW w:w="990" w:type="pct"/>
                  <w:vAlign w:val="center"/>
                </w:tcPr>
                <w:p w14:paraId="6A67780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检修阀井</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消火栓闸阀）</w:t>
                  </w:r>
                </w:p>
              </w:tc>
              <w:tc>
                <w:tcPr>
                  <w:tcW w:w="1450" w:type="pct"/>
                  <w:vAlign w:val="center"/>
                </w:tcPr>
                <w:p w14:paraId="3769E16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D1200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2500</w:t>
                  </w:r>
                </w:p>
              </w:tc>
              <w:tc>
                <w:tcPr>
                  <w:tcW w:w="878" w:type="pct"/>
                  <w:vAlign w:val="center"/>
                </w:tcPr>
                <w:p w14:paraId="2D85792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钢筋混凝土</w:t>
                  </w:r>
                </w:p>
              </w:tc>
              <w:tc>
                <w:tcPr>
                  <w:tcW w:w="263" w:type="pct"/>
                  <w:vAlign w:val="center"/>
                </w:tcPr>
                <w:p w14:paraId="416A944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座</w:t>
                  </w:r>
                </w:p>
              </w:tc>
              <w:tc>
                <w:tcPr>
                  <w:tcW w:w="421" w:type="pct"/>
                  <w:vAlign w:val="center"/>
                </w:tcPr>
                <w:p w14:paraId="53ED344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23</w:t>
                  </w:r>
                </w:p>
              </w:tc>
              <w:tc>
                <w:tcPr>
                  <w:tcW w:w="608" w:type="pct"/>
                  <w:vAlign w:val="center"/>
                </w:tcPr>
                <w:p w14:paraId="72C7076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2D92A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4CAF1F0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三</w:t>
                  </w:r>
                </w:p>
              </w:tc>
              <w:tc>
                <w:tcPr>
                  <w:tcW w:w="990" w:type="pct"/>
                  <w:vAlign w:val="center"/>
                </w:tcPr>
                <w:p w14:paraId="4C4F7C5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附属配件</w:t>
                  </w:r>
                </w:p>
              </w:tc>
              <w:tc>
                <w:tcPr>
                  <w:tcW w:w="1450" w:type="pct"/>
                  <w:vAlign w:val="center"/>
                </w:tcPr>
                <w:p w14:paraId="7A6DF1C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7605F88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2CD570D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421" w:type="pct"/>
                  <w:vAlign w:val="center"/>
                </w:tcPr>
                <w:p w14:paraId="2D2ED93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608" w:type="pct"/>
                  <w:vAlign w:val="center"/>
                </w:tcPr>
                <w:p w14:paraId="76D489D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523D1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3477D54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3.1</w:t>
                  </w:r>
                </w:p>
              </w:tc>
              <w:tc>
                <w:tcPr>
                  <w:tcW w:w="990" w:type="pct"/>
                  <w:vAlign w:val="center"/>
                </w:tcPr>
                <w:p w14:paraId="448CEFB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手动蝶阀</w:t>
                  </w:r>
                </w:p>
              </w:tc>
              <w:tc>
                <w:tcPr>
                  <w:tcW w:w="1450" w:type="pct"/>
                  <w:vAlign w:val="center"/>
                </w:tcPr>
                <w:p w14:paraId="7ACBD12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DN1400，1.6MPa</w:t>
                  </w:r>
                </w:p>
              </w:tc>
              <w:tc>
                <w:tcPr>
                  <w:tcW w:w="878" w:type="pct"/>
                  <w:vAlign w:val="center"/>
                </w:tcPr>
                <w:p w14:paraId="19CB322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5CBD4F1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3B585EA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w:t>
                  </w:r>
                </w:p>
              </w:tc>
              <w:tc>
                <w:tcPr>
                  <w:tcW w:w="608" w:type="pct"/>
                  <w:vAlign w:val="center"/>
                </w:tcPr>
                <w:p w14:paraId="6D64BBA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2EE7C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1CFB5EB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3.2</w:t>
                  </w:r>
                </w:p>
              </w:tc>
              <w:tc>
                <w:tcPr>
                  <w:tcW w:w="990" w:type="pct"/>
                  <w:vAlign w:val="center"/>
                </w:tcPr>
                <w:p w14:paraId="3145C49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手动蝶阀</w:t>
                  </w:r>
                </w:p>
              </w:tc>
              <w:tc>
                <w:tcPr>
                  <w:tcW w:w="1450" w:type="pct"/>
                  <w:vAlign w:val="center"/>
                </w:tcPr>
                <w:p w14:paraId="799030B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DN500，1.6MPa</w:t>
                  </w:r>
                </w:p>
              </w:tc>
              <w:tc>
                <w:tcPr>
                  <w:tcW w:w="878" w:type="pct"/>
                  <w:vAlign w:val="center"/>
                </w:tcPr>
                <w:p w14:paraId="47F202C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41EB254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5A0D563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w:t>
                  </w:r>
                </w:p>
              </w:tc>
              <w:tc>
                <w:tcPr>
                  <w:tcW w:w="608" w:type="pct"/>
                  <w:vAlign w:val="center"/>
                </w:tcPr>
                <w:p w14:paraId="701A3B7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6A394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4BA6F15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3.3</w:t>
                  </w:r>
                </w:p>
              </w:tc>
              <w:tc>
                <w:tcPr>
                  <w:tcW w:w="990" w:type="pct"/>
                  <w:vAlign w:val="center"/>
                </w:tcPr>
                <w:p w14:paraId="1ECAF22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手动蝶阀</w:t>
                  </w:r>
                </w:p>
              </w:tc>
              <w:tc>
                <w:tcPr>
                  <w:tcW w:w="1450" w:type="pct"/>
                  <w:vAlign w:val="center"/>
                </w:tcPr>
                <w:p w14:paraId="0CF6D2C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DN400，1.6MPa</w:t>
                  </w:r>
                </w:p>
              </w:tc>
              <w:tc>
                <w:tcPr>
                  <w:tcW w:w="878" w:type="pct"/>
                  <w:vAlign w:val="center"/>
                </w:tcPr>
                <w:p w14:paraId="4E50BCC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221B436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6C64D2F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11</w:t>
                  </w:r>
                </w:p>
              </w:tc>
              <w:tc>
                <w:tcPr>
                  <w:tcW w:w="608" w:type="pct"/>
                  <w:vAlign w:val="center"/>
                </w:tcPr>
                <w:p w14:paraId="0A3786F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2E9B6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D2D12D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3.4</w:t>
                  </w:r>
                </w:p>
              </w:tc>
              <w:tc>
                <w:tcPr>
                  <w:tcW w:w="990" w:type="pct"/>
                  <w:vAlign w:val="center"/>
                </w:tcPr>
                <w:p w14:paraId="43B639D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手动闸阀</w:t>
                  </w:r>
                </w:p>
              </w:tc>
              <w:tc>
                <w:tcPr>
                  <w:tcW w:w="1450" w:type="pct"/>
                  <w:vAlign w:val="center"/>
                </w:tcPr>
                <w:p w14:paraId="1EE4808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DN200，1.6MPa</w:t>
                  </w:r>
                </w:p>
              </w:tc>
              <w:tc>
                <w:tcPr>
                  <w:tcW w:w="878" w:type="pct"/>
                  <w:vAlign w:val="center"/>
                </w:tcPr>
                <w:p w14:paraId="19B67B5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25FD896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6E685D6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23</w:t>
                  </w:r>
                </w:p>
              </w:tc>
              <w:tc>
                <w:tcPr>
                  <w:tcW w:w="608" w:type="pct"/>
                  <w:vAlign w:val="center"/>
                </w:tcPr>
                <w:p w14:paraId="33AAF27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7A1C3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69F1989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3.5</w:t>
                  </w:r>
                </w:p>
              </w:tc>
              <w:tc>
                <w:tcPr>
                  <w:tcW w:w="990" w:type="pct"/>
                  <w:vAlign w:val="center"/>
                </w:tcPr>
                <w:p w14:paraId="15F33C6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手动闸阀</w:t>
                  </w:r>
                </w:p>
              </w:tc>
              <w:tc>
                <w:tcPr>
                  <w:tcW w:w="1450" w:type="pct"/>
                  <w:vAlign w:val="center"/>
                </w:tcPr>
                <w:p w14:paraId="74A33C8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DN100，1.6MPa</w:t>
                  </w:r>
                </w:p>
              </w:tc>
              <w:tc>
                <w:tcPr>
                  <w:tcW w:w="878" w:type="pct"/>
                  <w:vAlign w:val="center"/>
                </w:tcPr>
                <w:p w14:paraId="244A21A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1813A1E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5639A3E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9</w:t>
                  </w:r>
                </w:p>
              </w:tc>
              <w:tc>
                <w:tcPr>
                  <w:tcW w:w="608" w:type="pct"/>
                  <w:vAlign w:val="center"/>
                </w:tcPr>
                <w:p w14:paraId="4E0C4D0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75A98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145ECDD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3.6</w:t>
                  </w:r>
                </w:p>
              </w:tc>
              <w:tc>
                <w:tcPr>
                  <w:tcW w:w="990" w:type="pct"/>
                  <w:vAlign w:val="center"/>
                </w:tcPr>
                <w:p w14:paraId="26B0D3B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手动闸阀</w:t>
                  </w:r>
                </w:p>
              </w:tc>
              <w:tc>
                <w:tcPr>
                  <w:tcW w:w="1450" w:type="pct"/>
                  <w:vAlign w:val="center"/>
                </w:tcPr>
                <w:p w14:paraId="0759E0F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DN80，1.6MPa</w:t>
                  </w:r>
                </w:p>
              </w:tc>
              <w:tc>
                <w:tcPr>
                  <w:tcW w:w="878" w:type="pct"/>
                  <w:vAlign w:val="center"/>
                </w:tcPr>
                <w:p w14:paraId="031EC71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655A24E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270537D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13</w:t>
                  </w:r>
                </w:p>
              </w:tc>
              <w:tc>
                <w:tcPr>
                  <w:tcW w:w="608" w:type="pct"/>
                  <w:vAlign w:val="center"/>
                </w:tcPr>
                <w:p w14:paraId="4C3090E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685A3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725E300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3.7</w:t>
                  </w:r>
                </w:p>
              </w:tc>
              <w:tc>
                <w:tcPr>
                  <w:tcW w:w="990" w:type="pct"/>
                  <w:vAlign w:val="center"/>
                </w:tcPr>
                <w:p w14:paraId="720CCD2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复核排气阀</w:t>
                  </w:r>
                </w:p>
              </w:tc>
              <w:tc>
                <w:tcPr>
                  <w:tcW w:w="1450" w:type="pct"/>
                  <w:vAlign w:val="center"/>
                </w:tcPr>
                <w:p w14:paraId="6C39A49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DN200，1.6MPa</w:t>
                  </w:r>
                </w:p>
              </w:tc>
              <w:tc>
                <w:tcPr>
                  <w:tcW w:w="878" w:type="pct"/>
                  <w:vAlign w:val="center"/>
                </w:tcPr>
                <w:p w14:paraId="08293D5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5461F13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5923DDB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14</w:t>
                  </w:r>
                </w:p>
              </w:tc>
              <w:tc>
                <w:tcPr>
                  <w:tcW w:w="608" w:type="pct"/>
                  <w:vAlign w:val="center"/>
                </w:tcPr>
                <w:p w14:paraId="6636D2C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7DF60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F9D905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3.8</w:t>
                  </w:r>
                </w:p>
              </w:tc>
              <w:tc>
                <w:tcPr>
                  <w:tcW w:w="990" w:type="pct"/>
                  <w:vAlign w:val="center"/>
                </w:tcPr>
                <w:p w14:paraId="6F7BD72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复核排气阀</w:t>
                  </w:r>
                </w:p>
              </w:tc>
              <w:tc>
                <w:tcPr>
                  <w:tcW w:w="1450" w:type="pct"/>
                  <w:vAlign w:val="center"/>
                </w:tcPr>
                <w:p w14:paraId="00CCEB6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DN80，1.6MPa</w:t>
                  </w:r>
                </w:p>
              </w:tc>
              <w:tc>
                <w:tcPr>
                  <w:tcW w:w="878" w:type="pct"/>
                  <w:vAlign w:val="center"/>
                </w:tcPr>
                <w:p w14:paraId="02EF36D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5C5DDCA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181F0FF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13</w:t>
                  </w:r>
                </w:p>
              </w:tc>
              <w:tc>
                <w:tcPr>
                  <w:tcW w:w="608" w:type="pct"/>
                  <w:vAlign w:val="center"/>
                </w:tcPr>
                <w:p w14:paraId="7A1F17E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312CF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56982BB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3.9</w:t>
                  </w:r>
                </w:p>
              </w:tc>
              <w:tc>
                <w:tcPr>
                  <w:tcW w:w="990" w:type="pct"/>
                  <w:vAlign w:val="center"/>
                </w:tcPr>
                <w:p w14:paraId="32CF532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排气三通</w:t>
                  </w:r>
                </w:p>
              </w:tc>
              <w:tc>
                <w:tcPr>
                  <w:tcW w:w="1450" w:type="pct"/>
                  <w:vAlign w:val="center"/>
                </w:tcPr>
                <w:p w14:paraId="34FEA5E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DN1400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DN200，1.6MPa</w:t>
                  </w:r>
                </w:p>
              </w:tc>
              <w:tc>
                <w:tcPr>
                  <w:tcW w:w="878" w:type="pct"/>
                  <w:vAlign w:val="center"/>
                </w:tcPr>
                <w:p w14:paraId="308CD30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5AE73F1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313353C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14</w:t>
                  </w:r>
                </w:p>
              </w:tc>
              <w:tc>
                <w:tcPr>
                  <w:tcW w:w="608" w:type="pct"/>
                  <w:vAlign w:val="center"/>
                </w:tcPr>
                <w:p w14:paraId="43A9F79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09D87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4FC976C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3.10</w:t>
                  </w:r>
                </w:p>
              </w:tc>
              <w:tc>
                <w:tcPr>
                  <w:tcW w:w="990" w:type="pct"/>
                  <w:vAlign w:val="center"/>
                </w:tcPr>
                <w:p w14:paraId="665599E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排气三通</w:t>
                  </w:r>
                </w:p>
              </w:tc>
              <w:tc>
                <w:tcPr>
                  <w:tcW w:w="1450" w:type="pct"/>
                  <w:vAlign w:val="center"/>
                </w:tcPr>
                <w:p w14:paraId="0078EE4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DN400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DN80，1.6MPa</w:t>
                  </w:r>
                </w:p>
              </w:tc>
              <w:tc>
                <w:tcPr>
                  <w:tcW w:w="878" w:type="pct"/>
                  <w:vAlign w:val="center"/>
                </w:tcPr>
                <w:p w14:paraId="71A745D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27E7D00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712DE5B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13</w:t>
                  </w:r>
                </w:p>
              </w:tc>
              <w:tc>
                <w:tcPr>
                  <w:tcW w:w="608" w:type="pct"/>
                  <w:vAlign w:val="center"/>
                </w:tcPr>
                <w:p w14:paraId="61FD28D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1BD90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5C58550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3.11</w:t>
                  </w:r>
                </w:p>
              </w:tc>
              <w:tc>
                <w:tcPr>
                  <w:tcW w:w="990" w:type="pct"/>
                  <w:vAlign w:val="center"/>
                </w:tcPr>
                <w:p w14:paraId="434C54D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排泥三通</w:t>
                  </w:r>
                </w:p>
              </w:tc>
              <w:tc>
                <w:tcPr>
                  <w:tcW w:w="1450" w:type="pct"/>
                  <w:vAlign w:val="center"/>
                </w:tcPr>
                <w:p w14:paraId="2CE63B1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DN1400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DN200，1.6MPa</w:t>
                  </w:r>
                </w:p>
              </w:tc>
              <w:tc>
                <w:tcPr>
                  <w:tcW w:w="878" w:type="pct"/>
                  <w:vAlign w:val="center"/>
                </w:tcPr>
                <w:p w14:paraId="49D9C89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60442C8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430B5D9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9</w:t>
                  </w:r>
                </w:p>
              </w:tc>
              <w:tc>
                <w:tcPr>
                  <w:tcW w:w="608" w:type="pct"/>
                  <w:vAlign w:val="center"/>
                </w:tcPr>
                <w:p w14:paraId="2C7CCE6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65A7F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19CDB2B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3.12</w:t>
                  </w:r>
                </w:p>
              </w:tc>
              <w:tc>
                <w:tcPr>
                  <w:tcW w:w="990" w:type="pct"/>
                  <w:vAlign w:val="center"/>
                </w:tcPr>
                <w:p w14:paraId="58B34A3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排泥三通</w:t>
                  </w:r>
                </w:p>
              </w:tc>
              <w:tc>
                <w:tcPr>
                  <w:tcW w:w="1450" w:type="pct"/>
                  <w:vAlign w:val="center"/>
                </w:tcPr>
                <w:p w14:paraId="1DC6BAD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DN400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DN100，1.6MPa</w:t>
                  </w:r>
                </w:p>
              </w:tc>
              <w:tc>
                <w:tcPr>
                  <w:tcW w:w="878" w:type="pct"/>
                  <w:vAlign w:val="center"/>
                </w:tcPr>
                <w:p w14:paraId="14DE18D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5E943EA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7741822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9</w:t>
                  </w:r>
                </w:p>
              </w:tc>
              <w:tc>
                <w:tcPr>
                  <w:tcW w:w="608" w:type="pct"/>
                  <w:vAlign w:val="center"/>
                </w:tcPr>
                <w:p w14:paraId="0B5869E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65CB7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36CB3C6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3.13</w:t>
                  </w:r>
                </w:p>
              </w:tc>
              <w:tc>
                <w:tcPr>
                  <w:tcW w:w="990" w:type="pct"/>
                  <w:vAlign w:val="center"/>
                </w:tcPr>
                <w:p w14:paraId="08E4751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伸缩接头</w:t>
                  </w:r>
                </w:p>
              </w:tc>
              <w:tc>
                <w:tcPr>
                  <w:tcW w:w="1450" w:type="pct"/>
                  <w:vAlign w:val="center"/>
                </w:tcPr>
                <w:p w14:paraId="1A4F782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DN1400，1.6MPa</w:t>
                  </w:r>
                </w:p>
              </w:tc>
              <w:tc>
                <w:tcPr>
                  <w:tcW w:w="878" w:type="pct"/>
                  <w:vAlign w:val="center"/>
                </w:tcPr>
                <w:p w14:paraId="56AA8E9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3E5DD87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681D6DC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w:t>
                  </w:r>
                </w:p>
              </w:tc>
              <w:tc>
                <w:tcPr>
                  <w:tcW w:w="608" w:type="pct"/>
                  <w:vAlign w:val="center"/>
                </w:tcPr>
                <w:p w14:paraId="7BE783D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45578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0957A4D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3.14</w:t>
                  </w:r>
                </w:p>
              </w:tc>
              <w:tc>
                <w:tcPr>
                  <w:tcW w:w="990" w:type="pct"/>
                  <w:vAlign w:val="center"/>
                </w:tcPr>
                <w:p w14:paraId="41AA7ED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伸缩接头</w:t>
                  </w:r>
                </w:p>
              </w:tc>
              <w:tc>
                <w:tcPr>
                  <w:tcW w:w="1450" w:type="pct"/>
                  <w:vAlign w:val="center"/>
                </w:tcPr>
                <w:p w14:paraId="46635AE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DN500，1.6MPa</w:t>
                  </w:r>
                </w:p>
              </w:tc>
              <w:tc>
                <w:tcPr>
                  <w:tcW w:w="878" w:type="pct"/>
                  <w:vAlign w:val="center"/>
                </w:tcPr>
                <w:p w14:paraId="54B6438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7CAD047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074859B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w:t>
                  </w:r>
                </w:p>
              </w:tc>
              <w:tc>
                <w:tcPr>
                  <w:tcW w:w="608" w:type="pct"/>
                  <w:vAlign w:val="center"/>
                </w:tcPr>
                <w:p w14:paraId="22AB520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598E1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00E999B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3.15</w:t>
                  </w:r>
                </w:p>
              </w:tc>
              <w:tc>
                <w:tcPr>
                  <w:tcW w:w="990" w:type="pct"/>
                  <w:vAlign w:val="center"/>
                </w:tcPr>
                <w:p w14:paraId="12E864C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伸缩接头</w:t>
                  </w:r>
                </w:p>
              </w:tc>
              <w:tc>
                <w:tcPr>
                  <w:tcW w:w="1450" w:type="pct"/>
                  <w:vAlign w:val="center"/>
                </w:tcPr>
                <w:p w14:paraId="09B032D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DN400，1.6MPa</w:t>
                  </w:r>
                </w:p>
              </w:tc>
              <w:tc>
                <w:tcPr>
                  <w:tcW w:w="878" w:type="pct"/>
                  <w:vAlign w:val="center"/>
                </w:tcPr>
                <w:p w14:paraId="4397642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4FB37E8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个</w:t>
                  </w:r>
                </w:p>
              </w:tc>
              <w:tc>
                <w:tcPr>
                  <w:tcW w:w="421" w:type="pct"/>
                  <w:vAlign w:val="center"/>
                </w:tcPr>
                <w:p w14:paraId="4BB0B5B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11</w:t>
                  </w:r>
                </w:p>
              </w:tc>
              <w:tc>
                <w:tcPr>
                  <w:tcW w:w="608" w:type="pct"/>
                  <w:vAlign w:val="center"/>
                </w:tcPr>
                <w:p w14:paraId="725DAC0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05588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F2B2B3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3.16</w:t>
                  </w:r>
                </w:p>
              </w:tc>
              <w:tc>
                <w:tcPr>
                  <w:tcW w:w="990" w:type="pct"/>
                  <w:vAlign w:val="center"/>
                </w:tcPr>
                <w:p w14:paraId="34DD259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室外地上式消火栓SS100/65-1.0</w:t>
                  </w:r>
                </w:p>
              </w:tc>
              <w:tc>
                <w:tcPr>
                  <w:tcW w:w="1450" w:type="pct"/>
                  <w:vAlign w:val="center"/>
                </w:tcPr>
                <w:p w14:paraId="5571AB2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DN100</w:t>
                  </w:r>
                </w:p>
              </w:tc>
              <w:tc>
                <w:tcPr>
                  <w:tcW w:w="878" w:type="pct"/>
                  <w:vAlign w:val="center"/>
                </w:tcPr>
                <w:p w14:paraId="355AA23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成品</w:t>
                  </w:r>
                </w:p>
              </w:tc>
              <w:tc>
                <w:tcPr>
                  <w:tcW w:w="263" w:type="pct"/>
                  <w:vAlign w:val="center"/>
                </w:tcPr>
                <w:p w14:paraId="08C8C93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套</w:t>
                  </w:r>
                </w:p>
              </w:tc>
              <w:tc>
                <w:tcPr>
                  <w:tcW w:w="421" w:type="pct"/>
                  <w:vAlign w:val="center"/>
                </w:tcPr>
                <w:p w14:paraId="5CFDEF1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23</w:t>
                  </w:r>
                </w:p>
              </w:tc>
              <w:tc>
                <w:tcPr>
                  <w:tcW w:w="608" w:type="pct"/>
                  <w:vAlign w:val="center"/>
                </w:tcPr>
                <w:p w14:paraId="405DEC2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446D8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6310DCD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四</w:t>
                  </w:r>
                </w:p>
              </w:tc>
              <w:tc>
                <w:tcPr>
                  <w:tcW w:w="990" w:type="pct"/>
                  <w:vAlign w:val="center"/>
                </w:tcPr>
                <w:p w14:paraId="7E09F60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土石方量</w:t>
                  </w:r>
                </w:p>
              </w:tc>
              <w:tc>
                <w:tcPr>
                  <w:tcW w:w="1450" w:type="pct"/>
                  <w:vAlign w:val="center"/>
                </w:tcPr>
                <w:p w14:paraId="3B8EA18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6C365C8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2F2F78A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421" w:type="pct"/>
                  <w:vAlign w:val="center"/>
                </w:tcPr>
                <w:p w14:paraId="7D4F7DD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608" w:type="pct"/>
                  <w:vAlign w:val="center"/>
                </w:tcPr>
                <w:p w14:paraId="0E4F5E7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06F79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D59EEE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4.1</w:t>
                  </w:r>
                </w:p>
              </w:tc>
              <w:tc>
                <w:tcPr>
                  <w:tcW w:w="990" w:type="pct"/>
                  <w:vAlign w:val="center"/>
                </w:tcPr>
                <w:p w14:paraId="78769E7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土方开挖</w:t>
                  </w:r>
                </w:p>
              </w:tc>
              <w:tc>
                <w:tcPr>
                  <w:tcW w:w="1450" w:type="pct"/>
                  <w:vAlign w:val="center"/>
                </w:tcPr>
                <w:p w14:paraId="183DADD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7DCC473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780A06E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m³</w:t>
                  </w:r>
                </w:p>
              </w:tc>
              <w:tc>
                <w:tcPr>
                  <w:tcW w:w="421" w:type="pct"/>
                  <w:vAlign w:val="center"/>
                </w:tcPr>
                <w:p w14:paraId="7369675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160216</w:t>
                  </w:r>
                </w:p>
              </w:tc>
              <w:tc>
                <w:tcPr>
                  <w:tcW w:w="608" w:type="pct"/>
                  <w:vAlign w:val="center"/>
                </w:tcPr>
                <w:p w14:paraId="1B71566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55F76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1A0BC52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4.2</w:t>
                  </w:r>
                </w:p>
              </w:tc>
              <w:tc>
                <w:tcPr>
                  <w:tcW w:w="990" w:type="pct"/>
                  <w:vAlign w:val="center"/>
                </w:tcPr>
                <w:p w14:paraId="3851A34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土方回填</w:t>
                  </w:r>
                </w:p>
              </w:tc>
              <w:tc>
                <w:tcPr>
                  <w:tcW w:w="1450" w:type="pct"/>
                  <w:vAlign w:val="center"/>
                </w:tcPr>
                <w:p w14:paraId="10DD598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4055665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69626E3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m³</w:t>
                  </w:r>
                </w:p>
              </w:tc>
              <w:tc>
                <w:tcPr>
                  <w:tcW w:w="421" w:type="pct"/>
                  <w:vAlign w:val="center"/>
                </w:tcPr>
                <w:p w14:paraId="2E70345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116369</w:t>
                  </w:r>
                </w:p>
              </w:tc>
              <w:tc>
                <w:tcPr>
                  <w:tcW w:w="608" w:type="pct"/>
                  <w:vAlign w:val="center"/>
                </w:tcPr>
                <w:p w14:paraId="734801C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5C041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59CE836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4.3</w:t>
                  </w:r>
                </w:p>
              </w:tc>
              <w:tc>
                <w:tcPr>
                  <w:tcW w:w="990" w:type="pct"/>
                  <w:vAlign w:val="center"/>
                </w:tcPr>
                <w:p w14:paraId="1F9A11A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中粗砂回填</w:t>
                  </w:r>
                </w:p>
              </w:tc>
              <w:tc>
                <w:tcPr>
                  <w:tcW w:w="1450" w:type="pct"/>
                  <w:vAlign w:val="center"/>
                </w:tcPr>
                <w:p w14:paraId="26BC71E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1DF8C00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38BD724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m³</w:t>
                  </w:r>
                </w:p>
              </w:tc>
              <w:tc>
                <w:tcPr>
                  <w:tcW w:w="421" w:type="pct"/>
                  <w:vAlign w:val="center"/>
                </w:tcPr>
                <w:p w14:paraId="3313F8D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43847</w:t>
                  </w:r>
                </w:p>
              </w:tc>
              <w:tc>
                <w:tcPr>
                  <w:tcW w:w="608" w:type="pct"/>
                  <w:vAlign w:val="center"/>
                </w:tcPr>
                <w:p w14:paraId="1C254E2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71375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5E549A0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五</w:t>
                  </w:r>
                </w:p>
              </w:tc>
              <w:tc>
                <w:tcPr>
                  <w:tcW w:w="990" w:type="pct"/>
                  <w:vAlign w:val="center"/>
                </w:tcPr>
                <w:p w14:paraId="31B2673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现状道路、绿化破坏及恢复</w:t>
                  </w:r>
                </w:p>
              </w:tc>
              <w:tc>
                <w:tcPr>
                  <w:tcW w:w="1450" w:type="pct"/>
                  <w:vAlign w:val="center"/>
                </w:tcPr>
                <w:p w14:paraId="05B9A09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09DF03B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6EFDC8D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421" w:type="pct"/>
                  <w:vAlign w:val="center"/>
                </w:tcPr>
                <w:p w14:paraId="21AD7C7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608" w:type="pct"/>
                  <w:vAlign w:val="center"/>
                </w:tcPr>
                <w:p w14:paraId="5200FCB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5A82D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125903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5.1</w:t>
                  </w:r>
                </w:p>
              </w:tc>
              <w:tc>
                <w:tcPr>
                  <w:tcW w:w="990" w:type="pct"/>
                  <w:vAlign w:val="center"/>
                </w:tcPr>
                <w:p w14:paraId="2686F64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混凝土路面破坏及修复</w:t>
                  </w:r>
                </w:p>
              </w:tc>
              <w:tc>
                <w:tcPr>
                  <w:tcW w:w="1450" w:type="pct"/>
                  <w:vAlign w:val="center"/>
                </w:tcPr>
                <w:p w14:paraId="5966DB0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671B7BF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58AC190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m3</w:t>
                  </w:r>
                </w:p>
              </w:tc>
              <w:tc>
                <w:tcPr>
                  <w:tcW w:w="421" w:type="pct"/>
                  <w:vAlign w:val="center"/>
                </w:tcPr>
                <w:p w14:paraId="500D515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430</w:t>
                  </w:r>
                </w:p>
              </w:tc>
              <w:tc>
                <w:tcPr>
                  <w:tcW w:w="608" w:type="pct"/>
                  <w:vAlign w:val="center"/>
                </w:tcPr>
                <w:p w14:paraId="432693B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3B398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5CBA918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5.1.1</w:t>
                  </w:r>
                </w:p>
              </w:tc>
              <w:tc>
                <w:tcPr>
                  <w:tcW w:w="990" w:type="pct"/>
                  <w:vAlign w:val="center"/>
                </w:tcPr>
                <w:p w14:paraId="4BE5DEF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C30水泥凝土</w:t>
                  </w:r>
                </w:p>
              </w:tc>
              <w:tc>
                <w:tcPr>
                  <w:tcW w:w="1450" w:type="pct"/>
                  <w:vAlign w:val="center"/>
                </w:tcPr>
                <w:p w14:paraId="33193CD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22cm厚，道路宽7.7m</w:t>
                  </w:r>
                </w:p>
              </w:tc>
              <w:tc>
                <w:tcPr>
                  <w:tcW w:w="878" w:type="pct"/>
                  <w:vAlign w:val="center"/>
                </w:tcPr>
                <w:p w14:paraId="7FB128E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49977FC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m2</w:t>
                  </w:r>
                </w:p>
              </w:tc>
              <w:tc>
                <w:tcPr>
                  <w:tcW w:w="421" w:type="pct"/>
                  <w:vAlign w:val="center"/>
                </w:tcPr>
                <w:p w14:paraId="2726401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588.4</w:t>
                  </w:r>
                </w:p>
              </w:tc>
              <w:tc>
                <w:tcPr>
                  <w:tcW w:w="608" w:type="pct"/>
                  <w:vAlign w:val="center"/>
                </w:tcPr>
                <w:p w14:paraId="1160EE4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24CCE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6E93495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5.1.2</w:t>
                  </w:r>
                </w:p>
              </w:tc>
              <w:tc>
                <w:tcPr>
                  <w:tcW w:w="990" w:type="pct"/>
                  <w:vAlign w:val="center"/>
                </w:tcPr>
                <w:p w14:paraId="3952BAD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5%水泥稳定碎石</w:t>
                  </w:r>
                </w:p>
              </w:tc>
              <w:tc>
                <w:tcPr>
                  <w:tcW w:w="1450" w:type="pct"/>
                  <w:vAlign w:val="center"/>
                </w:tcPr>
                <w:p w14:paraId="30AAE78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18cm厚</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道路宽7.7m</w:t>
                  </w:r>
                </w:p>
              </w:tc>
              <w:tc>
                <w:tcPr>
                  <w:tcW w:w="878" w:type="pct"/>
                  <w:vAlign w:val="center"/>
                </w:tcPr>
                <w:p w14:paraId="5796D53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505E408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m2</w:t>
                  </w:r>
                </w:p>
              </w:tc>
              <w:tc>
                <w:tcPr>
                  <w:tcW w:w="421" w:type="pct"/>
                  <w:vAlign w:val="center"/>
                </w:tcPr>
                <w:p w14:paraId="1AADBE2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588.4</w:t>
                  </w:r>
                </w:p>
              </w:tc>
              <w:tc>
                <w:tcPr>
                  <w:tcW w:w="608" w:type="pct"/>
                  <w:vAlign w:val="center"/>
                </w:tcPr>
                <w:p w14:paraId="1B5D218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3C4E0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3B49319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5.1.3</w:t>
                  </w:r>
                </w:p>
              </w:tc>
              <w:tc>
                <w:tcPr>
                  <w:tcW w:w="990" w:type="pct"/>
                  <w:vAlign w:val="center"/>
                </w:tcPr>
                <w:p w14:paraId="19CB934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4%水泥稳定碎石</w:t>
                  </w:r>
                </w:p>
              </w:tc>
              <w:tc>
                <w:tcPr>
                  <w:tcW w:w="1450" w:type="pct"/>
                  <w:vAlign w:val="center"/>
                </w:tcPr>
                <w:p w14:paraId="5B451A8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18cm厚</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道路宽7.7m</w:t>
                  </w:r>
                </w:p>
              </w:tc>
              <w:tc>
                <w:tcPr>
                  <w:tcW w:w="878" w:type="pct"/>
                  <w:vAlign w:val="center"/>
                </w:tcPr>
                <w:p w14:paraId="2FA578B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685F312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m2</w:t>
                  </w:r>
                </w:p>
              </w:tc>
              <w:tc>
                <w:tcPr>
                  <w:tcW w:w="421" w:type="pct"/>
                  <w:vAlign w:val="center"/>
                </w:tcPr>
                <w:p w14:paraId="227A23E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588.4</w:t>
                  </w:r>
                </w:p>
              </w:tc>
              <w:tc>
                <w:tcPr>
                  <w:tcW w:w="608" w:type="pct"/>
                  <w:vAlign w:val="center"/>
                </w:tcPr>
                <w:p w14:paraId="5FDCC5F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6BA16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3B972B8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5.1.4</w:t>
                  </w:r>
                </w:p>
              </w:tc>
              <w:tc>
                <w:tcPr>
                  <w:tcW w:w="990" w:type="pct"/>
                  <w:vAlign w:val="center"/>
                </w:tcPr>
                <w:p w14:paraId="7E72771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级配碎石</w:t>
                  </w:r>
                </w:p>
              </w:tc>
              <w:tc>
                <w:tcPr>
                  <w:tcW w:w="1450" w:type="pct"/>
                  <w:vAlign w:val="center"/>
                </w:tcPr>
                <w:p w14:paraId="1D9048B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15cm厚</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道路宽7.7m</w:t>
                  </w:r>
                </w:p>
              </w:tc>
              <w:tc>
                <w:tcPr>
                  <w:tcW w:w="878" w:type="pct"/>
                  <w:vAlign w:val="center"/>
                </w:tcPr>
                <w:p w14:paraId="5C145C8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5D06245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m2</w:t>
                  </w:r>
                </w:p>
              </w:tc>
              <w:tc>
                <w:tcPr>
                  <w:tcW w:w="421" w:type="pct"/>
                  <w:vAlign w:val="center"/>
                </w:tcPr>
                <w:p w14:paraId="65073B9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588.4</w:t>
                  </w:r>
                </w:p>
              </w:tc>
              <w:tc>
                <w:tcPr>
                  <w:tcW w:w="608" w:type="pct"/>
                  <w:vAlign w:val="center"/>
                </w:tcPr>
                <w:p w14:paraId="21AA42D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4B1D8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1BE2AA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5.2</w:t>
                  </w:r>
                </w:p>
              </w:tc>
              <w:tc>
                <w:tcPr>
                  <w:tcW w:w="990" w:type="pct"/>
                  <w:vAlign w:val="center"/>
                </w:tcPr>
                <w:p w14:paraId="52CC684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沥青路面拆除</w:t>
                  </w:r>
                </w:p>
              </w:tc>
              <w:tc>
                <w:tcPr>
                  <w:tcW w:w="1450" w:type="pct"/>
                  <w:vAlign w:val="center"/>
                </w:tcPr>
                <w:p w14:paraId="7A763A7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6BC4349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5980130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m3</w:t>
                  </w:r>
                </w:p>
              </w:tc>
              <w:tc>
                <w:tcPr>
                  <w:tcW w:w="421" w:type="pct"/>
                  <w:vAlign w:val="center"/>
                </w:tcPr>
                <w:p w14:paraId="797B432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262.4</w:t>
                  </w:r>
                </w:p>
              </w:tc>
              <w:tc>
                <w:tcPr>
                  <w:tcW w:w="608" w:type="pct"/>
                  <w:vAlign w:val="center"/>
                </w:tcPr>
                <w:p w14:paraId="2954E9F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68CA6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6331718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5.2.1</w:t>
                  </w:r>
                </w:p>
              </w:tc>
              <w:tc>
                <w:tcPr>
                  <w:tcW w:w="990" w:type="pct"/>
                  <w:vAlign w:val="center"/>
                </w:tcPr>
                <w:p w14:paraId="0F39EE9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细粒式改性沥青混凝土</w:t>
                  </w:r>
                </w:p>
              </w:tc>
              <w:tc>
                <w:tcPr>
                  <w:tcW w:w="1450" w:type="pct"/>
                  <w:vAlign w:val="center"/>
                </w:tcPr>
                <w:p w14:paraId="6AF6A33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4cm厚，道路宽7.7m</w:t>
                  </w:r>
                </w:p>
              </w:tc>
              <w:tc>
                <w:tcPr>
                  <w:tcW w:w="878" w:type="pct"/>
                  <w:vAlign w:val="center"/>
                </w:tcPr>
                <w:p w14:paraId="1D5C8CA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4EB63CC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m2</w:t>
                  </w:r>
                </w:p>
              </w:tc>
              <w:tc>
                <w:tcPr>
                  <w:tcW w:w="421" w:type="pct"/>
                  <w:vAlign w:val="center"/>
                </w:tcPr>
                <w:p w14:paraId="064CB6B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410</w:t>
                  </w:r>
                </w:p>
              </w:tc>
              <w:tc>
                <w:tcPr>
                  <w:tcW w:w="608" w:type="pct"/>
                  <w:vAlign w:val="center"/>
                </w:tcPr>
                <w:p w14:paraId="60779D7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48DD9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0F75838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5.2.2</w:t>
                  </w:r>
                </w:p>
              </w:tc>
              <w:tc>
                <w:tcPr>
                  <w:tcW w:w="990" w:type="pct"/>
                  <w:vAlign w:val="center"/>
                </w:tcPr>
                <w:p w14:paraId="185B6C8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中粒式沥青混凝土</w:t>
                  </w:r>
                </w:p>
              </w:tc>
              <w:tc>
                <w:tcPr>
                  <w:tcW w:w="1450" w:type="pct"/>
                  <w:vAlign w:val="center"/>
                </w:tcPr>
                <w:p w14:paraId="488A905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6m厚，道路宽7.7m</w:t>
                  </w:r>
                </w:p>
              </w:tc>
              <w:tc>
                <w:tcPr>
                  <w:tcW w:w="878" w:type="pct"/>
                  <w:vAlign w:val="center"/>
                </w:tcPr>
                <w:p w14:paraId="298CCFB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331DE35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m2</w:t>
                  </w:r>
                </w:p>
              </w:tc>
              <w:tc>
                <w:tcPr>
                  <w:tcW w:w="421" w:type="pct"/>
                  <w:vAlign w:val="center"/>
                </w:tcPr>
                <w:p w14:paraId="54B6D4A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410</w:t>
                  </w:r>
                </w:p>
              </w:tc>
              <w:tc>
                <w:tcPr>
                  <w:tcW w:w="608" w:type="pct"/>
                  <w:vAlign w:val="center"/>
                </w:tcPr>
                <w:p w14:paraId="2554009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1F87A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607400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5.2.3</w:t>
                  </w:r>
                </w:p>
              </w:tc>
              <w:tc>
                <w:tcPr>
                  <w:tcW w:w="990" w:type="pct"/>
                  <w:vAlign w:val="center"/>
                </w:tcPr>
                <w:p w14:paraId="1AEC590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5%水泥稳定碎石</w:t>
                  </w:r>
                </w:p>
              </w:tc>
              <w:tc>
                <w:tcPr>
                  <w:tcW w:w="1450" w:type="pct"/>
                  <w:vAlign w:val="center"/>
                </w:tcPr>
                <w:p w14:paraId="74E1A11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18cm厚</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道路宽7.7m</w:t>
                  </w:r>
                </w:p>
              </w:tc>
              <w:tc>
                <w:tcPr>
                  <w:tcW w:w="878" w:type="pct"/>
                  <w:vAlign w:val="center"/>
                </w:tcPr>
                <w:p w14:paraId="7527B0D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3B7D371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m2</w:t>
                  </w:r>
                </w:p>
              </w:tc>
              <w:tc>
                <w:tcPr>
                  <w:tcW w:w="421" w:type="pct"/>
                  <w:vAlign w:val="center"/>
                </w:tcPr>
                <w:p w14:paraId="68CE2FA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410</w:t>
                  </w:r>
                </w:p>
              </w:tc>
              <w:tc>
                <w:tcPr>
                  <w:tcW w:w="608" w:type="pct"/>
                  <w:vAlign w:val="center"/>
                </w:tcPr>
                <w:p w14:paraId="3603371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6128B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5315A66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5.2.4</w:t>
                  </w:r>
                </w:p>
              </w:tc>
              <w:tc>
                <w:tcPr>
                  <w:tcW w:w="990" w:type="pct"/>
                  <w:vAlign w:val="center"/>
                </w:tcPr>
                <w:p w14:paraId="4EF1D44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4%水泥稳定碎石</w:t>
                  </w:r>
                </w:p>
              </w:tc>
              <w:tc>
                <w:tcPr>
                  <w:tcW w:w="1450" w:type="pct"/>
                  <w:vAlign w:val="center"/>
                </w:tcPr>
                <w:p w14:paraId="3C0E2DF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18cm厚</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道路宽7.7m</w:t>
                  </w:r>
                </w:p>
              </w:tc>
              <w:tc>
                <w:tcPr>
                  <w:tcW w:w="878" w:type="pct"/>
                  <w:vAlign w:val="center"/>
                </w:tcPr>
                <w:p w14:paraId="5E25186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0B98B36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m2</w:t>
                  </w:r>
                </w:p>
              </w:tc>
              <w:tc>
                <w:tcPr>
                  <w:tcW w:w="421" w:type="pct"/>
                  <w:vAlign w:val="center"/>
                </w:tcPr>
                <w:p w14:paraId="60A5F16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410</w:t>
                  </w:r>
                </w:p>
              </w:tc>
              <w:tc>
                <w:tcPr>
                  <w:tcW w:w="608" w:type="pct"/>
                  <w:vAlign w:val="center"/>
                </w:tcPr>
                <w:p w14:paraId="07C7156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58153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5BF1DAD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5.2.5</w:t>
                  </w:r>
                </w:p>
              </w:tc>
              <w:tc>
                <w:tcPr>
                  <w:tcW w:w="990" w:type="pct"/>
                  <w:vAlign w:val="center"/>
                </w:tcPr>
                <w:p w14:paraId="34A6CD8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12%石灰稳定土</w:t>
                  </w:r>
                </w:p>
              </w:tc>
              <w:tc>
                <w:tcPr>
                  <w:tcW w:w="1450" w:type="pct"/>
                  <w:vAlign w:val="center"/>
                </w:tcPr>
                <w:p w14:paraId="5ABDD49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18cm厚</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道路宽7.7m</w:t>
                  </w:r>
                </w:p>
              </w:tc>
              <w:tc>
                <w:tcPr>
                  <w:tcW w:w="878" w:type="pct"/>
                  <w:vAlign w:val="center"/>
                </w:tcPr>
                <w:p w14:paraId="4281682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0005178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m2</w:t>
                  </w:r>
                </w:p>
              </w:tc>
              <w:tc>
                <w:tcPr>
                  <w:tcW w:w="421" w:type="pct"/>
                  <w:vAlign w:val="center"/>
                </w:tcPr>
                <w:p w14:paraId="13A80F1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410</w:t>
                  </w:r>
                </w:p>
              </w:tc>
              <w:tc>
                <w:tcPr>
                  <w:tcW w:w="608" w:type="pct"/>
                  <w:vAlign w:val="center"/>
                </w:tcPr>
                <w:p w14:paraId="721DE76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18D65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72C133D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六</w:t>
                  </w:r>
                </w:p>
              </w:tc>
              <w:tc>
                <w:tcPr>
                  <w:tcW w:w="990" w:type="pct"/>
                  <w:vAlign w:val="center"/>
                </w:tcPr>
                <w:p w14:paraId="40406A3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管道阴极保护</w:t>
                  </w:r>
                </w:p>
              </w:tc>
              <w:tc>
                <w:tcPr>
                  <w:tcW w:w="1450" w:type="pct"/>
                  <w:vAlign w:val="center"/>
                </w:tcPr>
                <w:p w14:paraId="34B4EC6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61CEBF2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0C74B2E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421" w:type="pct"/>
                  <w:vAlign w:val="center"/>
                </w:tcPr>
                <w:p w14:paraId="3CE3A3A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608" w:type="pct"/>
                  <w:vAlign w:val="center"/>
                </w:tcPr>
                <w:p w14:paraId="7E44767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3AB6C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4BB6C57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6.1</w:t>
                  </w:r>
                </w:p>
              </w:tc>
              <w:tc>
                <w:tcPr>
                  <w:tcW w:w="990" w:type="pct"/>
                  <w:vAlign w:val="center"/>
                </w:tcPr>
                <w:p w14:paraId="794D463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Z2PS-8棒状锌合金牺牲阳极</w:t>
                  </w:r>
                </w:p>
              </w:tc>
              <w:tc>
                <w:tcPr>
                  <w:tcW w:w="1450" w:type="pct"/>
                  <w:vAlign w:val="center"/>
                </w:tcPr>
                <w:p w14:paraId="3D0672B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600×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40+48）×45mm</w:t>
                  </w:r>
                </w:p>
              </w:tc>
              <w:tc>
                <w:tcPr>
                  <w:tcW w:w="878" w:type="pct"/>
                  <w:vAlign w:val="center"/>
                </w:tcPr>
                <w:p w14:paraId="7F4B4B7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1D5B774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支</w:t>
                  </w:r>
                </w:p>
              </w:tc>
              <w:tc>
                <w:tcPr>
                  <w:tcW w:w="421" w:type="pct"/>
                  <w:vAlign w:val="center"/>
                </w:tcPr>
                <w:p w14:paraId="1A6A675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652</w:t>
                  </w:r>
                </w:p>
              </w:tc>
              <w:tc>
                <w:tcPr>
                  <w:tcW w:w="608" w:type="pct"/>
                  <w:vAlign w:val="center"/>
                </w:tcPr>
                <w:p w14:paraId="272DDC4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5AB13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14C1E1B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6.2</w:t>
                  </w:r>
                </w:p>
              </w:tc>
              <w:tc>
                <w:tcPr>
                  <w:tcW w:w="990" w:type="pct"/>
                  <w:vAlign w:val="center"/>
                </w:tcPr>
                <w:p w14:paraId="480E152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专用填充料</w:t>
                  </w:r>
                </w:p>
              </w:tc>
              <w:tc>
                <w:tcPr>
                  <w:tcW w:w="1450" w:type="pct"/>
                  <w:vAlign w:val="center"/>
                </w:tcPr>
                <w:p w14:paraId="0CEBF2B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25公斤/包</w:t>
                  </w:r>
                </w:p>
              </w:tc>
              <w:tc>
                <w:tcPr>
                  <w:tcW w:w="878" w:type="pct"/>
                  <w:vAlign w:val="center"/>
                </w:tcPr>
                <w:p w14:paraId="28BF677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689FD63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包</w:t>
                  </w:r>
                </w:p>
              </w:tc>
              <w:tc>
                <w:tcPr>
                  <w:tcW w:w="421" w:type="pct"/>
                  <w:vAlign w:val="center"/>
                </w:tcPr>
                <w:p w14:paraId="1DA7B0A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652</w:t>
                  </w:r>
                </w:p>
              </w:tc>
              <w:tc>
                <w:tcPr>
                  <w:tcW w:w="608" w:type="pct"/>
                  <w:vAlign w:val="center"/>
                </w:tcPr>
                <w:p w14:paraId="3D1680A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43511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04D0223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6.3</w:t>
                  </w:r>
                </w:p>
              </w:tc>
              <w:tc>
                <w:tcPr>
                  <w:tcW w:w="990" w:type="pct"/>
                  <w:vAlign w:val="center"/>
                </w:tcPr>
                <w:p w14:paraId="024CC2E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阳极包</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白布袋）</w:t>
                  </w:r>
                </w:p>
              </w:tc>
              <w:tc>
                <w:tcPr>
                  <w:tcW w:w="1450" w:type="pct"/>
                  <w:vAlign w:val="center"/>
                </w:tcPr>
                <w:p w14:paraId="41CD567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Φ300×1200mm</w:t>
                  </w:r>
                </w:p>
              </w:tc>
              <w:tc>
                <w:tcPr>
                  <w:tcW w:w="878" w:type="pct"/>
                  <w:vAlign w:val="center"/>
                </w:tcPr>
                <w:p w14:paraId="1E5183B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0D7EDE6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条</w:t>
                  </w:r>
                </w:p>
              </w:tc>
              <w:tc>
                <w:tcPr>
                  <w:tcW w:w="421" w:type="pct"/>
                  <w:vAlign w:val="center"/>
                </w:tcPr>
                <w:p w14:paraId="6C98732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652</w:t>
                  </w:r>
                </w:p>
              </w:tc>
              <w:tc>
                <w:tcPr>
                  <w:tcW w:w="608" w:type="pct"/>
                  <w:vAlign w:val="center"/>
                </w:tcPr>
                <w:p w14:paraId="799D419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3D261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41E9C03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6.4</w:t>
                  </w:r>
                </w:p>
              </w:tc>
              <w:tc>
                <w:tcPr>
                  <w:tcW w:w="990" w:type="pct"/>
                  <w:vAlign w:val="center"/>
                </w:tcPr>
                <w:p w14:paraId="6A35CFA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测试桩</w:t>
                  </w:r>
                </w:p>
              </w:tc>
              <w:tc>
                <w:tcPr>
                  <w:tcW w:w="1450" w:type="pct"/>
                  <w:vAlign w:val="center"/>
                </w:tcPr>
                <w:p w14:paraId="2A2B115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φ108×4×2500mm</w:t>
                  </w:r>
                </w:p>
              </w:tc>
              <w:tc>
                <w:tcPr>
                  <w:tcW w:w="878" w:type="pct"/>
                  <w:vAlign w:val="center"/>
                </w:tcPr>
                <w:p w14:paraId="62CEEB8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2A9E88C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支</w:t>
                  </w:r>
                </w:p>
              </w:tc>
              <w:tc>
                <w:tcPr>
                  <w:tcW w:w="421" w:type="pct"/>
                  <w:vAlign w:val="center"/>
                </w:tcPr>
                <w:p w14:paraId="63A5992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12</w:t>
                  </w:r>
                </w:p>
              </w:tc>
              <w:tc>
                <w:tcPr>
                  <w:tcW w:w="608" w:type="pct"/>
                  <w:vAlign w:val="center"/>
                </w:tcPr>
                <w:p w14:paraId="042CE3D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5C4E0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5DF31C1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6.5</w:t>
                  </w:r>
                </w:p>
              </w:tc>
              <w:tc>
                <w:tcPr>
                  <w:tcW w:w="990" w:type="pct"/>
                  <w:vAlign w:val="center"/>
                </w:tcPr>
                <w:p w14:paraId="6C66C19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长效Cu/CuSO4参比电极</w:t>
                  </w:r>
                </w:p>
              </w:tc>
              <w:tc>
                <w:tcPr>
                  <w:tcW w:w="1450" w:type="pct"/>
                  <w:vAlign w:val="center"/>
                </w:tcPr>
                <w:p w14:paraId="1D9A4FC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Cu/CuSO4</w:t>
                  </w:r>
                </w:p>
              </w:tc>
              <w:tc>
                <w:tcPr>
                  <w:tcW w:w="878" w:type="pct"/>
                  <w:vAlign w:val="center"/>
                </w:tcPr>
                <w:p w14:paraId="285C606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624119B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套</w:t>
                  </w:r>
                </w:p>
              </w:tc>
              <w:tc>
                <w:tcPr>
                  <w:tcW w:w="421" w:type="pct"/>
                  <w:vAlign w:val="center"/>
                </w:tcPr>
                <w:p w14:paraId="2A5B159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12</w:t>
                  </w:r>
                </w:p>
              </w:tc>
              <w:tc>
                <w:tcPr>
                  <w:tcW w:w="608" w:type="pct"/>
                  <w:vAlign w:val="center"/>
                </w:tcPr>
                <w:p w14:paraId="18C0860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66C39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8553A6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6.6</w:t>
                  </w:r>
                </w:p>
              </w:tc>
              <w:tc>
                <w:tcPr>
                  <w:tcW w:w="990" w:type="pct"/>
                  <w:vAlign w:val="center"/>
                </w:tcPr>
                <w:p w14:paraId="48F0BE3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参比电极电缆</w:t>
                  </w:r>
                </w:p>
              </w:tc>
              <w:tc>
                <w:tcPr>
                  <w:tcW w:w="1450" w:type="pct"/>
                  <w:vAlign w:val="center"/>
                </w:tcPr>
                <w:p w14:paraId="5E96184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YJV-0.6/1KV/1×10</w:t>
                  </w:r>
                </w:p>
              </w:tc>
              <w:tc>
                <w:tcPr>
                  <w:tcW w:w="878" w:type="pct"/>
                  <w:vAlign w:val="center"/>
                </w:tcPr>
                <w:p w14:paraId="0FC1A06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7251A00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米</w:t>
                  </w:r>
                </w:p>
              </w:tc>
              <w:tc>
                <w:tcPr>
                  <w:tcW w:w="421" w:type="pct"/>
                  <w:vAlign w:val="center"/>
                </w:tcPr>
                <w:p w14:paraId="3C0CA21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117</w:t>
                  </w:r>
                </w:p>
              </w:tc>
              <w:tc>
                <w:tcPr>
                  <w:tcW w:w="608" w:type="pct"/>
                  <w:vAlign w:val="center"/>
                </w:tcPr>
                <w:p w14:paraId="4149C76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34116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8A2B8F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6.7</w:t>
                  </w:r>
                </w:p>
              </w:tc>
              <w:tc>
                <w:tcPr>
                  <w:tcW w:w="990" w:type="pct"/>
                  <w:vAlign w:val="center"/>
                </w:tcPr>
                <w:p w14:paraId="66280A7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阳极电缆</w:t>
                  </w:r>
                </w:p>
              </w:tc>
              <w:tc>
                <w:tcPr>
                  <w:tcW w:w="1450" w:type="pct"/>
                  <w:vAlign w:val="center"/>
                </w:tcPr>
                <w:p w14:paraId="27105F8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YJV-0.6/1KV/1×10</w:t>
                  </w:r>
                </w:p>
              </w:tc>
              <w:tc>
                <w:tcPr>
                  <w:tcW w:w="878" w:type="pct"/>
                  <w:vAlign w:val="center"/>
                </w:tcPr>
                <w:p w14:paraId="62F528C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3448A37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米</w:t>
                  </w:r>
                </w:p>
              </w:tc>
              <w:tc>
                <w:tcPr>
                  <w:tcW w:w="421" w:type="pct"/>
                  <w:vAlign w:val="center"/>
                </w:tcPr>
                <w:p w14:paraId="02C584E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1972</w:t>
                  </w:r>
                </w:p>
              </w:tc>
              <w:tc>
                <w:tcPr>
                  <w:tcW w:w="608" w:type="pct"/>
                  <w:vAlign w:val="center"/>
                </w:tcPr>
                <w:p w14:paraId="3E67839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1C020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3E69B9D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6.8</w:t>
                  </w:r>
                </w:p>
              </w:tc>
              <w:tc>
                <w:tcPr>
                  <w:tcW w:w="990" w:type="pct"/>
                  <w:vAlign w:val="center"/>
                </w:tcPr>
                <w:p w14:paraId="33300BA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测试电缆</w:t>
                  </w:r>
                </w:p>
              </w:tc>
              <w:tc>
                <w:tcPr>
                  <w:tcW w:w="1450" w:type="pct"/>
                  <w:vAlign w:val="center"/>
                </w:tcPr>
                <w:p w14:paraId="5B53417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YJV-0.6/1KV/1×10</w:t>
                  </w:r>
                </w:p>
              </w:tc>
              <w:tc>
                <w:tcPr>
                  <w:tcW w:w="878" w:type="pct"/>
                  <w:vAlign w:val="center"/>
                </w:tcPr>
                <w:p w14:paraId="28E4201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422E64A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米</w:t>
                  </w:r>
                </w:p>
              </w:tc>
              <w:tc>
                <w:tcPr>
                  <w:tcW w:w="421" w:type="pct"/>
                  <w:vAlign w:val="center"/>
                </w:tcPr>
                <w:p w14:paraId="12A7638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235</w:t>
                  </w:r>
                </w:p>
              </w:tc>
              <w:tc>
                <w:tcPr>
                  <w:tcW w:w="608" w:type="pct"/>
                  <w:vAlign w:val="center"/>
                </w:tcPr>
                <w:p w14:paraId="7D1226A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3C18E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49EC5D6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6.9</w:t>
                  </w:r>
                </w:p>
              </w:tc>
              <w:tc>
                <w:tcPr>
                  <w:tcW w:w="990" w:type="pct"/>
                  <w:vAlign w:val="center"/>
                </w:tcPr>
                <w:p w14:paraId="577ABB1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跨接电缆</w:t>
                  </w:r>
                </w:p>
              </w:tc>
              <w:tc>
                <w:tcPr>
                  <w:tcW w:w="1450" w:type="pct"/>
                  <w:vAlign w:val="center"/>
                </w:tcPr>
                <w:p w14:paraId="2F644B2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YJV-0.6/1KV/1×10</w:t>
                  </w:r>
                </w:p>
              </w:tc>
              <w:tc>
                <w:tcPr>
                  <w:tcW w:w="878" w:type="pct"/>
                  <w:vAlign w:val="center"/>
                </w:tcPr>
                <w:p w14:paraId="3DF4816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442EE6E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米</w:t>
                  </w:r>
                </w:p>
              </w:tc>
              <w:tc>
                <w:tcPr>
                  <w:tcW w:w="421" w:type="pct"/>
                  <w:vAlign w:val="center"/>
                </w:tcPr>
                <w:p w14:paraId="5EE8622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5870</w:t>
                  </w:r>
                </w:p>
              </w:tc>
              <w:tc>
                <w:tcPr>
                  <w:tcW w:w="608" w:type="pct"/>
                  <w:vAlign w:val="center"/>
                </w:tcPr>
                <w:p w14:paraId="2249C72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2791C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FFA4C2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七</w:t>
                  </w:r>
                </w:p>
              </w:tc>
              <w:tc>
                <w:tcPr>
                  <w:tcW w:w="990" w:type="pct"/>
                  <w:vAlign w:val="center"/>
                </w:tcPr>
                <w:p w14:paraId="36EF3F1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其他</w:t>
                  </w:r>
                </w:p>
              </w:tc>
              <w:tc>
                <w:tcPr>
                  <w:tcW w:w="1450" w:type="pct"/>
                  <w:vAlign w:val="center"/>
                </w:tcPr>
                <w:p w14:paraId="0C79644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0B66BE3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3845726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421" w:type="pct"/>
                  <w:vAlign w:val="center"/>
                </w:tcPr>
                <w:p w14:paraId="473F4FC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608" w:type="pct"/>
                  <w:vAlign w:val="center"/>
                </w:tcPr>
                <w:p w14:paraId="79A3FF6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0E020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46B2DD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7.1</w:t>
                  </w:r>
                </w:p>
              </w:tc>
              <w:tc>
                <w:tcPr>
                  <w:tcW w:w="990" w:type="pct"/>
                  <w:vAlign w:val="center"/>
                </w:tcPr>
                <w:p w14:paraId="0293C6D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管道支、镇墩</w:t>
                  </w:r>
                </w:p>
              </w:tc>
              <w:tc>
                <w:tcPr>
                  <w:tcW w:w="1450" w:type="pct"/>
                  <w:vAlign w:val="center"/>
                </w:tcPr>
                <w:p w14:paraId="7B30B58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003410E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C20混凝土</w:t>
                  </w:r>
                </w:p>
              </w:tc>
              <w:tc>
                <w:tcPr>
                  <w:tcW w:w="263" w:type="pct"/>
                  <w:vAlign w:val="center"/>
                </w:tcPr>
                <w:p w14:paraId="7FE7DE8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m³</w:t>
                  </w:r>
                </w:p>
              </w:tc>
              <w:tc>
                <w:tcPr>
                  <w:tcW w:w="421" w:type="pct"/>
                  <w:vAlign w:val="center"/>
                </w:tcPr>
                <w:p w14:paraId="0F30176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3979</w:t>
                  </w:r>
                </w:p>
              </w:tc>
              <w:tc>
                <w:tcPr>
                  <w:tcW w:w="608" w:type="pct"/>
                  <w:vAlign w:val="center"/>
                </w:tcPr>
                <w:p w14:paraId="0F58E8E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66815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157A304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八</w:t>
                  </w:r>
                </w:p>
              </w:tc>
              <w:tc>
                <w:tcPr>
                  <w:tcW w:w="990" w:type="pct"/>
                  <w:vAlign w:val="center"/>
                </w:tcPr>
                <w:p w14:paraId="375C83D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一体化加压泵站</w:t>
                  </w:r>
                </w:p>
              </w:tc>
              <w:tc>
                <w:tcPr>
                  <w:tcW w:w="1450" w:type="pct"/>
                  <w:vAlign w:val="center"/>
                </w:tcPr>
                <w:p w14:paraId="78B4095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878" w:type="pct"/>
                  <w:vAlign w:val="center"/>
                </w:tcPr>
                <w:p w14:paraId="60B50A2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494DEEB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421" w:type="pct"/>
                  <w:vAlign w:val="center"/>
                </w:tcPr>
                <w:p w14:paraId="58F1741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608" w:type="pct"/>
                  <w:vAlign w:val="center"/>
                </w:tcPr>
                <w:p w14:paraId="52C506E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3859C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8C6A01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8.1</w:t>
                  </w:r>
                </w:p>
              </w:tc>
              <w:tc>
                <w:tcPr>
                  <w:tcW w:w="990" w:type="pct"/>
                  <w:vAlign w:val="center"/>
                </w:tcPr>
                <w:p w14:paraId="0945B65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一体化加压泵站</w:t>
                  </w:r>
                </w:p>
              </w:tc>
              <w:tc>
                <w:tcPr>
                  <w:tcW w:w="1450" w:type="pct"/>
                  <w:vAlign w:val="center"/>
                </w:tcPr>
                <w:p w14:paraId="76A80EA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离心泵，变频Q=160m3/h，H=117m，N=90kW3台，2用1备</w:t>
                  </w:r>
                </w:p>
              </w:tc>
              <w:tc>
                <w:tcPr>
                  <w:tcW w:w="878" w:type="pct"/>
                  <w:vAlign w:val="center"/>
                </w:tcPr>
                <w:p w14:paraId="4F88456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7C94A42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座</w:t>
                  </w:r>
                </w:p>
              </w:tc>
              <w:tc>
                <w:tcPr>
                  <w:tcW w:w="421" w:type="pct"/>
                  <w:vAlign w:val="center"/>
                </w:tcPr>
                <w:p w14:paraId="6F2FBA6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w:t>
                  </w:r>
                </w:p>
              </w:tc>
              <w:tc>
                <w:tcPr>
                  <w:tcW w:w="608" w:type="pct"/>
                  <w:vAlign w:val="center"/>
                </w:tcPr>
                <w:p w14:paraId="2B4B2D8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r w14:paraId="2A794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3366F5B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8.2</w:t>
                  </w:r>
                </w:p>
              </w:tc>
              <w:tc>
                <w:tcPr>
                  <w:tcW w:w="990" w:type="pct"/>
                  <w:vAlign w:val="center"/>
                </w:tcPr>
                <w:p w14:paraId="179B1B0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10kV市政电源接入</w:t>
                  </w:r>
                </w:p>
              </w:tc>
              <w:tc>
                <w:tcPr>
                  <w:tcW w:w="1450" w:type="pct"/>
                  <w:vAlign w:val="center"/>
                </w:tcPr>
                <w:p w14:paraId="2709EAB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架空线</w:t>
                  </w:r>
                </w:p>
              </w:tc>
              <w:tc>
                <w:tcPr>
                  <w:tcW w:w="878" w:type="pct"/>
                  <w:vAlign w:val="center"/>
                </w:tcPr>
                <w:p w14:paraId="0979023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536B335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w:t>
                  </w:r>
                </w:p>
              </w:tc>
              <w:tc>
                <w:tcPr>
                  <w:tcW w:w="421" w:type="pct"/>
                  <w:vAlign w:val="center"/>
                </w:tcPr>
                <w:p w14:paraId="619EF20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500</w:t>
                  </w:r>
                </w:p>
              </w:tc>
              <w:tc>
                <w:tcPr>
                  <w:tcW w:w="608" w:type="pct"/>
                  <w:vAlign w:val="center"/>
                </w:tcPr>
                <w:p w14:paraId="445B47A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10kV进线</w:t>
                  </w:r>
                </w:p>
              </w:tc>
            </w:tr>
            <w:tr w14:paraId="25816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CEF1F9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8.3</w:t>
                  </w:r>
                </w:p>
              </w:tc>
              <w:tc>
                <w:tcPr>
                  <w:tcW w:w="990" w:type="pct"/>
                  <w:vAlign w:val="center"/>
                </w:tcPr>
                <w:p w14:paraId="4DA6056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市政光缆接入</w:t>
                  </w:r>
                </w:p>
              </w:tc>
              <w:tc>
                <w:tcPr>
                  <w:tcW w:w="1450" w:type="pct"/>
                  <w:vAlign w:val="center"/>
                </w:tcPr>
                <w:p w14:paraId="46D67F5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单模铠装四芯光缆</w:t>
                  </w:r>
                </w:p>
              </w:tc>
              <w:tc>
                <w:tcPr>
                  <w:tcW w:w="878" w:type="pct"/>
                  <w:vAlign w:val="center"/>
                </w:tcPr>
                <w:p w14:paraId="1085E2E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3DBE7CA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w:t>
                  </w:r>
                </w:p>
              </w:tc>
              <w:tc>
                <w:tcPr>
                  <w:tcW w:w="421" w:type="pct"/>
                  <w:vAlign w:val="center"/>
                </w:tcPr>
                <w:p w14:paraId="764E6E8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500</w:t>
                  </w:r>
                </w:p>
              </w:tc>
              <w:tc>
                <w:tcPr>
                  <w:tcW w:w="608" w:type="pct"/>
                  <w:vAlign w:val="center"/>
                </w:tcPr>
                <w:p w14:paraId="71E2D6F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安防监控数据上传</w:t>
                  </w:r>
                </w:p>
              </w:tc>
            </w:tr>
            <w:tr w14:paraId="06F7A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46CC0B9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8.4</w:t>
                  </w:r>
                </w:p>
              </w:tc>
              <w:tc>
                <w:tcPr>
                  <w:tcW w:w="990" w:type="pct"/>
                  <w:vAlign w:val="center"/>
                </w:tcPr>
                <w:p w14:paraId="454BC6D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10kV箱式变电站</w:t>
                  </w:r>
                </w:p>
              </w:tc>
              <w:tc>
                <w:tcPr>
                  <w:tcW w:w="1450" w:type="pct"/>
                  <w:vAlign w:val="center"/>
                </w:tcPr>
                <w:p w14:paraId="01F776C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SCB14-10/0.4kV250kVA，变压器能效等级高于3级</w:t>
                  </w:r>
                </w:p>
              </w:tc>
              <w:tc>
                <w:tcPr>
                  <w:tcW w:w="878" w:type="pct"/>
                  <w:vAlign w:val="center"/>
                </w:tcPr>
                <w:p w14:paraId="7FC2419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174B964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套</w:t>
                  </w:r>
                </w:p>
              </w:tc>
              <w:tc>
                <w:tcPr>
                  <w:tcW w:w="421" w:type="pct"/>
                  <w:vAlign w:val="center"/>
                </w:tcPr>
                <w:p w14:paraId="2D008BF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w:t>
                  </w:r>
                </w:p>
              </w:tc>
              <w:tc>
                <w:tcPr>
                  <w:tcW w:w="608" w:type="pct"/>
                  <w:vAlign w:val="center"/>
                </w:tcPr>
                <w:p w14:paraId="3E25615C">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包括基础、高压开关设备、低压开关柜设备、250kVA变压器、连接部件</w:t>
                  </w:r>
                </w:p>
              </w:tc>
            </w:tr>
            <w:tr w14:paraId="1F27C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21E09AC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8.5</w:t>
                  </w:r>
                </w:p>
              </w:tc>
              <w:tc>
                <w:tcPr>
                  <w:tcW w:w="990" w:type="pct"/>
                  <w:vAlign w:val="center"/>
                </w:tcPr>
                <w:p w14:paraId="15FBDA4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低压电缆</w:t>
                  </w:r>
                </w:p>
              </w:tc>
              <w:tc>
                <w:tcPr>
                  <w:tcW w:w="1450" w:type="pct"/>
                  <w:vAlign w:val="center"/>
                </w:tcPr>
                <w:p w14:paraId="1923B9D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YJV-0.6/1kV-4×150+1×70</w:t>
                  </w:r>
                </w:p>
              </w:tc>
              <w:tc>
                <w:tcPr>
                  <w:tcW w:w="878" w:type="pct"/>
                  <w:vAlign w:val="center"/>
                </w:tcPr>
                <w:p w14:paraId="04B4C32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55F3C75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w:t>
                  </w:r>
                </w:p>
              </w:tc>
              <w:tc>
                <w:tcPr>
                  <w:tcW w:w="421" w:type="pct"/>
                  <w:vAlign w:val="center"/>
                </w:tcPr>
                <w:p w14:paraId="7E9EDD9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100</w:t>
                  </w:r>
                </w:p>
              </w:tc>
              <w:tc>
                <w:tcPr>
                  <w:tcW w:w="608" w:type="pct"/>
                  <w:vAlign w:val="center"/>
                </w:tcPr>
                <w:p w14:paraId="7F644EC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控制柜进线电缆</w:t>
                  </w:r>
                </w:p>
              </w:tc>
            </w:tr>
            <w:tr w14:paraId="49C35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1F40492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8.6</w:t>
                  </w:r>
                </w:p>
              </w:tc>
              <w:tc>
                <w:tcPr>
                  <w:tcW w:w="990" w:type="pct"/>
                  <w:vAlign w:val="center"/>
                </w:tcPr>
                <w:p w14:paraId="5A3BC33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不锈钢扁钢</w:t>
                  </w:r>
                </w:p>
              </w:tc>
              <w:tc>
                <w:tcPr>
                  <w:tcW w:w="1450" w:type="pct"/>
                  <w:vAlign w:val="center"/>
                </w:tcPr>
                <w:p w14:paraId="335507C1">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50</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5</w:t>
                  </w:r>
                </w:p>
              </w:tc>
              <w:tc>
                <w:tcPr>
                  <w:tcW w:w="878" w:type="pct"/>
                  <w:vAlign w:val="center"/>
                </w:tcPr>
                <w:p w14:paraId="0EE4341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3EFA47C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w:t>
                  </w:r>
                </w:p>
              </w:tc>
              <w:tc>
                <w:tcPr>
                  <w:tcW w:w="421" w:type="pct"/>
                  <w:vAlign w:val="center"/>
                </w:tcPr>
                <w:p w14:paraId="275FD01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200</w:t>
                  </w:r>
                </w:p>
              </w:tc>
              <w:tc>
                <w:tcPr>
                  <w:tcW w:w="608" w:type="pct"/>
                  <w:vAlign w:val="center"/>
                </w:tcPr>
                <w:p w14:paraId="0AC0551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箱变接地材料</w:t>
                  </w:r>
                </w:p>
              </w:tc>
            </w:tr>
            <w:tr w14:paraId="1169B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18FE586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8.7</w:t>
                  </w:r>
                </w:p>
              </w:tc>
              <w:tc>
                <w:tcPr>
                  <w:tcW w:w="990" w:type="pct"/>
                  <w:vAlign w:val="center"/>
                </w:tcPr>
                <w:p w14:paraId="5669519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不锈钢扁钢</w:t>
                  </w:r>
                </w:p>
              </w:tc>
              <w:tc>
                <w:tcPr>
                  <w:tcW w:w="1450" w:type="pct"/>
                  <w:vAlign w:val="center"/>
                </w:tcPr>
                <w:p w14:paraId="1A140637">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∠50×5</w:t>
                  </w:r>
                  <w:r>
                    <w:rPr>
                      <w:rFonts w:hint="eastAsia" w:ascii="Times New Roman" w:hAnsi="Times New Roman" w:cs="Times New Roman"/>
                      <w:b w:val="0"/>
                      <w:bCs w:val="0"/>
                      <w:spacing w:val="0"/>
                      <w:sz w:val="21"/>
                      <w:szCs w:val="21"/>
                      <w:lang w:eastAsia="zh-CN"/>
                    </w:rPr>
                    <w:t>，</w:t>
                  </w:r>
                  <w:r>
                    <w:rPr>
                      <w:rFonts w:hint="default" w:ascii="Times New Roman" w:hAnsi="Times New Roman" w:cs="Times New Roman"/>
                      <w:b w:val="0"/>
                      <w:bCs w:val="0"/>
                      <w:spacing w:val="0"/>
                      <w:sz w:val="21"/>
                      <w:szCs w:val="21"/>
                    </w:rPr>
                    <w:t>L=2500mm</w:t>
                  </w:r>
                </w:p>
              </w:tc>
              <w:tc>
                <w:tcPr>
                  <w:tcW w:w="878" w:type="pct"/>
                  <w:vAlign w:val="center"/>
                </w:tcPr>
                <w:p w14:paraId="2474A18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4F9E26EF">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根</w:t>
                  </w:r>
                </w:p>
              </w:tc>
              <w:tc>
                <w:tcPr>
                  <w:tcW w:w="421" w:type="pct"/>
                  <w:vAlign w:val="center"/>
                </w:tcPr>
                <w:p w14:paraId="692E7AD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6</w:t>
                  </w:r>
                </w:p>
              </w:tc>
              <w:tc>
                <w:tcPr>
                  <w:tcW w:w="608" w:type="pct"/>
                  <w:vAlign w:val="center"/>
                </w:tcPr>
                <w:p w14:paraId="24906BF0">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箱变接地极</w:t>
                  </w:r>
                </w:p>
              </w:tc>
            </w:tr>
            <w:tr w14:paraId="48CA1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17D72D79">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8.8</w:t>
                  </w:r>
                </w:p>
              </w:tc>
              <w:tc>
                <w:tcPr>
                  <w:tcW w:w="990" w:type="pct"/>
                  <w:vAlign w:val="center"/>
                </w:tcPr>
                <w:p w14:paraId="2D31DCCE">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镀锌钢管</w:t>
                  </w:r>
                </w:p>
              </w:tc>
              <w:tc>
                <w:tcPr>
                  <w:tcW w:w="1450" w:type="pct"/>
                  <w:vAlign w:val="center"/>
                </w:tcPr>
                <w:p w14:paraId="52F579E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SC100</w:t>
                  </w:r>
                </w:p>
              </w:tc>
              <w:tc>
                <w:tcPr>
                  <w:tcW w:w="878" w:type="pct"/>
                  <w:vAlign w:val="center"/>
                </w:tcPr>
                <w:p w14:paraId="5D944C74">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69C9DA48">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m</w:t>
                  </w:r>
                </w:p>
              </w:tc>
              <w:tc>
                <w:tcPr>
                  <w:tcW w:w="421" w:type="pct"/>
                  <w:vAlign w:val="center"/>
                </w:tcPr>
                <w:p w14:paraId="4D6266B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100</w:t>
                  </w:r>
                </w:p>
              </w:tc>
              <w:tc>
                <w:tcPr>
                  <w:tcW w:w="608" w:type="pct"/>
                  <w:vAlign w:val="center"/>
                </w:tcPr>
                <w:p w14:paraId="313E4666">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箱变至控制柜穿管</w:t>
                  </w:r>
                </w:p>
              </w:tc>
            </w:tr>
            <w:tr w14:paraId="1CED6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86" w:type="pct"/>
                  <w:vAlign w:val="center"/>
                </w:tcPr>
                <w:p w14:paraId="4D49ECDB">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8.9</w:t>
                  </w:r>
                </w:p>
              </w:tc>
              <w:tc>
                <w:tcPr>
                  <w:tcW w:w="990" w:type="pct"/>
                  <w:vAlign w:val="center"/>
                </w:tcPr>
                <w:p w14:paraId="2FA70B4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户外箱式柴油发电机</w:t>
                  </w:r>
                </w:p>
              </w:tc>
              <w:tc>
                <w:tcPr>
                  <w:tcW w:w="1450" w:type="pct"/>
                  <w:vAlign w:val="center"/>
                </w:tcPr>
                <w:p w14:paraId="1B38BE72">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250kVA</w:t>
                  </w:r>
                </w:p>
              </w:tc>
              <w:tc>
                <w:tcPr>
                  <w:tcW w:w="878" w:type="pct"/>
                  <w:vAlign w:val="center"/>
                </w:tcPr>
                <w:p w14:paraId="3E3D9843">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c>
                <w:tcPr>
                  <w:tcW w:w="263" w:type="pct"/>
                  <w:vAlign w:val="center"/>
                </w:tcPr>
                <w:p w14:paraId="69B6BD5A">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台</w:t>
                  </w:r>
                </w:p>
              </w:tc>
              <w:tc>
                <w:tcPr>
                  <w:tcW w:w="421" w:type="pct"/>
                  <w:vAlign w:val="center"/>
                </w:tcPr>
                <w:p w14:paraId="149537D5">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r>
                    <w:rPr>
                      <w:rFonts w:hint="default" w:ascii="Times New Roman" w:hAnsi="Times New Roman" w:cs="Times New Roman"/>
                      <w:b w:val="0"/>
                      <w:bCs w:val="0"/>
                      <w:spacing w:val="0"/>
                      <w:sz w:val="21"/>
                      <w:szCs w:val="21"/>
                    </w:rPr>
                    <w:t>1</w:t>
                  </w:r>
                </w:p>
              </w:tc>
              <w:tc>
                <w:tcPr>
                  <w:tcW w:w="608" w:type="pct"/>
                  <w:vAlign w:val="center"/>
                </w:tcPr>
                <w:p w14:paraId="0AFC5A1D">
                  <w:pPr>
                    <w:pStyle w:val="6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b w:val="0"/>
                      <w:bCs w:val="0"/>
                      <w:spacing w:val="0"/>
                      <w:sz w:val="21"/>
                      <w:szCs w:val="21"/>
                    </w:rPr>
                  </w:pPr>
                </w:p>
              </w:tc>
            </w:tr>
          </w:tbl>
          <w:p w14:paraId="09ABE0C6">
            <w:pPr>
              <w:keepNext w:val="0"/>
              <w:keepLines w:val="0"/>
              <w:pageBreakBefore w:val="0"/>
              <w:widowControl w:val="0"/>
              <w:numPr>
                <w:ilvl w:val="0"/>
                <w:numId w:val="0"/>
              </w:numPr>
              <w:kinsoku/>
              <w:wordWrap/>
              <w:overflowPunct/>
              <w:topLinePunct w:val="0"/>
              <w:autoSpaceDE/>
              <w:autoSpaceDN/>
              <w:bidi w:val="0"/>
              <w:adjustRightInd w:val="0"/>
              <w:snapToGrid w:val="0"/>
              <w:spacing w:before="313" w:beforeLines="100" w:line="360" w:lineRule="auto"/>
              <w:jc w:val="both"/>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5、工程管理运营</w:t>
            </w:r>
          </w:p>
          <w:p w14:paraId="0A7DBBE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bCs/>
                <w:color w:val="0000FF"/>
                <w:sz w:val="24"/>
                <w:szCs w:val="24"/>
                <w:lang w:val="en-US" w:eastAsia="zh-CN"/>
              </w:rPr>
            </w:pPr>
            <w:r>
              <w:rPr>
                <w:rFonts w:hint="eastAsia" w:ascii="Times New Roman" w:hAnsi="Times New Roman" w:eastAsia="宋体" w:cs="Times New Roman"/>
                <w:b w:val="0"/>
                <w:bCs w:val="0"/>
                <w:color w:val="auto"/>
                <w:sz w:val="24"/>
                <w:szCs w:val="24"/>
                <w:highlight w:val="none"/>
                <w:lang w:val="en-US" w:eastAsia="zh-CN"/>
              </w:rPr>
              <w:t>项目建成、运行后，现场及沿线不设置专门人员及管理部门，运行过程所需人员由水务部门下属管理公司临时借调。</w:t>
            </w:r>
          </w:p>
        </w:tc>
      </w:tr>
      <w:tr w14:paraId="76542A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3" w:type="pct"/>
            <w:noWrap w:val="0"/>
            <w:vAlign w:val="center"/>
          </w:tcPr>
          <w:p w14:paraId="5FA06E42">
            <w:pPr>
              <w:adjustRightInd w:val="0"/>
              <w:snapToGrid w:val="0"/>
              <w:jc w:val="center"/>
              <w:rPr>
                <w:rFonts w:hint="default" w:ascii="Times New Roman" w:hAnsi="Times New Roman" w:cs="Times New Roman"/>
                <w:b/>
                <w:bCs/>
                <w:color w:val="0000FF"/>
                <w:kern w:val="0"/>
                <w:sz w:val="24"/>
                <w:szCs w:val="24"/>
              </w:rPr>
            </w:pPr>
            <w:r>
              <w:rPr>
                <w:rFonts w:hint="default" w:ascii="Times New Roman" w:hAnsi="Times New Roman" w:cs="Times New Roman"/>
                <w:b/>
                <w:bCs/>
                <w:color w:val="auto"/>
                <w:kern w:val="0"/>
                <w:sz w:val="24"/>
                <w:szCs w:val="24"/>
              </w:rPr>
              <w:t>总平面及现场布置</w:t>
            </w:r>
          </w:p>
        </w:tc>
        <w:tc>
          <w:tcPr>
            <w:tcW w:w="4576" w:type="pct"/>
            <w:noWrap w:val="0"/>
            <w:vAlign w:val="center"/>
          </w:tcPr>
          <w:p w14:paraId="62DCA776">
            <w:pPr>
              <w:numPr>
                <w:ilvl w:val="0"/>
                <w:numId w:val="0"/>
              </w:numPr>
              <w:spacing w:line="360" w:lineRule="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一、总平面布置</w:t>
            </w:r>
          </w:p>
          <w:p w14:paraId="0A4A9FA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根据工程实施方案，</w:t>
            </w:r>
            <w:r>
              <w:rPr>
                <w:rFonts w:hint="default" w:ascii="Times New Roman" w:hAnsi="Times New Roman" w:eastAsia="宋体" w:cs="Times New Roman"/>
                <w:b w:val="0"/>
                <w:bCs w:val="0"/>
                <w:color w:val="auto"/>
                <w:sz w:val="24"/>
                <w:szCs w:val="24"/>
                <w:highlight w:val="none"/>
                <w:lang w:val="en-US" w:eastAsia="zh-CN"/>
              </w:rPr>
              <w:t>项目主要建设内容分为</w:t>
            </w:r>
            <w:r>
              <w:rPr>
                <w:rFonts w:hint="eastAsia" w:ascii="Times New Roman" w:hAnsi="Times New Roman" w:eastAsia="宋体" w:cs="Times New Roman"/>
                <w:b w:val="0"/>
                <w:bCs w:val="0"/>
                <w:color w:val="auto"/>
                <w:sz w:val="24"/>
                <w:szCs w:val="24"/>
                <w:highlight w:val="none"/>
                <w:lang w:val="en-US" w:eastAsia="zh-CN"/>
              </w:rPr>
              <w:t>3部分。</w:t>
            </w:r>
          </w:p>
          <w:p w14:paraId="6E98D52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1）DN1400输水管道：</w:t>
            </w:r>
            <w:r>
              <w:rPr>
                <w:rFonts w:hint="eastAsia" w:ascii="Times New Roman" w:hAnsi="Times New Roman" w:eastAsia="宋体" w:cs="Times New Roman"/>
                <w:b w:val="0"/>
                <w:bCs w:val="0"/>
                <w:color w:val="auto"/>
                <w:sz w:val="24"/>
                <w:szCs w:val="24"/>
                <w:highlight w:val="none"/>
                <w:lang w:val="en-US" w:eastAsia="zh-CN"/>
              </w:rPr>
              <w:t>该段输水管道</w:t>
            </w:r>
            <w:r>
              <w:rPr>
                <w:rFonts w:hint="default" w:ascii="Times New Roman" w:hAnsi="Times New Roman" w:eastAsia="宋体" w:cs="Times New Roman"/>
                <w:b w:val="0"/>
                <w:bCs w:val="0"/>
                <w:color w:val="auto"/>
                <w:sz w:val="24"/>
                <w:szCs w:val="24"/>
                <w:highlight w:val="none"/>
                <w:lang w:val="en-US" w:eastAsia="zh-CN"/>
              </w:rPr>
              <w:t>与现状车木河引水管线三期DN1400管道相连通，新建管道长度 11.74km</w:t>
            </w:r>
            <w:r>
              <w:rPr>
                <w:rFonts w:hint="eastAsia" w:ascii="Times New Roman" w:hAnsi="Times New Roman" w:eastAsia="宋体" w:cs="Times New Roman"/>
                <w:b w:val="0"/>
                <w:bCs w:val="0"/>
                <w:color w:val="auto"/>
                <w:sz w:val="24"/>
                <w:szCs w:val="24"/>
                <w:highlight w:val="none"/>
                <w:lang w:val="en-US" w:eastAsia="zh-CN"/>
              </w:rPr>
              <w:t>，配套建设检修阀（井）、排气阀（井）、</w:t>
            </w:r>
            <w:r>
              <w:rPr>
                <w:rFonts w:hint="default" w:ascii="Times New Roman" w:hAnsi="Times New Roman" w:eastAsia="宋体" w:cs="Times New Roman"/>
                <w:b w:val="0"/>
                <w:bCs w:val="0"/>
                <w:color w:val="auto"/>
                <w:sz w:val="24"/>
                <w:szCs w:val="24"/>
                <w:highlight w:val="none"/>
                <w:lang w:val="en-US" w:eastAsia="zh-CN"/>
              </w:rPr>
              <w:t>排泥阀</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井）及其他管道附属设施</w:t>
            </w:r>
            <w:r>
              <w:rPr>
                <w:rFonts w:hint="eastAsia" w:ascii="Times New Roman" w:hAnsi="Times New Roman" w:eastAsia="宋体" w:cs="Times New Roman"/>
                <w:b w:val="0"/>
                <w:bCs w:val="0"/>
                <w:color w:val="auto"/>
                <w:sz w:val="24"/>
                <w:szCs w:val="24"/>
                <w:highlight w:val="none"/>
                <w:lang w:val="en-US" w:eastAsia="zh-CN"/>
              </w:rPr>
              <w:t>。该部分建设内容分为2段：</w:t>
            </w:r>
          </w:p>
          <w:p w14:paraId="50652C9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1）第一段从贺家营现有的DN1400 管的闸门室前开口连接，途经八街河、魏家营公路、魏石公路、枧东公路，终点与前所村现有的DN1400 管连接，总长4942m；</w:t>
            </w:r>
          </w:p>
          <w:p w14:paraId="06E5132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2）第二段从鸣矣河西侧现有的DN1400 管的闸门室前开口连接，途经安八线、甸东村、县小公路、新民村，终点与新民村现有的DN1400 管连接，总长 6803m；</w:t>
            </w:r>
          </w:p>
          <w:p w14:paraId="0B9E362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2）DN1400输水管道：从月子庄水库坝下西侧现有的DN400 管的闸门室前开口连接，途经安白线、白小公路、上元良村公路，终点连接县街水厂；外 PE 内环氧涂塑 Q235B 焊接钢管，壁厚 6mm，总长 6595m；</w:t>
            </w:r>
          </w:p>
          <w:p w14:paraId="10C7A0B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sz w:val="24"/>
                <w:szCs w:val="24"/>
                <w:highlight w:val="none"/>
                <w:lang w:val="en-US" w:eastAsia="zh-CN"/>
              </w:rPr>
              <w:t>新建1座一体化加压泵站，外形 8m×6m×3.1m；吸水水箱有效容积 80m³</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泵站规模320m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lang w:val="en-US" w:eastAsia="zh-CN"/>
              </w:rPr>
              <w:t>/h，扬程117m</w:t>
            </w:r>
            <w:r>
              <w:rPr>
                <w:rFonts w:hint="eastAsia" w:ascii="Times New Roman" w:hAnsi="Times New Roman" w:eastAsia="宋体" w:cs="Times New Roman"/>
                <w:b w:val="0"/>
                <w:bCs w:val="0"/>
                <w:color w:val="auto"/>
                <w:sz w:val="24"/>
                <w:szCs w:val="24"/>
                <w:highlight w:val="none"/>
                <w:lang w:val="en-US" w:eastAsia="zh-CN"/>
              </w:rPr>
              <w:t>。泵站内设置</w:t>
            </w:r>
            <w:r>
              <w:rPr>
                <w:rFonts w:hint="default" w:ascii="Times New Roman" w:hAnsi="Times New Roman" w:eastAsia="宋体" w:cs="Times New Roman"/>
                <w:b w:val="0"/>
                <w:bCs w:val="0"/>
                <w:color w:val="auto"/>
                <w:sz w:val="24"/>
                <w:szCs w:val="24"/>
                <w:highlight w:val="none"/>
                <w:lang w:val="en-US" w:eastAsia="zh-CN"/>
              </w:rPr>
              <w:t>离心泵 3 台</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 用 1 备），单台流量 160m³/h，扬程 117m，功率 90kW，变频控制，总供水规模 320m³/h</w:t>
            </w:r>
            <w:r>
              <w:rPr>
                <w:rFonts w:hint="eastAsia" w:ascii="Times New Roman" w:hAnsi="Times New Roman" w:eastAsia="宋体" w:cs="Times New Roman"/>
                <w:b w:val="0"/>
                <w:bCs w:val="0"/>
                <w:color w:val="auto"/>
                <w:sz w:val="24"/>
                <w:szCs w:val="24"/>
                <w:highlight w:val="none"/>
                <w:lang w:val="en-US" w:eastAsia="zh-CN"/>
              </w:rPr>
              <w:t>。</w:t>
            </w:r>
          </w:p>
          <w:p w14:paraId="412F81FB">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施工现场布置情况</w:t>
            </w:r>
          </w:p>
          <w:p w14:paraId="0881768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该工程为管线施工工程，沿途均为村庄，且施工影响范围小，因此不考虑在现场设施工营地</w:t>
            </w:r>
            <w:r>
              <w:rPr>
                <w:rFonts w:hint="default"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施工工人多为附近村民，或外地工人租用周边居民用房；</w:t>
            </w:r>
            <w:r>
              <w:rPr>
                <w:rFonts w:hint="default" w:ascii="Times New Roman" w:hAnsi="Times New Roman" w:cs="Times New Roman"/>
                <w:color w:val="auto"/>
                <w:sz w:val="24"/>
                <w:szCs w:val="24"/>
              </w:rPr>
              <w:t>管道工程施工场地均布置在工程建设临时用地范围内。</w:t>
            </w:r>
            <w:r>
              <w:rPr>
                <w:rFonts w:hint="default" w:ascii="Times New Roman" w:hAnsi="Times New Roman" w:cs="Times New Roman"/>
                <w:color w:val="auto"/>
                <w:sz w:val="24"/>
                <w:szCs w:val="24"/>
                <w:lang w:val="en-US" w:eastAsia="zh-CN"/>
              </w:rPr>
              <w:t>所用材料等按需运进、使用、安装。</w:t>
            </w:r>
          </w:p>
          <w:p w14:paraId="273DBB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1）取土、料场：安宁市近郊石料丰富。砂石料、回填土全部外购，项目不设砂石料场、取土场。</w:t>
            </w:r>
          </w:p>
          <w:p w14:paraId="3691D0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2）</w:t>
            </w:r>
            <w:r>
              <w:rPr>
                <w:rFonts w:hint="eastAsia" w:cs="Times New Roman"/>
                <w:b w:val="0"/>
                <w:bCs w:val="0"/>
                <w:color w:val="auto"/>
                <w:sz w:val="24"/>
                <w:szCs w:val="24"/>
                <w:lang w:val="en-US" w:eastAsia="zh-CN"/>
              </w:rPr>
              <w:t>拌和站</w:t>
            </w:r>
            <w:r>
              <w:rPr>
                <w:rFonts w:hint="default" w:ascii="Times New Roman" w:hAnsi="Times New Roman" w:eastAsia="宋体" w:cs="Times New Roman"/>
                <w:b w:val="0"/>
                <w:bCs w:val="0"/>
                <w:color w:val="auto"/>
                <w:sz w:val="24"/>
                <w:szCs w:val="24"/>
                <w:lang w:val="en-US" w:eastAsia="zh-CN"/>
              </w:rPr>
              <w:t>：根据建设方提供资料，项目在建设过程中，</w:t>
            </w:r>
            <w:r>
              <w:rPr>
                <w:rFonts w:hint="eastAsia" w:ascii="Times New Roman" w:hAnsi="Times New Roman" w:eastAsia="宋体" w:cs="Times New Roman"/>
                <w:b w:val="0"/>
                <w:bCs w:val="0"/>
                <w:color w:val="auto"/>
                <w:sz w:val="24"/>
                <w:szCs w:val="24"/>
                <w:lang w:val="en-US" w:eastAsia="zh-CN"/>
              </w:rPr>
              <w:t>管线工程穿越路面施工后需对损坏的路面等进行修复、复原。</w:t>
            </w:r>
            <w:r>
              <w:rPr>
                <w:rFonts w:hint="default" w:ascii="Times New Roman" w:hAnsi="Times New Roman" w:eastAsia="宋体" w:cs="Times New Roman"/>
                <w:b w:val="0"/>
                <w:bCs w:val="0"/>
                <w:color w:val="auto"/>
                <w:sz w:val="24"/>
                <w:szCs w:val="24"/>
                <w:lang w:val="en-US" w:eastAsia="zh-CN"/>
              </w:rPr>
              <w:t>路面铺设时需要的沥青及沥青混凝土亦使用商品沥青及商品沥青混凝土，项目区不设</w:t>
            </w:r>
            <w:r>
              <w:rPr>
                <w:rFonts w:hint="eastAsia" w:cs="Times New Roman"/>
                <w:b w:val="0"/>
                <w:bCs w:val="0"/>
                <w:color w:val="auto"/>
                <w:sz w:val="24"/>
                <w:szCs w:val="24"/>
                <w:lang w:val="en-US" w:eastAsia="zh-CN"/>
              </w:rPr>
              <w:t>拌和站</w:t>
            </w:r>
            <w:r>
              <w:rPr>
                <w:rFonts w:hint="default" w:ascii="Times New Roman" w:hAnsi="Times New Roman" w:eastAsia="宋体" w:cs="Times New Roman"/>
                <w:b w:val="0"/>
                <w:bCs w:val="0"/>
                <w:color w:val="auto"/>
                <w:sz w:val="24"/>
                <w:szCs w:val="24"/>
                <w:lang w:val="en-US" w:eastAsia="zh-CN"/>
              </w:rPr>
              <w:t>。</w:t>
            </w:r>
          </w:p>
          <w:p w14:paraId="5EBC31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3）施工营场地：项目施工工人均自行租借房屋，不在项目区设置施工营场地。</w:t>
            </w:r>
          </w:p>
          <w:p w14:paraId="717D74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4）施工便道：利用现状道路，施工材料可直接运至施工现场，项目不再另行占地新开辟施工便道。</w:t>
            </w:r>
          </w:p>
          <w:p w14:paraId="3F59ECC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5）临时堆场：道路施工开挖产生表土及时清运至周边的合法弃渣场，项目区不设置临时表土堆场。</w:t>
            </w:r>
          </w:p>
          <w:p w14:paraId="2D6CB43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6）弃渣场：</w:t>
            </w:r>
            <w:r>
              <w:rPr>
                <w:rFonts w:hint="eastAsia" w:ascii="Times New Roman" w:hAnsi="Times New Roman" w:eastAsia="宋体" w:cs="Times New Roman"/>
                <w:b w:val="0"/>
                <w:bCs w:val="0"/>
                <w:color w:val="auto"/>
                <w:sz w:val="24"/>
                <w:szCs w:val="24"/>
                <w:lang w:val="en-US" w:eastAsia="zh-CN"/>
              </w:rPr>
              <w:t>管线</w:t>
            </w:r>
            <w:r>
              <w:rPr>
                <w:rFonts w:hint="default" w:ascii="Times New Roman" w:hAnsi="Times New Roman" w:eastAsia="宋体" w:cs="Times New Roman"/>
                <w:b w:val="0"/>
                <w:bCs w:val="0"/>
                <w:color w:val="auto"/>
                <w:sz w:val="24"/>
                <w:szCs w:val="24"/>
                <w:lang w:val="en-US" w:eastAsia="zh-CN"/>
              </w:rPr>
              <w:t>施工开挖土石方委托有资质单位清运至合法的弃渣场处置，项目不设置弃渣场。</w:t>
            </w:r>
          </w:p>
          <w:p w14:paraId="7D6148B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7）供水：项目区不设施工营地，施工现场临时用水由附近供水管道的接水点装表接入。</w:t>
            </w:r>
          </w:p>
          <w:p w14:paraId="077B88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FF"/>
                <w:sz w:val="24"/>
                <w:szCs w:val="24"/>
                <w:highlight w:val="none"/>
                <w:lang w:val="en-US" w:eastAsia="zh-CN"/>
              </w:rPr>
            </w:pP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8）供电：系统由当地供电部门区域变电站就近提供10kV电源并环网供电，进入照明专用箱式变电站该电源应能保证箱变100％负荷正常运行；并采用环网供电。</w:t>
            </w:r>
          </w:p>
        </w:tc>
      </w:tr>
      <w:tr w14:paraId="405629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3" w:type="pct"/>
            <w:noWrap w:val="0"/>
            <w:vAlign w:val="center"/>
          </w:tcPr>
          <w:p w14:paraId="1EEE3123">
            <w:pPr>
              <w:adjustRightInd w:val="0"/>
              <w:snapToGrid w:val="0"/>
              <w:jc w:val="center"/>
              <w:rPr>
                <w:rFonts w:hint="default" w:ascii="Times New Roman" w:hAnsi="Times New Roman" w:cs="Times New Roman"/>
                <w:b/>
                <w:bCs/>
                <w:color w:val="0000FF"/>
                <w:kern w:val="0"/>
                <w:sz w:val="24"/>
                <w:szCs w:val="24"/>
              </w:rPr>
            </w:pPr>
            <w:r>
              <w:rPr>
                <w:rFonts w:hint="default" w:ascii="Times New Roman" w:hAnsi="Times New Roman" w:cs="Times New Roman"/>
                <w:b/>
                <w:bCs/>
                <w:color w:val="auto"/>
                <w:kern w:val="0"/>
                <w:sz w:val="24"/>
                <w:szCs w:val="24"/>
              </w:rPr>
              <w:t>施工方案</w:t>
            </w:r>
          </w:p>
        </w:tc>
        <w:tc>
          <w:tcPr>
            <w:tcW w:w="4576" w:type="pct"/>
            <w:noWrap w:val="0"/>
            <w:vAlign w:val="center"/>
          </w:tcPr>
          <w:p w14:paraId="7223FAB8">
            <w:pPr>
              <w:numPr>
                <w:ilvl w:val="0"/>
                <w:numId w:val="0"/>
              </w:numPr>
              <w:spacing w:line="360" w:lineRule="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一、施工工艺</w:t>
            </w:r>
          </w:p>
          <w:p w14:paraId="0EACB475">
            <w:pPr>
              <w:numPr>
                <w:ilvl w:val="0"/>
                <w:numId w:val="0"/>
              </w:numPr>
              <w:spacing w:line="360" w:lineRule="auto"/>
              <w:ind w:leftChars="0"/>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1</w:t>
            </w:r>
            <w:r>
              <w:rPr>
                <w:rFonts w:hint="default" w:ascii="Times New Roman" w:hAnsi="Times New Roman" w:cs="Times New Roman"/>
                <w:b/>
                <w:bCs/>
                <w:color w:val="auto"/>
                <w:sz w:val="24"/>
                <w:szCs w:val="24"/>
                <w:lang w:val="en-US" w:eastAsia="zh-CN"/>
              </w:rPr>
              <w:t>、引水</w:t>
            </w:r>
            <w:r>
              <w:rPr>
                <w:rFonts w:hint="eastAsia" w:cs="Times New Roman"/>
                <w:b/>
                <w:bCs/>
                <w:color w:val="auto"/>
                <w:sz w:val="24"/>
                <w:szCs w:val="24"/>
                <w:lang w:val="en-US" w:eastAsia="zh-CN"/>
              </w:rPr>
              <w:t>管线工程</w:t>
            </w:r>
          </w:p>
          <w:p w14:paraId="5EABF76D">
            <w:pPr>
              <w:numPr>
                <w:ilvl w:val="0"/>
                <w:numId w:val="0"/>
              </w:numPr>
              <w:spacing w:line="360" w:lineRule="auto"/>
              <w:ind w:leftChars="0" w:firstLine="480" w:firstLineChars="200"/>
              <w:rPr>
                <w:rFonts w:hint="default" w:ascii="Times New Roman" w:hAnsi="Times New Roman" w:cs="Times New Roman"/>
                <w:b/>
                <w:color w:val="auto"/>
                <w:szCs w:val="21"/>
                <w:highlight w:val="none"/>
              </w:rPr>
            </w:pPr>
            <w:r>
              <w:rPr>
                <w:rFonts w:hint="default" w:ascii="Times New Roman" w:hAnsi="Times New Roman" w:eastAsia="宋体" w:cs="Times New Roman"/>
                <w:b w:val="0"/>
                <w:bCs w:val="0"/>
                <w:color w:val="auto"/>
                <w:sz w:val="24"/>
                <w:szCs w:val="24"/>
                <w:lang w:val="en-US" w:eastAsia="zh-CN"/>
              </w:rPr>
              <w:t>项目管线工程施</w:t>
            </w:r>
            <w:r>
              <w:rPr>
                <w:rFonts w:hint="default" w:ascii="Times New Roman" w:hAnsi="Times New Roman" w:eastAsia="宋体" w:cs="Times New Roman"/>
                <w:b w:val="0"/>
                <w:bCs w:val="0"/>
                <w:color w:val="auto"/>
                <w:sz w:val="24"/>
                <w:szCs w:val="24"/>
                <w:highlight w:val="none"/>
                <w:lang w:val="en-US" w:eastAsia="zh-CN"/>
              </w:rPr>
              <w:t>工工艺见图2-</w:t>
            </w:r>
            <w:r>
              <w:rPr>
                <w:rFonts w:hint="eastAsia"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en-US" w:eastAsia="zh-CN"/>
              </w:rPr>
              <w:t>。</w:t>
            </w:r>
          </w:p>
          <w:p w14:paraId="1BD0AFD3">
            <w:pPr>
              <w:jc w:val="center"/>
              <w:rPr>
                <w:rFonts w:hint="default" w:ascii="Times New Roman" w:hAnsi="Times New Roman" w:cs="Times New Roman"/>
                <w:b/>
                <w:color w:val="auto"/>
                <w:szCs w:val="21"/>
                <w:highlight w:val="none"/>
              </w:rPr>
            </w:pPr>
            <w:r>
              <w:rPr>
                <w:rFonts w:hint="default" w:ascii="Times New Roman" w:hAnsi="Times New Roman" w:cs="Times New Roman"/>
                <w:color w:val="auto"/>
                <w:highlight w:val="none"/>
              </w:rPr>
              <w:drawing>
                <wp:inline distT="0" distB="0" distL="114300" distR="114300">
                  <wp:extent cx="4023995" cy="2495550"/>
                  <wp:effectExtent l="0" t="0" r="14605" b="0"/>
                  <wp:docPr id="14" name="图片 3" descr="QQ截图2017062020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QQ截图20170620204639"/>
                          <pic:cNvPicPr>
                            <a:picLocks noChangeAspect="1"/>
                          </pic:cNvPicPr>
                        </pic:nvPicPr>
                        <pic:blipFill>
                          <a:blip r:embed="rId7"/>
                          <a:stretch>
                            <a:fillRect/>
                          </a:stretch>
                        </pic:blipFill>
                        <pic:spPr>
                          <a:xfrm>
                            <a:off x="0" y="0"/>
                            <a:ext cx="4023995" cy="2495550"/>
                          </a:xfrm>
                          <a:prstGeom prst="rect">
                            <a:avLst/>
                          </a:prstGeom>
                          <a:noFill/>
                          <a:ln>
                            <a:noFill/>
                          </a:ln>
                        </pic:spPr>
                      </pic:pic>
                    </a:graphicData>
                  </a:graphic>
                </wp:inline>
              </w:drawing>
            </w:r>
          </w:p>
          <w:p w14:paraId="32E1D58B">
            <w:pPr>
              <w:spacing w:before="156" w:beforeLines="50" w:line="360" w:lineRule="auto"/>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图</w:t>
            </w:r>
            <w:r>
              <w:rPr>
                <w:rFonts w:hint="default" w:ascii="Times New Roman" w:hAnsi="Times New Roman" w:cs="Times New Roman"/>
                <w:b/>
                <w:color w:val="auto"/>
                <w:sz w:val="24"/>
                <w:szCs w:val="24"/>
                <w:highlight w:val="none"/>
                <w:lang w:val="en-US" w:eastAsia="zh-CN"/>
              </w:rPr>
              <w:t>2-</w:t>
            </w:r>
            <w:r>
              <w:rPr>
                <w:rFonts w:hint="eastAsia" w:cs="Times New Roman"/>
                <w:b/>
                <w:color w:val="auto"/>
                <w:sz w:val="24"/>
                <w:szCs w:val="24"/>
                <w:highlight w:val="none"/>
                <w:lang w:val="en-US" w:eastAsia="zh-CN"/>
              </w:rPr>
              <w:t>1</w:t>
            </w:r>
            <w:r>
              <w:rPr>
                <w:rFonts w:hint="default" w:ascii="Times New Roman" w:hAnsi="Times New Roman" w:cs="Times New Roman"/>
                <w:b/>
                <w:color w:val="auto"/>
                <w:sz w:val="24"/>
                <w:szCs w:val="24"/>
                <w:highlight w:val="none"/>
                <w:lang w:val="en-US" w:eastAsia="zh-CN"/>
              </w:rPr>
              <w:t xml:space="preserve">   </w:t>
            </w:r>
            <w:r>
              <w:rPr>
                <w:rFonts w:hint="default" w:ascii="Times New Roman" w:hAnsi="Times New Roman" w:cs="Times New Roman"/>
                <w:b/>
                <w:color w:val="auto"/>
                <w:sz w:val="24"/>
                <w:szCs w:val="24"/>
                <w:highlight w:val="none"/>
              </w:rPr>
              <w:t xml:space="preserve"> </w:t>
            </w:r>
            <w:r>
              <w:rPr>
                <w:rFonts w:hint="eastAsia" w:cs="Times New Roman"/>
                <w:b/>
                <w:color w:val="auto"/>
                <w:sz w:val="24"/>
                <w:szCs w:val="24"/>
                <w:highlight w:val="none"/>
                <w:lang w:val="en-US" w:eastAsia="zh-CN"/>
              </w:rPr>
              <w:t>地面</w:t>
            </w:r>
            <w:r>
              <w:rPr>
                <w:rFonts w:hint="default" w:ascii="Times New Roman" w:hAnsi="Times New Roman" w:cs="Times New Roman"/>
                <w:b/>
                <w:color w:val="auto"/>
                <w:sz w:val="24"/>
                <w:szCs w:val="24"/>
                <w:highlight w:val="none"/>
              </w:rPr>
              <w:t>开槽埋管施工工艺流程</w:t>
            </w:r>
          </w:p>
          <w:p w14:paraId="7739B73A">
            <w:pPr>
              <w:numPr>
                <w:ilvl w:val="0"/>
                <w:numId w:val="0"/>
              </w:numPr>
              <w:spacing w:line="360" w:lineRule="auto"/>
              <w:ind w:leftChars="0"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根据引水管线工程实施内容，其主要施工内容为施工准备</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场地清理等）——管槽开挖——预埋管线——闭</w:t>
            </w:r>
            <w:r>
              <w:rPr>
                <w:rFonts w:hint="default" w:ascii="Times New Roman" w:hAnsi="Times New Roman" w:eastAsia="宋体" w:cs="Times New Roman"/>
                <w:b w:val="0"/>
                <w:bCs w:val="0"/>
                <w:color w:val="auto"/>
                <w:sz w:val="24"/>
                <w:szCs w:val="24"/>
                <w:lang w:val="en-US" w:eastAsia="zh-CN"/>
              </w:rPr>
              <w:t>水试验——回填——恢复。</w:t>
            </w:r>
          </w:p>
          <w:p w14:paraId="312A251B">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default" w:ascii="Times New Roman" w:hAnsi="Times New Roman" w:cs="Times New Roman"/>
                <w:b/>
                <w:color w:val="auto"/>
                <w:sz w:val="24"/>
              </w:rPr>
            </w:pPr>
            <w:r>
              <w:rPr>
                <w:rFonts w:hint="eastAsia" w:cs="Times New Roman"/>
                <w:b/>
                <w:color w:val="auto"/>
                <w:sz w:val="24"/>
                <w:lang w:val="en-US" w:eastAsia="zh-CN"/>
              </w:rPr>
              <w:t>1</w:t>
            </w:r>
            <w:r>
              <w:rPr>
                <w:rFonts w:hint="default" w:ascii="Times New Roman" w:hAnsi="Times New Roman" w:cs="Times New Roman"/>
                <w:b/>
                <w:color w:val="auto"/>
                <w:sz w:val="24"/>
                <w:lang w:val="en-US" w:eastAsia="zh-CN"/>
              </w:rPr>
              <w:t>.1</w:t>
            </w:r>
            <w:r>
              <w:rPr>
                <w:rFonts w:hint="default" w:ascii="Times New Roman" w:hAnsi="Times New Roman" w:cs="Times New Roman"/>
                <w:b/>
                <w:color w:val="auto"/>
                <w:sz w:val="24"/>
              </w:rPr>
              <w:t>管道工程施工工艺</w:t>
            </w:r>
          </w:p>
          <w:p w14:paraId="1A82CC6F">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default" w:ascii="Times New Roman" w:hAnsi="Times New Roman" w:cs="Times New Roman"/>
                <w:b/>
                <w:color w:val="auto"/>
                <w:sz w:val="24"/>
              </w:rPr>
            </w:pPr>
            <w:r>
              <w:rPr>
                <w:rFonts w:hint="eastAsia" w:cs="Times New Roman"/>
                <w:b/>
                <w:color w:val="auto"/>
                <w:sz w:val="24"/>
                <w:lang w:val="en-US" w:eastAsia="zh-CN"/>
              </w:rPr>
              <w:t>1</w:t>
            </w:r>
            <w:r>
              <w:rPr>
                <w:rFonts w:hint="default" w:ascii="Times New Roman" w:hAnsi="Times New Roman" w:cs="Times New Roman"/>
                <w:b/>
                <w:color w:val="auto"/>
                <w:sz w:val="24"/>
                <w:lang w:val="en-US" w:eastAsia="zh-CN"/>
              </w:rPr>
              <w:t>.1.1</w:t>
            </w:r>
            <w:r>
              <w:rPr>
                <w:rFonts w:hint="default" w:ascii="Times New Roman" w:hAnsi="Times New Roman" w:cs="Times New Roman"/>
                <w:b/>
                <w:color w:val="auto"/>
                <w:sz w:val="24"/>
              </w:rPr>
              <w:t>开挖沟槽类管道施工</w:t>
            </w:r>
          </w:p>
          <w:p w14:paraId="3ECC88BB">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本项目</w:t>
            </w:r>
            <w:r>
              <w:rPr>
                <w:rFonts w:hint="eastAsia" w:cs="Times New Roman"/>
                <w:color w:val="auto"/>
                <w:sz w:val="24"/>
                <w:lang w:val="en-US" w:eastAsia="zh-CN"/>
              </w:rPr>
              <w:t>管线</w:t>
            </w:r>
            <w:r>
              <w:rPr>
                <w:rFonts w:hint="default" w:ascii="Times New Roman" w:hAnsi="Times New Roman" w:cs="Times New Roman"/>
                <w:color w:val="auto"/>
                <w:sz w:val="24"/>
              </w:rPr>
              <w:t>工程施工中采用分段、分片区分别施工，其施工过程中与水土保持密切相关的工艺为沟槽开挖、回填，本方案主要介绍其工艺流程，本项目管道工程基槽开挖</w:t>
            </w:r>
            <w:r>
              <w:rPr>
                <w:rFonts w:hint="eastAsia" w:cs="Times New Roman"/>
                <w:color w:val="auto"/>
                <w:sz w:val="24"/>
                <w:lang w:eastAsia="zh-CN"/>
              </w:rPr>
              <w:t>以明挖为主</w:t>
            </w:r>
            <w:r>
              <w:rPr>
                <w:rFonts w:hint="default" w:ascii="Times New Roman" w:hAnsi="Times New Roman" w:cs="Times New Roman"/>
                <w:color w:val="auto"/>
                <w:sz w:val="24"/>
              </w:rPr>
              <w:t>。</w:t>
            </w:r>
          </w:p>
          <w:p w14:paraId="79628117">
            <w:pPr>
              <w:pStyle w:val="55"/>
              <w:widowControl w:val="0"/>
              <w:jc w:val="both"/>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1）管道工程施工工艺流程</w:t>
            </w:r>
            <w:r>
              <w:rPr>
                <w:rFonts w:hint="default" w:ascii="Times New Roman" w:hAnsi="Times New Roman" w:cs="Times New Roman"/>
                <w:color w:val="auto"/>
                <w:lang w:eastAsia="zh-CN"/>
              </w:rPr>
              <w:t>：</w:t>
            </w:r>
            <w:r>
              <w:rPr>
                <w:rFonts w:hint="default" w:ascii="Times New Roman" w:hAnsi="Times New Roman" w:cs="Times New Roman"/>
                <w:color w:val="auto"/>
              </w:rPr>
              <w:t>施工工序如下：测量放线→土方开挖→基础处理→铺设垫层→管道安装→水压试验→回填。</w:t>
            </w:r>
          </w:p>
          <w:p w14:paraId="1C0DA093">
            <w:pPr>
              <w:pStyle w:val="55"/>
              <w:widowControl w:val="0"/>
              <w:jc w:val="both"/>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2）沟槽开挖</w:t>
            </w:r>
          </w:p>
          <w:p w14:paraId="69CC2805">
            <w:pPr>
              <w:pStyle w:val="55"/>
              <w:widowControl w:val="0"/>
              <w:jc w:val="both"/>
              <w:rPr>
                <w:rFonts w:hint="default" w:ascii="Times New Roman" w:hAnsi="Times New Roman" w:cs="Times New Roman"/>
                <w:color w:val="auto"/>
              </w:rPr>
            </w:pPr>
            <w:r>
              <w:rPr>
                <w:rFonts w:hint="default" w:ascii="Times New Roman" w:hAnsi="Times New Roman" w:cs="Times New Roman"/>
                <w:color w:val="auto"/>
              </w:rPr>
              <w:t>①沟槽开挖施工机械选用小型挖掘机，工作面沿管道走向推进，施工作业带宽度为4.0～5.0m，土方堆放一侧宽度为1.5~2.5m。沟槽的宽度应便于管道铺设和安装，便于夯实机具操作和沟槽积水的排出。</w:t>
            </w:r>
          </w:p>
          <w:p w14:paraId="4185EBE1">
            <w:pPr>
              <w:pStyle w:val="55"/>
              <w:widowControl w:val="0"/>
              <w:jc w:val="both"/>
              <w:rPr>
                <w:rFonts w:hint="default" w:ascii="Times New Roman" w:hAnsi="Times New Roman" w:cs="Times New Roman"/>
                <w:color w:val="auto"/>
              </w:rPr>
            </w:pPr>
            <w:r>
              <w:rPr>
                <w:rFonts w:hint="default" w:ascii="Times New Roman" w:hAnsi="Times New Roman" w:cs="Times New Roman"/>
                <w:color w:val="auto"/>
              </w:rPr>
              <w:t>②沟槽开挖，沟槽土应在管道安全线以外堆放，以便管道安装等工作。</w:t>
            </w:r>
          </w:p>
          <w:p w14:paraId="561E2260">
            <w:pPr>
              <w:pStyle w:val="55"/>
              <w:widowControl w:val="0"/>
              <w:jc w:val="both"/>
              <w:rPr>
                <w:rFonts w:hint="default" w:ascii="Times New Roman" w:hAnsi="Times New Roman" w:cs="Times New Roman"/>
                <w:color w:val="0000FF"/>
              </w:rPr>
            </w:pPr>
            <w:r>
              <w:rPr>
                <w:rFonts w:hint="default" w:ascii="Times New Roman" w:hAnsi="Times New Roman" w:cs="Times New Roman"/>
                <w:color w:val="auto"/>
              </w:rPr>
              <w:t>③根据图纸设计确定管道沟</w:t>
            </w:r>
            <w:r>
              <w:rPr>
                <w:rFonts w:hint="default" w:ascii="Times New Roman" w:hAnsi="Times New Roman" w:cs="Times New Roman"/>
                <w:color w:val="auto"/>
                <w:highlight w:val="none"/>
              </w:rPr>
              <w:t>槽的开挖断面。其中</w:t>
            </w:r>
            <w:r>
              <w:rPr>
                <w:rFonts w:hint="eastAsia" w:cs="Times New Roman"/>
                <w:color w:val="auto"/>
                <w:highlight w:val="none"/>
                <w:lang w:eastAsia="zh-CN"/>
              </w:rPr>
              <w:t>引水管道</w:t>
            </w:r>
            <w:r>
              <w:rPr>
                <w:rFonts w:hint="default" w:ascii="Times New Roman" w:hAnsi="Times New Roman" w:cs="Times New Roman"/>
                <w:color w:val="auto"/>
                <w:highlight w:val="none"/>
              </w:rPr>
              <w:t>开挖深度为</w:t>
            </w:r>
            <w:r>
              <w:rPr>
                <w:rFonts w:hint="eastAsia" w:cs="Times New Roman"/>
                <w:color w:val="auto"/>
                <w:highlight w:val="none"/>
                <w:lang w:val="en-US" w:eastAsia="zh-CN"/>
              </w:rPr>
              <w:t>3.1~4.7</w:t>
            </w:r>
            <w:r>
              <w:rPr>
                <w:rFonts w:hint="default" w:ascii="Times New Roman" w:hAnsi="Times New Roman" w:cs="Times New Roman"/>
                <w:color w:val="auto"/>
                <w:highlight w:val="none"/>
              </w:rPr>
              <w:t>m，其沟槽断面为矩形</w:t>
            </w:r>
            <w:r>
              <w:rPr>
                <w:rFonts w:hint="eastAsia" w:cs="Times New Roman"/>
                <w:color w:val="auto"/>
                <w:highlight w:val="none"/>
                <w:lang w:eastAsia="zh-CN"/>
              </w:rPr>
              <w:t>（</w:t>
            </w:r>
            <w:r>
              <w:rPr>
                <w:rFonts w:hint="default" w:ascii="Times New Roman" w:hAnsi="Times New Roman" w:cs="Times New Roman"/>
                <w:color w:val="auto"/>
                <w:highlight w:val="none"/>
              </w:rPr>
              <w:t>部分线路采用梯形断面）。施工时根据沟槽深度、宽度、土质、地下水位等情况进行放坡和设置支撑。沟壁支撑是在沟槽挖土期间挡土、挡水，保证沟槽开挖和基础结构施工能安全、顺利进行，部分挖深超过1m的特殊地段可采用放坡。</w:t>
            </w:r>
          </w:p>
          <w:p w14:paraId="4A95412A">
            <w:pPr>
              <w:spacing w:line="360" w:lineRule="auto"/>
              <w:ind w:firstLine="482"/>
              <w:jc w:val="left"/>
              <w:rPr>
                <w:rFonts w:hint="default" w:ascii="Times New Roman" w:hAnsi="Times New Roman" w:cs="Times New Roman"/>
                <w:color w:val="auto"/>
                <w:sz w:val="24"/>
              </w:rPr>
            </w:pPr>
            <w:r>
              <w:rPr>
                <w:rFonts w:hint="default" w:ascii="Times New Roman" w:hAnsi="Times New Roman" w:cs="Times New Roman"/>
                <w:color w:val="auto"/>
                <w:sz w:val="24"/>
              </w:rPr>
              <w:t>④开挖管沟时，不得破坏下卧层土体结构，使用挖掘机施工时，当土方挖到接近设计标高时，应在槽内打高程控制桩，以控制挖土深度，防止过浅或超挖，局部超挖部分应回填夯实处理。</w:t>
            </w:r>
          </w:p>
          <w:p w14:paraId="4A6955A5">
            <w:pPr>
              <w:spacing w:line="360" w:lineRule="auto"/>
              <w:ind w:firstLine="482"/>
              <w:jc w:val="left"/>
              <w:rPr>
                <w:rFonts w:hint="default" w:ascii="Times New Roman" w:hAnsi="Times New Roman" w:cs="Times New Roman"/>
                <w:color w:val="auto"/>
                <w:sz w:val="24"/>
              </w:rPr>
            </w:pPr>
            <w:r>
              <w:rPr>
                <w:rFonts w:hint="default" w:ascii="Times New Roman" w:hAnsi="Times New Roman" w:cs="Times New Roman"/>
                <w:color w:val="auto"/>
                <w:sz w:val="24"/>
              </w:rPr>
              <w:t>⑤管沟开挖过程中，应对土质情况、地下水位等情况及时了解掌握，该采取保护的，要及时地采取保护措施。根据土壤的不同耐力处理沟槽基础。对土壤耐力为5～7×10</w:t>
            </w:r>
            <w:r>
              <w:rPr>
                <w:rFonts w:hint="default" w:ascii="Times New Roman" w:hAnsi="Times New Roman" w:cs="Times New Roman"/>
                <w:color w:val="auto"/>
                <w:sz w:val="24"/>
                <w:vertAlign w:val="superscript"/>
              </w:rPr>
              <w:t>4</w:t>
            </w:r>
            <w:r>
              <w:rPr>
                <w:rFonts w:hint="default" w:ascii="Times New Roman" w:hAnsi="Times New Roman" w:cs="Times New Roman"/>
                <w:color w:val="auto"/>
                <w:sz w:val="24"/>
              </w:rPr>
              <w:t>Pa时，采用原土夯实加固处理法，其夯实程度为95%；对于沟槽土壤承载能力较好，采用180°砂垫层，其厚度控制在100～150mm左右。</w:t>
            </w:r>
          </w:p>
          <w:p w14:paraId="2F502650">
            <w:pPr>
              <w:spacing w:line="360" w:lineRule="auto"/>
              <w:ind w:firstLine="482"/>
              <w:jc w:val="left"/>
              <w:rPr>
                <w:rFonts w:hint="default" w:ascii="Times New Roman" w:hAnsi="Times New Roman" w:cs="Times New Roman"/>
                <w:color w:val="auto"/>
                <w:sz w:val="24"/>
              </w:rPr>
            </w:pPr>
            <w:r>
              <w:rPr>
                <w:rFonts w:hint="default" w:ascii="Times New Roman" w:hAnsi="Times New Roman" w:cs="Times New Roman"/>
                <w:color w:val="auto"/>
                <w:sz w:val="24"/>
              </w:rPr>
              <w:t>⑥沟槽的开挖质量应符合下列规定：沟槽中心线每侧的净宽不应小于管道沟槽底部开挖宽度的一半。槽底高程的允许偏差为±20mm。</w:t>
            </w:r>
          </w:p>
          <w:p w14:paraId="61AFB62A">
            <w:pPr>
              <w:spacing w:line="360" w:lineRule="auto"/>
              <w:ind w:firstLine="482"/>
              <w:jc w:val="left"/>
              <w:rPr>
                <w:rFonts w:hint="default" w:ascii="Times New Roman" w:hAnsi="Times New Roman" w:cs="Times New Roman"/>
                <w:color w:val="auto"/>
                <w:sz w:val="24"/>
              </w:rPr>
            </w:pPr>
            <w:r>
              <w:rPr>
                <w:rFonts w:hint="default" w:ascii="Times New Roman" w:hAnsi="Times New Roman" w:cs="Times New Roman"/>
                <w:color w:val="auto"/>
                <w:sz w:val="24"/>
              </w:rPr>
              <w:t>⑦对开挖的管道沟槽，要及时地设置警示标志，并对其进行封闭管理，以防意外事故的发生。</w:t>
            </w:r>
          </w:p>
          <w:p w14:paraId="37AFB2E7">
            <w:pPr>
              <w:spacing w:line="360" w:lineRule="auto"/>
              <w:ind w:firstLine="480"/>
              <w:jc w:val="left"/>
              <w:rPr>
                <w:rFonts w:hint="default" w:ascii="Times New Roman" w:hAnsi="Times New Roman" w:cs="Times New Roman"/>
                <w:color w:val="auto"/>
                <w:sz w:val="24"/>
              </w:rPr>
            </w:pPr>
            <w:r>
              <w:rPr>
                <w:rFonts w:hint="default" w:ascii="Times New Roman" w:hAnsi="Times New Roman" w:cs="Times New Roman"/>
                <w:color w:val="auto"/>
                <w:sz w:val="24"/>
              </w:rPr>
              <w:t>⑧施工期间，应按照施工平面图上所规定的土方堆放区内堆土，严禁占用交通要道，保证施工范围的道路畅通。距离槽边0.5m范围内不许堆土或放置其它材料。堆土高度不宜过高，保证坑槽的稳定。</w:t>
            </w:r>
          </w:p>
          <w:p w14:paraId="7A806515">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sz w:val="24"/>
              </w:rPr>
              <w:t>⑨</w:t>
            </w:r>
            <w:r>
              <w:rPr>
                <w:rFonts w:hint="eastAsia" w:cs="Times New Roman"/>
                <w:color w:val="auto"/>
                <w:sz w:val="24"/>
                <w:lang w:eastAsia="zh-CN"/>
              </w:rPr>
              <w:t>引水管道</w:t>
            </w:r>
            <w:r>
              <w:rPr>
                <w:rFonts w:hint="default" w:ascii="Times New Roman" w:hAnsi="Times New Roman" w:cs="Times New Roman"/>
                <w:color w:val="auto"/>
                <w:sz w:val="24"/>
              </w:rPr>
              <w:t>穿越林草地和农田段施工作业区和土方堆放区</w:t>
            </w:r>
            <w:r>
              <w:rPr>
                <w:rFonts w:hint="eastAsia" w:cs="Times New Roman"/>
                <w:color w:val="auto"/>
                <w:sz w:val="24"/>
                <w:lang w:eastAsia="zh-CN"/>
              </w:rPr>
              <w:t>，</w:t>
            </w:r>
            <w:r>
              <w:rPr>
                <w:rFonts w:hint="default" w:ascii="Times New Roman" w:hAnsi="Times New Roman" w:cs="Times New Roman"/>
                <w:color w:val="auto"/>
                <w:sz w:val="24"/>
              </w:rPr>
              <w:t>施工机械使用中型挖掘机，功率122kw，斗容0.91~1.0m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，液压系统压力34.3MPa，机身总长9520mm，总高3010mm，整机宽度2860mm，履带宽600mm。</w:t>
            </w:r>
          </w:p>
          <w:p w14:paraId="5669F00B">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⑩开挖过程中布设在现有乡村道路或214国道人行道下的管道施工作业区和土方堆放区</w:t>
            </w:r>
            <w:r>
              <w:rPr>
                <w:rFonts w:hint="eastAsia" w:cs="Times New Roman"/>
                <w:color w:val="auto"/>
                <w:sz w:val="24"/>
                <w:lang w:eastAsia="zh-CN"/>
              </w:rPr>
              <w:t>，</w:t>
            </w:r>
            <w:r>
              <w:rPr>
                <w:rFonts w:hint="default" w:ascii="Times New Roman" w:hAnsi="Times New Roman" w:cs="Times New Roman"/>
                <w:color w:val="auto"/>
                <w:sz w:val="24"/>
              </w:rPr>
              <w:t>施工机械使用小型挖掘机，功率13.6kw，斗容0.04~0.07m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，液压系统压力16MPa，总长3630mm，总高2150mm，整机宽度990mm，履带宽230mm。</w:t>
            </w:r>
          </w:p>
          <w:p w14:paraId="4A9B71A6">
            <w:pPr>
              <w:spacing w:line="360" w:lineRule="auto"/>
              <w:ind w:firstLine="482"/>
              <w:jc w:val="left"/>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3）沟槽临时排水</w:t>
            </w:r>
          </w:p>
          <w:p w14:paraId="071122E3">
            <w:pPr>
              <w:spacing w:line="360" w:lineRule="auto"/>
              <w:ind w:firstLine="482"/>
              <w:rPr>
                <w:rFonts w:hint="default" w:ascii="Times New Roman" w:hAnsi="Times New Roman" w:cs="Times New Roman"/>
                <w:color w:val="auto"/>
                <w:sz w:val="24"/>
              </w:rPr>
            </w:pPr>
            <w:r>
              <w:rPr>
                <w:rFonts w:hint="default" w:ascii="Times New Roman" w:hAnsi="Times New Roman" w:cs="Times New Roman"/>
                <w:color w:val="auto"/>
                <w:sz w:val="24"/>
              </w:rPr>
              <w:t>沟槽开挖过程中根据地下水位和降水情况做好降水工作，槽底下不得受水浸泡。沟内根据坡降每隔一定距离设置降水井，并根据水量设置井点泵，当井点降水效果不理想时，采取减少每台井点泵拖带井点数量的方式予以解决。</w:t>
            </w:r>
          </w:p>
          <w:p w14:paraId="79E6A128">
            <w:pPr>
              <w:spacing w:line="360" w:lineRule="auto"/>
              <w:ind w:firstLine="482"/>
              <w:rPr>
                <w:rFonts w:hint="default" w:ascii="Times New Roman" w:hAnsi="Times New Roman" w:cs="Times New Roman"/>
                <w:color w:val="auto"/>
                <w:sz w:val="24"/>
              </w:rPr>
            </w:pPr>
            <w:r>
              <w:rPr>
                <w:rFonts w:hint="default" w:ascii="Times New Roman" w:hAnsi="Times New Roman" w:cs="Times New Roman"/>
                <w:color w:val="auto"/>
                <w:sz w:val="24"/>
              </w:rPr>
              <w:t>沟槽开挖后，如遇暗浜、淤泥质土边坡出现塌方时，在边坡上呈梅花</w:t>
            </w:r>
            <w:r>
              <w:rPr>
                <w:rFonts w:hint="eastAsia" w:cs="Times New Roman"/>
                <w:color w:val="auto"/>
                <w:sz w:val="24"/>
                <w:lang w:eastAsia="zh-CN"/>
              </w:rPr>
              <w:t>形</w:t>
            </w:r>
            <w:r>
              <w:rPr>
                <w:rFonts w:hint="default" w:ascii="Times New Roman" w:hAnsi="Times New Roman" w:cs="Times New Roman"/>
                <w:color w:val="auto"/>
                <w:sz w:val="24"/>
              </w:rPr>
              <w:t>打入止滑桩，在坡脚用草袋装土堆砌，防止坡脚处水土流失。</w:t>
            </w:r>
          </w:p>
          <w:p w14:paraId="2ED322D8">
            <w:pPr>
              <w:spacing w:line="360" w:lineRule="auto"/>
              <w:ind w:firstLine="482"/>
              <w:jc w:val="left"/>
              <w:rPr>
                <w:rFonts w:hint="default" w:ascii="Times New Roman" w:hAnsi="Times New Roman" w:cs="Times New Roman"/>
                <w:color w:val="auto"/>
                <w:sz w:val="24"/>
              </w:rPr>
            </w:pPr>
            <w:r>
              <w:rPr>
                <w:rFonts w:hint="eastAsia" w:cs="Times New Roman"/>
                <w:color w:val="auto"/>
                <w:sz w:val="24"/>
                <w:lang w:eastAsia="zh-CN"/>
              </w:rPr>
              <w:t>（</w:t>
            </w:r>
            <w:r>
              <w:rPr>
                <w:rFonts w:hint="default" w:ascii="Times New Roman" w:hAnsi="Times New Roman" w:cs="Times New Roman"/>
                <w:color w:val="auto"/>
                <w:sz w:val="24"/>
              </w:rPr>
              <w:t>4）沟槽回填</w:t>
            </w:r>
          </w:p>
          <w:p w14:paraId="551AA7D0">
            <w:pPr>
              <w:tabs>
                <w:tab w:val="left" w:pos="525"/>
                <w:tab w:val="left" w:pos="735"/>
              </w:tabs>
              <w:spacing w:line="360" w:lineRule="auto"/>
              <w:ind w:firstLine="482"/>
              <w:jc w:val="left"/>
              <w:rPr>
                <w:rFonts w:hint="default" w:ascii="Times New Roman" w:hAnsi="Times New Roman" w:cs="Times New Roman"/>
                <w:color w:val="auto"/>
                <w:sz w:val="24"/>
              </w:rPr>
            </w:pPr>
            <w:r>
              <w:rPr>
                <w:rFonts w:hint="default" w:ascii="Times New Roman" w:hAnsi="Times New Roman" w:cs="Times New Roman"/>
                <w:color w:val="auto"/>
                <w:sz w:val="24"/>
              </w:rPr>
              <w:t>①在闭水试验完成，并办理隐蔽工程验收记录，即可进行回填。基础采用天然基础，因此，回填时可采用素土分层回填。</w:t>
            </w:r>
          </w:p>
          <w:p w14:paraId="676C0004">
            <w:pPr>
              <w:tabs>
                <w:tab w:val="left" w:pos="525"/>
                <w:tab w:val="left" w:pos="735"/>
              </w:tabs>
              <w:spacing w:line="360" w:lineRule="auto"/>
              <w:ind w:firstLine="482"/>
              <w:jc w:val="left"/>
              <w:rPr>
                <w:rFonts w:hint="default" w:ascii="Times New Roman" w:hAnsi="Times New Roman" w:cs="Times New Roman"/>
                <w:color w:val="auto"/>
                <w:sz w:val="24"/>
              </w:rPr>
            </w:pPr>
            <w:r>
              <w:rPr>
                <w:rFonts w:hint="default" w:ascii="Times New Roman" w:hAnsi="Times New Roman" w:cs="Times New Roman"/>
                <w:color w:val="auto"/>
                <w:sz w:val="24"/>
              </w:rPr>
              <w:t>②沟槽回填土时，砖、石、木块等杂物应清除干净。</w:t>
            </w:r>
          </w:p>
          <w:p w14:paraId="4165C694">
            <w:pPr>
              <w:tabs>
                <w:tab w:val="left" w:pos="525"/>
                <w:tab w:val="left" w:pos="735"/>
              </w:tabs>
              <w:spacing w:line="360" w:lineRule="auto"/>
              <w:ind w:firstLine="482"/>
              <w:jc w:val="left"/>
              <w:rPr>
                <w:rFonts w:hint="default" w:ascii="Times New Roman" w:hAnsi="Times New Roman" w:cs="Times New Roman"/>
                <w:color w:val="auto"/>
                <w:sz w:val="24"/>
              </w:rPr>
            </w:pPr>
            <w:r>
              <w:rPr>
                <w:rFonts w:hint="default" w:ascii="Times New Roman" w:hAnsi="Times New Roman" w:cs="Times New Roman"/>
                <w:color w:val="auto"/>
                <w:sz w:val="24"/>
              </w:rPr>
              <w:t>③回填土的含水量，宜按采用的压实工具控制在接近最佳含水量为宜。</w:t>
            </w:r>
          </w:p>
          <w:p w14:paraId="24D27277">
            <w:pPr>
              <w:tabs>
                <w:tab w:val="left" w:pos="525"/>
                <w:tab w:val="left" w:pos="735"/>
              </w:tabs>
              <w:spacing w:line="360" w:lineRule="auto"/>
              <w:ind w:firstLine="482"/>
              <w:jc w:val="left"/>
              <w:rPr>
                <w:rFonts w:hint="default" w:ascii="Times New Roman" w:hAnsi="Times New Roman" w:cs="Times New Roman"/>
                <w:color w:val="auto"/>
                <w:sz w:val="24"/>
              </w:rPr>
            </w:pPr>
            <w:r>
              <w:rPr>
                <w:rFonts w:hint="default" w:ascii="Times New Roman" w:hAnsi="Times New Roman" w:cs="Times New Roman"/>
                <w:color w:val="auto"/>
                <w:sz w:val="24"/>
              </w:rPr>
              <w:t>④回填土的每层虚铺厚度，应按采用的压实工具和要求压实确定。</w:t>
            </w:r>
          </w:p>
          <w:p w14:paraId="4C8DF39E">
            <w:pPr>
              <w:tabs>
                <w:tab w:val="left" w:pos="525"/>
                <w:tab w:val="left" w:pos="735"/>
              </w:tabs>
              <w:spacing w:line="360" w:lineRule="auto"/>
              <w:ind w:firstLine="482"/>
              <w:jc w:val="left"/>
              <w:rPr>
                <w:rFonts w:hint="default" w:ascii="Times New Roman" w:hAnsi="Times New Roman" w:cs="Times New Roman"/>
                <w:color w:val="auto"/>
                <w:sz w:val="24"/>
              </w:rPr>
            </w:pPr>
            <w:r>
              <w:rPr>
                <w:rFonts w:hint="default" w:ascii="Times New Roman" w:hAnsi="Times New Roman" w:cs="Times New Roman"/>
                <w:color w:val="auto"/>
                <w:sz w:val="24"/>
              </w:rPr>
              <w:t>⑤回填土每层的压实遍数，应按要求的压实度，压实工具、虚铺厚度和含水量，经现场试验确定。</w:t>
            </w:r>
          </w:p>
          <w:p w14:paraId="46FE52D3">
            <w:pPr>
              <w:keepNext w:val="0"/>
              <w:keepLines w:val="0"/>
              <w:pageBreakBefore w:val="0"/>
              <w:widowControl w:val="0"/>
              <w:tabs>
                <w:tab w:val="left" w:pos="525"/>
                <w:tab w:val="left" w:pos="735"/>
              </w:tabs>
              <w:kinsoku/>
              <w:wordWrap/>
              <w:overflowPunct/>
              <w:topLinePunct w:val="0"/>
              <w:autoSpaceDE/>
              <w:autoSpaceDN/>
              <w:bidi w:val="0"/>
              <w:adjustRightInd/>
              <w:snapToGrid/>
              <w:spacing w:line="360" w:lineRule="auto"/>
              <w:ind w:firstLine="482"/>
              <w:jc w:val="left"/>
              <w:textAlignment w:val="auto"/>
              <w:rPr>
                <w:rFonts w:hint="default" w:ascii="Times New Roman" w:hAnsi="Times New Roman" w:cs="Times New Roman"/>
                <w:color w:val="auto"/>
                <w:sz w:val="24"/>
              </w:rPr>
            </w:pPr>
            <w:r>
              <w:rPr>
                <w:rFonts w:hint="default" w:ascii="Times New Roman" w:hAnsi="Times New Roman" w:cs="Times New Roman"/>
                <w:color w:val="auto"/>
                <w:sz w:val="24"/>
              </w:rPr>
              <w:t>⑥管道两侧和管顶以上50cm范围内的回填材料，应由沟槽</w:t>
            </w:r>
            <w:r>
              <w:rPr>
                <w:rFonts w:hint="eastAsia" w:cs="Times New Roman"/>
                <w:color w:val="auto"/>
                <w:sz w:val="24"/>
                <w:lang w:eastAsia="zh-CN"/>
              </w:rPr>
              <w:t>两侧</w:t>
            </w:r>
            <w:r>
              <w:rPr>
                <w:rFonts w:hint="default" w:ascii="Times New Roman" w:hAnsi="Times New Roman" w:cs="Times New Roman"/>
                <w:color w:val="auto"/>
                <w:sz w:val="24"/>
              </w:rPr>
              <w:t>对称运入槽内，不得直接扔在管道上，回填其它部位时，应均匀填入槽内，不得集中推入。</w:t>
            </w:r>
          </w:p>
          <w:p w14:paraId="3870FE9F">
            <w:pPr>
              <w:keepNext w:val="0"/>
              <w:keepLines w:val="0"/>
              <w:pageBreakBefore w:val="0"/>
              <w:widowControl w:val="0"/>
              <w:tabs>
                <w:tab w:val="left" w:pos="525"/>
                <w:tab w:val="left" w:pos="735"/>
              </w:tabs>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color w:val="auto"/>
                <w:sz w:val="24"/>
              </w:rPr>
            </w:pPr>
            <w:r>
              <w:rPr>
                <w:rFonts w:hint="eastAsia" w:cs="Times New Roman"/>
                <w:b/>
                <w:color w:val="auto"/>
                <w:sz w:val="24"/>
                <w:lang w:val="en-US" w:eastAsia="zh-CN"/>
              </w:rPr>
              <w:t>1</w:t>
            </w:r>
            <w:r>
              <w:rPr>
                <w:rFonts w:hint="default" w:ascii="Times New Roman" w:hAnsi="Times New Roman" w:cs="Times New Roman"/>
                <w:b/>
                <w:color w:val="auto"/>
                <w:sz w:val="24"/>
                <w:lang w:val="en-US" w:eastAsia="zh-CN"/>
              </w:rPr>
              <w:t>.1.2</w:t>
            </w:r>
            <w:r>
              <w:rPr>
                <w:rFonts w:hint="default" w:ascii="Times New Roman" w:hAnsi="Times New Roman" w:cs="Times New Roman"/>
                <w:b/>
                <w:color w:val="auto"/>
                <w:sz w:val="24"/>
              </w:rPr>
              <w:t>非开挖沟槽类</w:t>
            </w:r>
            <w:r>
              <w:rPr>
                <w:rFonts w:hint="eastAsia" w:cs="Times New Roman"/>
                <w:b/>
                <w:color w:val="auto"/>
                <w:sz w:val="24"/>
                <w:lang w:eastAsia="zh-CN"/>
              </w:rPr>
              <w:t>（</w:t>
            </w:r>
            <w:r>
              <w:rPr>
                <w:rFonts w:hint="eastAsia" w:cs="Times New Roman"/>
                <w:b/>
                <w:color w:val="auto"/>
                <w:sz w:val="24"/>
                <w:lang w:val="en-US" w:eastAsia="zh-CN"/>
              </w:rPr>
              <w:t>顶管</w:t>
            </w:r>
            <w:r>
              <w:rPr>
                <w:rFonts w:hint="eastAsia" w:cs="Times New Roman"/>
                <w:b/>
                <w:color w:val="auto"/>
                <w:sz w:val="24"/>
                <w:lang w:eastAsia="zh-CN"/>
              </w:rPr>
              <w:t>）</w:t>
            </w:r>
            <w:r>
              <w:rPr>
                <w:rFonts w:hint="default" w:ascii="Times New Roman" w:hAnsi="Times New Roman" w:cs="Times New Roman"/>
                <w:b/>
                <w:color w:val="auto"/>
                <w:sz w:val="24"/>
              </w:rPr>
              <w:t>管道施工</w:t>
            </w:r>
          </w:p>
          <w:p w14:paraId="3331771E">
            <w:pPr>
              <w:keepNext w:val="0"/>
              <w:keepLines w:val="0"/>
              <w:pageBreakBefore w:val="0"/>
              <w:widowControl w:val="0"/>
              <w:tabs>
                <w:tab w:val="left" w:pos="525"/>
                <w:tab w:val="left" w:pos="735"/>
              </w:tabs>
              <w:kinsoku/>
              <w:wordWrap/>
              <w:overflowPunct/>
              <w:topLinePunct w:val="0"/>
              <w:autoSpaceDE/>
              <w:autoSpaceDN/>
              <w:bidi w:val="0"/>
              <w:adjustRightInd/>
              <w:snapToGrid/>
              <w:spacing w:line="360" w:lineRule="auto"/>
              <w:ind w:firstLine="482"/>
              <w:jc w:val="left"/>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根据项目管道走向分析，</w:t>
            </w:r>
            <w:r>
              <w:rPr>
                <w:rFonts w:hint="default" w:ascii="Times New Roman" w:hAnsi="Times New Roman" w:cs="Times New Roman"/>
                <w:color w:val="auto"/>
                <w:sz w:val="24"/>
              </w:rPr>
              <w:t>本项目</w:t>
            </w:r>
            <w:r>
              <w:rPr>
                <w:rFonts w:hint="eastAsia" w:cs="Times New Roman"/>
                <w:color w:val="auto"/>
                <w:sz w:val="24"/>
                <w:lang w:eastAsia="zh-CN"/>
              </w:rPr>
              <w:t>引水管道</w:t>
            </w:r>
            <w:r>
              <w:rPr>
                <w:rFonts w:hint="default" w:ascii="Times New Roman" w:hAnsi="Times New Roman" w:cs="Times New Roman"/>
                <w:color w:val="auto"/>
                <w:sz w:val="24"/>
                <w:lang w:val="en-US" w:eastAsia="zh-CN"/>
              </w:rPr>
              <w:t>会穿越市政道路、村道</w:t>
            </w:r>
            <w:r>
              <w:rPr>
                <w:rFonts w:hint="default" w:ascii="Times New Roman" w:hAnsi="Times New Roman" w:cs="Times New Roman"/>
                <w:color w:val="auto"/>
                <w:sz w:val="24"/>
              </w:rPr>
              <w:t>，为了避免项目建设对道路的影响，结合目前已成熟应用非开挖技术，主体设计中对穿越</w:t>
            </w:r>
            <w:r>
              <w:rPr>
                <w:rFonts w:hint="default" w:ascii="Times New Roman" w:hAnsi="Times New Roman" w:cs="Times New Roman"/>
                <w:color w:val="auto"/>
                <w:sz w:val="24"/>
                <w:lang w:val="en-US" w:eastAsia="zh-CN"/>
              </w:rPr>
              <w:t>道路</w:t>
            </w:r>
            <w:r>
              <w:rPr>
                <w:rFonts w:hint="default" w:ascii="Times New Roman" w:hAnsi="Times New Roman" w:cs="Times New Roman"/>
                <w:color w:val="auto"/>
                <w:sz w:val="24"/>
              </w:rPr>
              <w:t>的施工采用顶管技术</w:t>
            </w:r>
            <w:r>
              <w:rPr>
                <w:rFonts w:hint="eastAsia" w:cs="Times New Roman"/>
                <w:color w:val="auto"/>
                <w:sz w:val="24"/>
                <w:lang w:eastAsia="zh-CN"/>
              </w:rPr>
              <w:t>（</w:t>
            </w:r>
            <w:r>
              <w:rPr>
                <w:rFonts w:hint="default" w:ascii="Times New Roman" w:hAnsi="Times New Roman" w:cs="Times New Roman"/>
                <w:color w:val="auto"/>
                <w:sz w:val="24"/>
              </w:rPr>
              <w:t>机械顶管）</w:t>
            </w:r>
            <w:r>
              <w:rPr>
                <w:rFonts w:hint="default" w:ascii="Times New Roman" w:hAnsi="Times New Roman" w:cs="Times New Roman"/>
                <w:color w:val="auto"/>
                <w:sz w:val="24"/>
                <w:lang w:eastAsia="zh-CN"/>
              </w:rPr>
              <w:t>。</w:t>
            </w:r>
          </w:p>
          <w:p w14:paraId="3F7C9F38">
            <w:pPr>
              <w:tabs>
                <w:tab w:val="left" w:pos="525"/>
                <w:tab w:val="left" w:pos="735"/>
              </w:tabs>
              <w:spacing w:line="360" w:lineRule="auto"/>
              <w:ind w:firstLine="482"/>
              <w:jc w:val="left"/>
              <w:rPr>
                <w:rFonts w:hint="default" w:ascii="Times New Roman" w:hAnsi="Times New Roman" w:eastAsia="宋体" w:cs="Times New Roman"/>
                <w:color w:val="auto"/>
                <w:sz w:val="24"/>
              </w:rPr>
            </w:pPr>
            <w:r>
              <w:rPr>
                <w:rFonts w:hint="default" w:ascii="Times New Roman" w:hAnsi="Times New Roman" w:cs="Times New Roman"/>
                <w:color w:val="auto"/>
                <w:sz w:val="24"/>
              </w:rPr>
              <w:t>顶管施工时先以准备好的顶压工作坑</w:t>
            </w:r>
            <w:r>
              <w:rPr>
                <w:rFonts w:hint="eastAsia" w:cs="Times New Roman"/>
                <w:color w:val="auto"/>
                <w:sz w:val="24"/>
                <w:lang w:eastAsia="zh-CN"/>
              </w:rPr>
              <w:t>（</w:t>
            </w:r>
            <w:r>
              <w:rPr>
                <w:rFonts w:hint="default" w:ascii="Times New Roman" w:hAnsi="Times New Roman" w:cs="Times New Roman"/>
                <w:color w:val="auto"/>
                <w:sz w:val="24"/>
              </w:rPr>
              <w:t>井）为出发点，将管卸入工作坑后</w:t>
            </w:r>
            <w:r>
              <w:rPr>
                <w:rFonts w:hint="default" w:ascii="Times New Roman" w:hAnsi="Times New Roman" w:eastAsia="宋体" w:cs="Times New Roman"/>
                <w:color w:val="auto"/>
                <w:sz w:val="24"/>
              </w:rPr>
              <w:t>，通过传力顶铁和导向轨道，用</w:t>
            </w:r>
            <w:r>
              <w:rPr>
                <w:rFonts w:hint="eastAsia" w:cs="Times New Roman"/>
                <w:color w:val="auto"/>
                <w:sz w:val="24"/>
                <w:lang w:eastAsia="zh-CN"/>
              </w:rPr>
              <w:t>支撑</w:t>
            </w:r>
            <w:r>
              <w:rPr>
                <w:rFonts w:hint="default" w:ascii="Times New Roman" w:hAnsi="Times New Roman" w:eastAsia="宋体" w:cs="Times New Roman"/>
                <w:color w:val="auto"/>
                <w:sz w:val="24"/>
              </w:rPr>
              <w:t>于基坑后座上的液压千斤顶将管压入土层中，同时挖除并运走管正面的泥土。当第一节管全部顶入土层后，接着将第二节管接在后面继续顶进，只要千斤顶的顶力足以克服顶管时产生的阻力，整个顶进过程就可循环重复进行。</w:t>
            </w:r>
          </w:p>
          <w:p w14:paraId="56A5F16E">
            <w:pPr>
              <w:tabs>
                <w:tab w:val="left" w:pos="525"/>
                <w:tab w:val="left" w:pos="735"/>
              </w:tabs>
              <w:spacing w:line="360" w:lineRule="auto"/>
              <w:ind w:firstLine="482"/>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顶进管除受到横跨管轴的各种荷载和力的作用外，同时又受到管轴方向具有偏心度的顶力作用，这些荷载和力都以波动的形式出现，故管道的结构强度必须按波动荷载叠加后的双向应力状态进行设计。</w:t>
            </w:r>
          </w:p>
          <w:p w14:paraId="7F7E5DA2">
            <w:pPr>
              <w:tabs>
                <w:tab w:val="left" w:pos="525"/>
                <w:tab w:val="left" w:pos="735"/>
              </w:tabs>
              <w:spacing w:line="360" w:lineRule="auto"/>
              <w:ind w:firstLine="482"/>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本项目顶管施工时选用钢筋混凝土管，每节管的长度为2.5～3.5m，重量不超过10吨。顶管接头采用带有钢外套环的平接式，外套环固定在管的一端，接头之间用环形防水密封圈做防水垫。</w:t>
            </w:r>
          </w:p>
          <w:p w14:paraId="66D7389B">
            <w:pPr>
              <w:keepNext w:val="0"/>
              <w:keepLines w:val="0"/>
              <w:pageBreakBefore w:val="0"/>
              <w:widowControl w:val="0"/>
              <w:tabs>
                <w:tab w:val="left" w:pos="525"/>
                <w:tab w:val="left" w:pos="735"/>
              </w:tabs>
              <w:kinsoku/>
              <w:wordWrap/>
              <w:overflowPunct/>
              <w:topLinePunct w:val="0"/>
              <w:autoSpaceDE/>
              <w:autoSpaceDN/>
              <w:bidi w:val="0"/>
              <w:adjustRightInd/>
              <w:snapToGrid/>
              <w:spacing w:beforeAutospacing="0" w:line="360" w:lineRule="auto"/>
              <w:jc w:val="left"/>
              <w:textAlignment w:val="auto"/>
              <w:rPr>
                <w:rFonts w:hint="default" w:ascii="Times New Roman" w:hAnsi="Times New Roman" w:eastAsia="宋体" w:cs="Times New Roman"/>
                <w:b/>
                <w:color w:val="auto"/>
                <w:sz w:val="24"/>
              </w:rPr>
            </w:pPr>
            <w:r>
              <w:rPr>
                <w:rFonts w:hint="eastAsia" w:cs="Times New Roman"/>
                <w:b/>
                <w:color w:val="auto"/>
                <w:sz w:val="24"/>
                <w:lang w:val="en-US" w:eastAsia="zh-CN"/>
              </w:rPr>
              <w:t>1</w:t>
            </w:r>
            <w:r>
              <w:rPr>
                <w:rFonts w:hint="default" w:ascii="Times New Roman" w:hAnsi="Times New Roman" w:eastAsia="宋体" w:cs="Times New Roman"/>
                <w:b/>
                <w:color w:val="auto"/>
                <w:sz w:val="24"/>
                <w:lang w:val="en-US" w:eastAsia="zh-CN"/>
              </w:rPr>
              <w:t>.</w:t>
            </w:r>
            <w:r>
              <w:rPr>
                <w:rFonts w:hint="default" w:ascii="Times New Roman" w:hAnsi="Times New Roman" w:cs="Times New Roman"/>
                <w:b/>
                <w:color w:val="auto"/>
                <w:sz w:val="24"/>
                <w:lang w:val="en-US" w:eastAsia="zh-CN"/>
              </w:rPr>
              <w:t>1</w:t>
            </w:r>
            <w:r>
              <w:rPr>
                <w:rFonts w:hint="default" w:ascii="Times New Roman" w:hAnsi="Times New Roman" w:eastAsia="宋体" w:cs="Times New Roman"/>
                <w:b/>
                <w:color w:val="auto"/>
                <w:sz w:val="24"/>
                <w:lang w:val="en-US" w:eastAsia="zh-CN"/>
              </w:rPr>
              <w:t>.3</w:t>
            </w:r>
            <w:r>
              <w:rPr>
                <w:rFonts w:hint="default" w:ascii="Times New Roman" w:hAnsi="Times New Roman" w:eastAsia="宋体" w:cs="Times New Roman"/>
                <w:b/>
                <w:color w:val="auto"/>
                <w:sz w:val="24"/>
              </w:rPr>
              <w:t>管道跨河</w:t>
            </w:r>
            <w:r>
              <w:rPr>
                <w:rFonts w:hint="eastAsia" w:cs="Times New Roman"/>
                <w:b/>
                <w:color w:val="auto"/>
                <w:sz w:val="24"/>
                <w:lang w:val="en-US" w:eastAsia="zh-CN"/>
              </w:rPr>
              <w:t>/路</w:t>
            </w:r>
            <w:r>
              <w:rPr>
                <w:rFonts w:hint="default" w:ascii="Times New Roman" w:hAnsi="Times New Roman" w:eastAsia="宋体" w:cs="Times New Roman"/>
                <w:b/>
                <w:color w:val="auto"/>
                <w:sz w:val="24"/>
              </w:rPr>
              <w:t>施工工艺</w:t>
            </w:r>
          </w:p>
          <w:p w14:paraId="430686EF">
            <w:pPr>
              <w:spacing w:line="360" w:lineRule="auto"/>
              <w:ind w:firstLine="480" w:firstLineChars="200"/>
              <w:rPr>
                <w:rFonts w:hint="default" w:ascii="Times New Roman" w:hAnsi="Times New Roman" w:eastAsia="宋体" w:cs="Times New Roman"/>
                <w:color w:val="auto"/>
                <w:sz w:val="24"/>
                <w:szCs w:val="28"/>
              </w:rPr>
            </w:pPr>
            <w:r>
              <w:rPr>
                <w:rFonts w:hint="default" w:ascii="Times New Roman" w:hAnsi="Times New Roman" w:cs="Times New Roman"/>
                <w:color w:val="auto"/>
                <w:sz w:val="24"/>
              </w:rPr>
              <w:t>根据主体设计资料，</w:t>
            </w:r>
            <w:r>
              <w:rPr>
                <w:rFonts w:hint="default" w:ascii="Times New Roman" w:hAnsi="Times New Roman" w:eastAsia="宋体" w:cs="Times New Roman"/>
                <w:color w:val="auto"/>
                <w:sz w:val="24"/>
                <w:szCs w:val="28"/>
              </w:rPr>
              <w:t>工程新建管道沿途特殊地段主要为</w:t>
            </w:r>
            <w:r>
              <w:rPr>
                <w:rFonts w:hint="eastAsia" w:cs="Times New Roman"/>
                <w:color w:val="auto"/>
                <w:sz w:val="24"/>
                <w:szCs w:val="28"/>
                <w:lang w:val="en-US" w:eastAsia="zh-CN"/>
              </w:rPr>
              <w:t>穿越公路、河流</w:t>
            </w:r>
            <w:r>
              <w:rPr>
                <w:rFonts w:hint="default" w:ascii="Times New Roman" w:hAnsi="Times New Roman" w:eastAsia="宋体" w:cs="Times New Roman"/>
                <w:color w:val="auto"/>
                <w:sz w:val="24"/>
                <w:szCs w:val="28"/>
              </w:rPr>
              <w:t>。</w:t>
            </w:r>
          </w:p>
          <w:p w14:paraId="470700CE">
            <w:pPr>
              <w:spacing w:line="360" w:lineRule="auto"/>
              <w:ind w:firstLine="480" w:firstLineChars="200"/>
              <w:rPr>
                <w:rFonts w:hint="default" w:ascii="Times New Roman" w:hAnsi="Times New Roman" w:eastAsia="宋体" w:cs="Times New Roman"/>
                <w:color w:val="auto"/>
                <w:sz w:val="24"/>
                <w:szCs w:val="28"/>
              </w:rPr>
            </w:pPr>
            <w:r>
              <w:rPr>
                <w:rFonts w:hint="eastAsia" w:cs="Times New Roman"/>
                <w:color w:val="auto"/>
                <w:sz w:val="24"/>
                <w:szCs w:val="28"/>
                <w:lang w:eastAsia="zh-CN"/>
              </w:rPr>
              <w:t>（</w:t>
            </w:r>
            <w:r>
              <w:rPr>
                <w:rFonts w:hint="default" w:ascii="Times New Roman" w:hAnsi="Times New Roman" w:eastAsia="宋体" w:cs="Times New Roman"/>
                <w:color w:val="auto"/>
                <w:sz w:val="24"/>
                <w:szCs w:val="28"/>
              </w:rPr>
              <w:t>1）</w:t>
            </w:r>
            <w:r>
              <w:rPr>
                <w:rFonts w:hint="eastAsia" w:cs="Times New Roman"/>
                <w:color w:val="auto"/>
                <w:sz w:val="24"/>
                <w:szCs w:val="28"/>
                <w:lang w:val="en-US" w:eastAsia="zh-CN"/>
              </w:rPr>
              <w:t>下穿公路段——</w:t>
            </w:r>
            <w:r>
              <w:rPr>
                <w:rFonts w:hint="default" w:ascii="Times New Roman" w:hAnsi="Times New Roman" w:eastAsia="宋体" w:cs="Times New Roman"/>
                <w:color w:val="auto"/>
                <w:sz w:val="24"/>
                <w:szCs w:val="28"/>
              </w:rPr>
              <w:t>顶管</w:t>
            </w:r>
          </w:p>
          <w:p w14:paraId="1F72ACE7">
            <w:pPr>
              <w:spacing w:line="360" w:lineRule="auto"/>
              <w:ind w:firstLine="480" w:firstLineChars="200"/>
              <w:rPr>
                <w:rFonts w:hint="default" w:ascii="Times New Roman" w:hAnsi="Times New Roman" w:eastAsia="宋体" w:cs="Times New Roman"/>
                <w:color w:val="auto"/>
                <w:sz w:val="24"/>
                <w:szCs w:val="28"/>
                <w:highlight w:val="none"/>
              </w:rPr>
            </w:pPr>
            <w:r>
              <w:rPr>
                <w:rFonts w:hint="default" w:ascii="Times New Roman" w:hAnsi="Times New Roman" w:eastAsia="宋体" w:cs="Times New Roman"/>
                <w:color w:val="auto"/>
                <w:sz w:val="24"/>
                <w:szCs w:val="28"/>
              </w:rPr>
              <w:t>新建DN1400原水管道管线穿干道和主要公路时，车流量较大，采用明管施工对交通会造成影响，故采用顶管法施工。本工程引水管线口径较大，顶管段材质采用DN1400JPCCP管</w:t>
            </w:r>
            <w:r>
              <w:rPr>
                <w:rFonts w:hint="eastAsia" w:cs="Times New Roman"/>
                <w:color w:val="auto"/>
                <w:sz w:val="24"/>
                <w:szCs w:val="28"/>
                <w:lang w:eastAsia="zh-CN"/>
              </w:rPr>
              <w:t>（</w:t>
            </w:r>
            <w:r>
              <w:rPr>
                <w:rFonts w:hint="default" w:ascii="Times New Roman" w:hAnsi="Times New Roman" w:eastAsia="宋体" w:cs="Times New Roman"/>
                <w:color w:val="auto"/>
                <w:sz w:val="24"/>
                <w:szCs w:val="28"/>
              </w:rPr>
              <w:t>壁厚220</w:t>
            </w:r>
            <w:r>
              <w:rPr>
                <w:rFonts w:hint="default" w:ascii="Times New Roman" w:hAnsi="Times New Roman" w:eastAsia="宋体" w:cs="Times New Roman"/>
                <w:color w:val="auto"/>
                <w:sz w:val="24"/>
                <w:szCs w:val="28"/>
                <w:highlight w:val="none"/>
              </w:rPr>
              <w:t>mm），不再加设套管。</w:t>
            </w:r>
          </w:p>
          <w:p w14:paraId="3D2F3E6F">
            <w:pPr>
              <w:spacing w:line="360" w:lineRule="auto"/>
              <w:ind w:firstLine="480" w:firstLineChars="200"/>
              <w:rPr>
                <w:rFonts w:hint="default" w:ascii="Times New Roman" w:hAnsi="Times New Roman" w:eastAsia="宋体" w:cs="Times New Roman"/>
                <w:color w:val="auto"/>
                <w:sz w:val="24"/>
                <w:szCs w:val="28"/>
                <w:highlight w:val="none"/>
              </w:rPr>
            </w:pPr>
            <w:r>
              <w:rPr>
                <w:rFonts w:hint="default" w:ascii="Times New Roman" w:hAnsi="Times New Roman" w:eastAsia="宋体" w:cs="Times New Roman"/>
                <w:color w:val="auto"/>
                <w:sz w:val="24"/>
                <w:szCs w:val="28"/>
                <w:highlight w:val="none"/>
              </w:rPr>
              <w:t>本工程</w:t>
            </w:r>
            <w:r>
              <w:rPr>
                <w:rFonts w:hint="default" w:ascii="Times New Roman" w:hAnsi="Times New Roman" w:eastAsia="宋体" w:cs="Times New Roman"/>
                <w:color w:val="auto"/>
                <w:sz w:val="24"/>
                <w:szCs w:val="28"/>
              </w:rPr>
              <w:t>新建DN1400原水管道</w:t>
            </w:r>
            <w:r>
              <w:rPr>
                <w:rFonts w:hint="default" w:ascii="Times New Roman" w:hAnsi="Times New Roman" w:eastAsia="宋体" w:cs="Times New Roman"/>
                <w:color w:val="auto"/>
                <w:sz w:val="24"/>
                <w:szCs w:val="28"/>
                <w:highlight w:val="none"/>
              </w:rPr>
              <w:t>的顶管段共有</w:t>
            </w:r>
            <w:r>
              <w:rPr>
                <w:rFonts w:hint="eastAsia" w:cs="Times New Roman"/>
                <w:color w:val="auto"/>
                <w:sz w:val="24"/>
                <w:szCs w:val="28"/>
                <w:highlight w:val="none"/>
                <w:lang w:val="en-US" w:eastAsia="zh-CN"/>
              </w:rPr>
              <w:t>6</w:t>
            </w:r>
            <w:r>
              <w:rPr>
                <w:rFonts w:hint="default" w:ascii="Times New Roman" w:hAnsi="Times New Roman" w:eastAsia="宋体" w:cs="Times New Roman"/>
                <w:color w:val="auto"/>
                <w:sz w:val="24"/>
                <w:szCs w:val="28"/>
                <w:highlight w:val="none"/>
              </w:rPr>
              <w:t>处，</w:t>
            </w:r>
            <w:r>
              <w:rPr>
                <w:rFonts w:hint="eastAsia" w:cs="Times New Roman"/>
                <w:color w:val="auto"/>
                <w:sz w:val="24"/>
                <w:szCs w:val="28"/>
                <w:highlight w:val="none"/>
                <w:lang w:val="en-US" w:eastAsia="zh-CN"/>
              </w:rPr>
              <w:t>具体见前表2-2</w:t>
            </w:r>
            <w:r>
              <w:rPr>
                <w:rFonts w:hint="default" w:ascii="Times New Roman" w:hAnsi="Times New Roman" w:eastAsia="宋体" w:cs="Times New Roman"/>
                <w:color w:val="auto"/>
                <w:sz w:val="24"/>
                <w:szCs w:val="28"/>
                <w:highlight w:val="none"/>
              </w:rPr>
              <w:t>。</w:t>
            </w:r>
          </w:p>
          <w:p w14:paraId="117EC91D">
            <w:pPr>
              <w:spacing w:line="360" w:lineRule="auto"/>
              <w:jc w:val="center"/>
              <w:rPr>
                <w:rFonts w:hint="default" w:ascii="Times New Roman" w:hAnsi="Times New Roman" w:eastAsia="宋体" w:cs="Times New Roman"/>
                <w:color w:val="auto"/>
                <w:sz w:val="24"/>
                <w:szCs w:val="28"/>
                <w:lang w:eastAsia="zh-CN"/>
              </w:rPr>
            </w:pPr>
            <w:r>
              <w:rPr>
                <w:rFonts w:hint="default" w:ascii="Times New Roman" w:hAnsi="Times New Roman" w:eastAsia="宋体" w:cs="Times New Roman"/>
                <w:color w:val="auto"/>
                <w:sz w:val="24"/>
                <w:szCs w:val="28"/>
                <w:lang w:eastAsia="zh-CN"/>
              </w:rPr>
              <w:drawing>
                <wp:inline distT="0" distB="0" distL="114300" distR="114300">
                  <wp:extent cx="4765040" cy="2709545"/>
                  <wp:effectExtent l="0" t="0" r="16510" b="14605"/>
                  <wp:docPr id="21" name="图片 2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
                          <pic:cNvPicPr>
                            <a:picLocks noChangeAspect="1"/>
                          </pic:cNvPicPr>
                        </pic:nvPicPr>
                        <pic:blipFill>
                          <a:blip r:embed="rId8"/>
                          <a:stretch>
                            <a:fillRect/>
                          </a:stretch>
                        </pic:blipFill>
                        <pic:spPr>
                          <a:xfrm>
                            <a:off x="0" y="0"/>
                            <a:ext cx="4765040" cy="2709545"/>
                          </a:xfrm>
                          <a:prstGeom prst="rect">
                            <a:avLst/>
                          </a:prstGeom>
                        </pic:spPr>
                      </pic:pic>
                    </a:graphicData>
                  </a:graphic>
                </wp:inline>
              </w:drawing>
            </w:r>
          </w:p>
          <w:p w14:paraId="12AF9DF2">
            <w:pPr>
              <w:spacing w:line="360" w:lineRule="auto"/>
              <w:jc w:val="center"/>
              <w:rPr>
                <w:rFonts w:hint="default" w:ascii="Times New Roman" w:hAnsi="Times New Roman" w:eastAsia="宋体" w:cs="Times New Roman"/>
                <w:b/>
                <w:bCs/>
                <w:color w:val="auto"/>
                <w:sz w:val="24"/>
                <w:szCs w:val="24"/>
              </w:rPr>
            </w:pPr>
            <w:r>
              <w:rPr>
                <w:rFonts w:hint="eastAsia" w:cs="Times New Roman"/>
                <w:b/>
                <w:bCs/>
                <w:color w:val="auto"/>
                <w:sz w:val="24"/>
                <w:szCs w:val="24"/>
                <w:lang w:val="en-US" w:eastAsia="zh-CN"/>
              </w:rPr>
              <w:t xml:space="preserve">图2-2    </w:t>
            </w:r>
            <w:r>
              <w:rPr>
                <w:rFonts w:hint="default" w:ascii="Times New Roman" w:hAnsi="Times New Roman" w:eastAsia="宋体" w:cs="Times New Roman"/>
                <w:b/>
                <w:bCs/>
                <w:color w:val="auto"/>
                <w:sz w:val="24"/>
                <w:szCs w:val="24"/>
              </w:rPr>
              <w:t>顶管操作井、工作井示意图</w:t>
            </w:r>
          </w:p>
          <w:p w14:paraId="1CFFE3CA">
            <w:pPr>
              <w:spacing w:line="360" w:lineRule="auto"/>
              <w:ind w:firstLine="480" w:firstLineChars="200"/>
              <w:rPr>
                <w:rFonts w:hint="default" w:ascii="Times New Roman" w:hAnsi="Times New Roman" w:eastAsia="宋体" w:cs="Times New Roman"/>
                <w:color w:val="auto"/>
                <w:sz w:val="24"/>
                <w:szCs w:val="28"/>
              </w:rPr>
            </w:pPr>
            <w:r>
              <w:rPr>
                <w:rFonts w:hint="default" w:ascii="Times New Roman" w:hAnsi="Times New Roman" w:eastAsia="宋体" w:cs="Times New Roman"/>
                <w:color w:val="auto"/>
                <w:sz w:val="24"/>
                <w:szCs w:val="28"/>
              </w:rPr>
              <w:t>顶管工作井是顶管施工的临时设施，管节入口为操作井，管节出口为接收井。工作井内部设有后背、导轨、排水坑、密封门等设备。在顶进过程中是管节、土方运输的出入口，长距离顶管时工作井可</w:t>
            </w:r>
            <w:r>
              <w:rPr>
                <w:rFonts w:hint="eastAsia" w:cs="Times New Roman"/>
                <w:color w:val="auto"/>
                <w:sz w:val="24"/>
                <w:szCs w:val="28"/>
                <w:lang w:eastAsia="zh-CN"/>
              </w:rPr>
              <w:t>作为</w:t>
            </w:r>
            <w:r>
              <w:rPr>
                <w:rFonts w:hint="default" w:ascii="Times New Roman" w:hAnsi="Times New Roman" w:eastAsia="宋体" w:cs="Times New Roman"/>
                <w:color w:val="auto"/>
                <w:sz w:val="24"/>
                <w:szCs w:val="28"/>
              </w:rPr>
              <w:t>转向井，顶管竣工后工作井经过改建还可</w:t>
            </w:r>
            <w:r>
              <w:rPr>
                <w:rFonts w:hint="eastAsia" w:cs="Times New Roman"/>
                <w:color w:val="auto"/>
                <w:sz w:val="24"/>
                <w:szCs w:val="28"/>
                <w:lang w:eastAsia="zh-CN"/>
              </w:rPr>
              <w:t>作为</w:t>
            </w:r>
            <w:r>
              <w:rPr>
                <w:rFonts w:hint="default" w:ascii="Times New Roman" w:hAnsi="Times New Roman" w:eastAsia="宋体" w:cs="Times New Roman"/>
                <w:color w:val="auto"/>
                <w:sz w:val="24"/>
                <w:szCs w:val="28"/>
              </w:rPr>
              <w:t>管道工程的检查井等附属构筑物。本工程新建矩形工作井</w:t>
            </w:r>
            <w:r>
              <w:rPr>
                <w:rFonts w:hint="eastAsia" w:cs="Times New Roman"/>
                <w:color w:val="auto"/>
                <w:sz w:val="24"/>
                <w:szCs w:val="28"/>
                <w:lang w:val="en-US" w:eastAsia="zh-CN"/>
              </w:rPr>
              <w:t>5</w:t>
            </w:r>
            <w:r>
              <w:rPr>
                <w:rFonts w:hint="default" w:ascii="Times New Roman" w:hAnsi="Times New Roman" w:eastAsia="宋体" w:cs="Times New Roman"/>
                <w:color w:val="auto"/>
                <w:sz w:val="24"/>
                <w:szCs w:val="28"/>
              </w:rPr>
              <w:t>座，尺寸为长</w:t>
            </w:r>
            <w:r>
              <w:rPr>
                <w:rFonts w:hint="eastAsia" w:cs="Times New Roman"/>
                <w:color w:val="auto"/>
                <w:sz w:val="24"/>
                <w:szCs w:val="28"/>
                <w:lang w:val="en-US" w:eastAsia="zh-CN"/>
              </w:rPr>
              <w:t>×</w:t>
            </w:r>
            <w:r>
              <w:rPr>
                <w:rFonts w:hint="default" w:ascii="Times New Roman" w:hAnsi="Times New Roman" w:eastAsia="宋体" w:cs="Times New Roman"/>
                <w:color w:val="auto"/>
                <w:sz w:val="24"/>
                <w:szCs w:val="28"/>
              </w:rPr>
              <w:t>宽</w:t>
            </w:r>
            <w:r>
              <w:rPr>
                <w:rFonts w:hint="eastAsia" w:cs="Times New Roman"/>
                <w:color w:val="auto"/>
                <w:sz w:val="24"/>
                <w:szCs w:val="28"/>
                <w:lang w:val="en-US" w:eastAsia="zh-CN"/>
              </w:rPr>
              <w:t>×</w:t>
            </w:r>
            <w:r>
              <w:rPr>
                <w:rFonts w:hint="default" w:ascii="Times New Roman" w:hAnsi="Times New Roman" w:eastAsia="宋体" w:cs="Times New Roman"/>
                <w:color w:val="auto"/>
                <w:sz w:val="24"/>
                <w:szCs w:val="28"/>
              </w:rPr>
              <w:t>高</w:t>
            </w:r>
            <w:r>
              <w:rPr>
                <w:rFonts w:hint="eastAsia" w:ascii="Times New Roman" w:hAnsi="Times New Roman" w:eastAsia="宋体" w:cs="Times New Roman"/>
                <w:color w:val="auto"/>
                <w:sz w:val="24"/>
                <w:szCs w:val="28"/>
                <w:lang w:eastAsia="zh-CN"/>
              </w:rPr>
              <w:t>（</w:t>
            </w:r>
            <w:r>
              <w:rPr>
                <w:rFonts w:hint="default" w:ascii="Times New Roman" w:hAnsi="Times New Roman" w:eastAsia="宋体" w:cs="Times New Roman"/>
                <w:color w:val="auto"/>
                <w:sz w:val="24"/>
                <w:szCs w:val="28"/>
              </w:rPr>
              <w:t>10.0</w:t>
            </w:r>
            <w:r>
              <w:rPr>
                <w:rFonts w:hint="eastAsia" w:cs="Times New Roman"/>
                <w:color w:val="auto"/>
                <w:sz w:val="24"/>
                <w:szCs w:val="28"/>
                <w:lang w:val="en-US" w:eastAsia="zh-CN"/>
              </w:rPr>
              <w:t>×</w:t>
            </w:r>
            <w:r>
              <w:rPr>
                <w:rFonts w:hint="default" w:ascii="Times New Roman" w:hAnsi="Times New Roman" w:eastAsia="宋体" w:cs="Times New Roman"/>
                <w:color w:val="auto"/>
                <w:sz w:val="24"/>
                <w:szCs w:val="28"/>
              </w:rPr>
              <w:t>4.0</w:t>
            </w:r>
            <w:r>
              <w:rPr>
                <w:rFonts w:hint="eastAsia" w:cs="Times New Roman"/>
                <w:color w:val="auto"/>
                <w:sz w:val="24"/>
                <w:szCs w:val="28"/>
                <w:lang w:val="en-US" w:eastAsia="zh-CN"/>
              </w:rPr>
              <w:t>×</w:t>
            </w:r>
            <w:r>
              <w:rPr>
                <w:rFonts w:hint="default" w:ascii="Times New Roman" w:hAnsi="Times New Roman" w:eastAsia="宋体" w:cs="Times New Roman"/>
                <w:color w:val="auto"/>
                <w:sz w:val="24"/>
                <w:szCs w:val="28"/>
              </w:rPr>
              <w:t>12m），矩形接收井</w:t>
            </w:r>
            <w:r>
              <w:rPr>
                <w:rFonts w:hint="eastAsia" w:cs="Times New Roman"/>
                <w:color w:val="auto"/>
                <w:sz w:val="24"/>
                <w:szCs w:val="28"/>
                <w:lang w:val="en-US" w:eastAsia="zh-CN"/>
              </w:rPr>
              <w:t>5</w:t>
            </w:r>
            <w:r>
              <w:rPr>
                <w:rFonts w:hint="default" w:ascii="Times New Roman" w:hAnsi="Times New Roman" w:eastAsia="宋体" w:cs="Times New Roman"/>
                <w:color w:val="auto"/>
                <w:sz w:val="24"/>
                <w:szCs w:val="28"/>
              </w:rPr>
              <w:t>座，尺寸为长</w:t>
            </w:r>
            <w:r>
              <w:rPr>
                <w:rFonts w:hint="eastAsia" w:cs="Times New Roman"/>
                <w:color w:val="auto"/>
                <w:sz w:val="24"/>
                <w:szCs w:val="28"/>
                <w:lang w:val="en-US" w:eastAsia="zh-CN"/>
              </w:rPr>
              <w:t>×</w:t>
            </w:r>
            <w:r>
              <w:rPr>
                <w:rFonts w:hint="default" w:ascii="Times New Roman" w:hAnsi="Times New Roman" w:eastAsia="宋体" w:cs="Times New Roman"/>
                <w:color w:val="auto"/>
                <w:sz w:val="24"/>
                <w:szCs w:val="28"/>
              </w:rPr>
              <w:t>宽</w:t>
            </w:r>
            <w:r>
              <w:rPr>
                <w:rFonts w:hint="eastAsia" w:cs="Times New Roman"/>
                <w:color w:val="auto"/>
                <w:sz w:val="24"/>
                <w:szCs w:val="28"/>
                <w:lang w:val="en-US" w:eastAsia="zh-CN"/>
              </w:rPr>
              <w:t>×</w:t>
            </w:r>
            <w:r>
              <w:rPr>
                <w:rFonts w:hint="default" w:ascii="Times New Roman" w:hAnsi="Times New Roman" w:eastAsia="宋体" w:cs="Times New Roman"/>
                <w:color w:val="auto"/>
                <w:sz w:val="24"/>
                <w:szCs w:val="28"/>
              </w:rPr>
              <w:t xml:space="preserve"> 高</w:t>
            </w:r>
            <w:r>
              <w:rPr>
                <w:rFonts w:hint="eastAsia" w:ascii="Times New Roman" w:hAnsi="Times New Roman" w:eastAsia="宋体" w:cs="Times New Roman"/>
                <w:color w:val="auto"/>
                <w:sz w:val="24"/>
                <w:szCs w:val="28"/>
                <w:lang w:eastAsia="zh-CN"/>
              </w:rPr>
              <w:t>（</w:t>
            </w:r>
            <w:r>
              <w:rPr>
                <w:rFonts w:hint="default" w:ascii="Times New Roman" w:hAnsi="Times New Roman" w:eastAsia="宋体" w:cs="Times New Roman"/>
                <w:color w:val="auto"/>
                <w:sz w:val="24"/>
                <w:szCs w:val="28"/>
              </w:rPr>
              <w:t>7.0</w:t>
            </w:r>
            <w:r>
              <w:rPr>
                <w:rFonts w:hint="eastAsia" w:cs="Times New Roman"/>
                <w:color w:val="auto"/>
                <w:sz w:val="24"/>
                <w:szCs w:val="28"/>
                <w:lang w:val="en-US" w:eastAsia="zh-CN"/>
              </w:rPr>
              <w:t>×</w:t>
            </w:r>
            <w:r>
              <w:rPr>
                <w:rFonts w:hint="default" w:ascii="Times New Roman" w:hAnsi="Times New Roman" w:eastAsia="宋体" w:cs="Times New Roman"/>
                <w:color w:val="auto"/>
                <w:sz w:val="24"/>
                <w:szCs w:val="28"/>
              </w:rPr>
              <w:t>4.0</w:t>
            </w:r>
            <w:r>
              <w:rPr>
                <w:rFonts w:hint="eastAsia" w:cs="Times New Roman"/>
                <w:color w:val="auto"/>
                <w:sz w:val="24"/>
                <w:szCs w:val="28"/>
                <w:lang w:val="en-US" w:eastAsia="zh-CN"/>
              </w:rPr>
              <w:t>×</w:t>
            </w:r>
            <w:r>
              <w:rPr>
                <w:rFonts w:hint="default" w:ascii="Times New Roman" w:hAnsi="Times New Roman" w:eastAsia="宋体" w:cs="Times New Roman"/>
                <w:color w:val="auto"/>
                <w:sz w:val="24"/>
                <w:szCs w:val="28"/>
              </w:rPr>
              <w:t>12m及10.0</w:t>
            </w:r>
            <w:r>
              <w:rPr>
                <w:rFonts w:hint="eastAsia" w:cs="Times New Roman"/>
                <w:color w:val="auto"/>
                <w:sz w:val="24"/>
                <w:szCs w:val="28"/>
                <w:lang w:val="en-US" w:eastAsia="zh-CN"/>
              </w:rPr>
              <w:t>×</w:t>
            </w:r>
            <w:r>
              <w:rPr>
                <w:rFonts w:hint="default" w:ascii="Times New Roman" w:hAnsi="Times New Roman" w:eastAsia="宋体" w:cs="Times New Roman"/>
                <w:color w:val="auto"/>
                <w:sz w:val="24"/>
                <w:szCs w:val="28"/>
              </w:rPr>
              <w:t>4.0</w:t>
            </w:r>
            <w:r>
              <w:rPr>
                <w:rFonts w:hint="eastAsia" w:cs="Times New Roman"/>
                <w:color w:val="auto"/>
                <w:sz w:val="24"/>
                <w:szCs w:val="28"/>
                <w:lang w:val="en-US" w:eastAsia="zh-CN"/>
              </w:rPr>
              <w:t>×</w:t>
            </w:r>
            <w:r>
              <w:rPr>
                <w:rFonts w:hint="default" w:ascii="Times New Roman" w:hAnsi="Times New Roman" w:eastAsia="宋体" w:cs="Times New Roman"/>
                <w:color w:val="auto"/>
                <w:sz w:val="24"/>
                <w:szCs w:val="28"/>
              </w:rPr>
              <w:t>15m），圆形工作井1 座，尺寸D=10.0m、H=7.84m，圆形接收井</w:t>
            </w:r>
            <w:r>
              <w:rPr>
                <w:rFonts w:hint="eastAsia" w:cs="Times New Roman"/>
                <w:color w:val="auto"/>
                <w:sz w:val="24"/>
                <w:szCs w:val="28"/>
                <w:lang w:val="en-US" w:eastAsia="zh-CN"/>
              </w:rPr>
              <w:t>1</w:t>
            </w:r>
            <w:r>
              <w:rPr>
                <w:rFonts w:hint="default" w:ascii="Times New Roman" w:hAnsi="Times New Roman" w:eastAsia="宋体" w:cs="Times New Roman"/>
                <w:color w:val="auto"/>
                <w:sz w:val="24"/>
                <w:szCs w:val="28"/>
              </w:rPr>
              <w:t>座，尺寸D=7.0m、H=12m。</w:t>
            </w:r>
          </w:p>
          <w:p w14:paraId="17F9377C">
            <w:pPr>
              <w:spacing w:line="360" w:lineRule="auto"/>
              <w:ind w:firstLine="480" w:firstLineChars="200"/>
              <w:rPr>
                <w:rFonts w:hint="default" w:ascii="Times New Roman" w:hAnsi="Times New Roman" w:eastAsia="宋体" w:cs="Times New Roman"/>
                <w:color w:val="auto"/>
                <w:sz w:val="24"/>
                <w:szCs w:val="28"/>
              </w:rPr>
            </w:pPr>
            <w:r>
              <w:rPr>
                <w:rFonts w:hint="eastAsia" w:cs="Times New Roman"/>
                <w:color w:val="auto"/>
                <w:sz w:val="24"/>
                <w:szCs w:val="28"/>
                <w:lang w:eastAsia="zh-CN"/>
              </w:rPr>
              <w:t>（</w:t>
            </w:r>
            <w:r>
              <w:rPr>
                <w:rFonts w:hint="default" w:ascii="Times New Roman" w:hAnsi="Times New Roman" w:eastAsia="宋体" w:cs="Times New Roman"/>
                <w:color w:val="auto"/>
                <w:sz w:val="24"/>
                <w:szCs w:val="28"/>
              </w:rPr>
              <w:t>2）明槽开挖跨河段</w:t>
            </w:r>
          </w:p>
          <w:p w14:paraId="5E178CDD">
            <w:pPr>
              <w:spacing w:line="360" w:lineRule="auto"/>
              <w:ind w:firstLine="480" w:firstLineChars="200"/>
              <w:rPr>
                <w:rFonts w:hint="default" w:ascii="Times New Roman" w:hAnsi="Times New Roman" w:eastAsia="宋体" w:cs="Times New Roman"/>
                <w:color w:val="auto"/>
                <w:sz w:val="24"/>
                <w:szCs w:val="28"/>
              </w:rPr>
            </w:pPr>
            <w:r>
              <w:rPr>
                <w:rFonts w:hint="default" w:ascii="Times New Roman" w:hAnsi="Times New Roman" w:eastAsia="宋体" w:cs="Times New Roman"/>
                <w:color w:val="auto"/>
                <w:sz w:val="24"/>
                <w:szCs w:val="28"/>
              </w:rPr>
              <w:t>本工程新建DN1400原水管道在桩号Y</w:t>
            </w:r>
            <w:r>
              <w:rPr>
                <w:rFonts w:hint="eastAsia" w:cs="Times New Roman"/>
                <w:color w:val="auto"/>
                <w:sz w:val="24"/>
                <w:szCs w:val="28"/>
                <w:lang w:val="en-US" w:eastAsia="zh-CN"/>
              </w:rPr>
              <w:t>4</w:t>
            </w:r>
            <w:r>
              <w:rPr>
                <w:rFonts w:hint="default" w:ascii="Times New Roman" w:hAnsi="Times New Roman" w:eastAsia="宋体" w:cs="Times New Roman"/>
                <w:color w:val="auto"/>
                <w:sz w:val="24"/>
                <w:szCs w:val="28"/>
              </w:rPr>
              <w:t>+</w:t>
            </w:r>
            <w:r>
              <w:rPr>
                <w:rFonts w:hint="eastAsia" w:cs="Times New Roman"/>
                <w:color w:val="auto"/>
                <w:sz w:val="24"/>
                <w:szCs w:val="28"/>
                <w:lang w:val="en-US" w:eastAsia="zh-CN"/>
              </w:rPr>
              <w:t>008~</w:t>
            </w:r>
            <w:r>
              <w:rPr>
                <w:rFonts w:hint="default" w:ascii="Times New Roman" w:hAnsi="Times New Roman" w:eastAsia="宋体" w:cs="Times New Roman"/>
                <w:color w:val="auto"/>
                <w:sz w:val="24"/>
                <w:szCs w:val="28"/>
              </w:rPr>
              <w:t>Y</w:t>
            </w:r>
            <w:r>
              <w:rPr>
                <w:rFonts w:hint="eastAsia" w:cs="Times New Roman"/>
                <w:color w:val="auto"/>
                <w:sz w:val="24"/>
                <w:szCs w:val="28"/>
                <w:lang w:val="en-US" w:eastAsia="zh-CN"/>
              </w:rPr>
              <w:t>4</w:t>
            </w:r>
            <w:r>
              <w:rPr>
                <w:rFonts w:hint="default" w:ascii="Times New Roman" w:hAnsi="Times New Roman" w:eastAsia="宋体" w:cs="Times New Roman"/>
                <w:color w:val="auto"/>
                <w:sz w:val="24"/>
                <w:szCs w:val="28"/>
              </w:rPr>
              <w:t>+</w:t>
            </w:r>
            <w:r>
              <w:rPr>
                <w:rFonts w:hint="eastAsia" w:cs="Times New Roman"/>
                <w:color w:val="auto"/>
                <w:sz w:val="24"/>
                <w:szCs w:val="28"/>
                <w:lang w:val="en-US" w:eastAsia="zh-CN"/>
              </w:rPr>
              <w:t>021</w:t>
            </w:r>
            <w:r>
              <w:rPr>
                <w:rFonts w:hint="default" w:ascii="Times New Roman" w:hAnsi="Times New Roman" w:eastAsia="宋体" w:cs="Times New Roman"/>
                <w:color w:val="auto"/>
                <w:sz w:val="24"/>
                <w:szCs w:val="28"/>
              </w:rPr>
              <w:t>、Y</w:t>
            </w:r>
            <w:r>
              <w:rPr>
                <w:rFonts w:hint="eastAsia" w:cs="Times New Roman"/>
                <w:color w:val="auto"/>
                <w:sz w:val="24"/>
                <w:szCs w:val="28"/>
                <w:lang w:val="en-US" w:eastAsia="zh-CN"/>
              </w:rPr>
              <w:t>6</w:t>
            </w:r>
            <w:r>
              <w:rPr>
                <w:rFonts w:hint="default" w:ascii="Times New Roman" w:hAnsi="Times New Roman" w:eastAsia="宋体" w:cs="Times New Roman"/>
                <w:color w:val="auto"/>
                <w:sz w:val="24"/>
                <w:szCs w:val="28"/>
              </w:rPr>
              <w:t>+</w:t>
            </w:r>
            <w:r>
              <w:rPr>
                <w:rFonts w:hint="eastAsia" w:cs="Times New Roman"/>
                <w:color w:val="auto"/>
                <w:sz w:val="24"/>
                <w:szCs w:val="28"/>
                <w:lang w:val="en-US" w:eastAsia="zh-CN"/>
              </w:rPr>
              <w:t>635</w:t>
            </w:r>
            <w:r>
              <w:rPr>
                <w:rFonts w:hint="default" w:ascii="Times New Roman" w:hAnsi="Times New Roman" w:eastAsia="宋体" w:cs="Times New Roman"/>
                <w:color w:val="auto"/>
                <w:sz w:val="24"/>
                <w:szCs w:val="28"/>
              </w:rPr>
              <w:t>～Y</w:t>
            </w:r>
            <w:r>
              <w:rPr>
                <w:rFonts w:hint="eastAsia" w:cs="Times New Roman"/>
                <w:color w:val="auto"/>
                <w:sz w:val="24"/>
                <w:szCs w:val="28"/>
                <w:lang w:val="en-US" w:eastAsia="zh-CN"/>
              </w:rPr>
              <w:t>6</w:t>
            </w:r>
            <w:r>
              <w:rPr>
                <w:rFonts w:hint="default" w:ascii="Times New Roman" w:hAnsi="Times New Roman" w:eastAsia="宋体" w:cs="Times New Roman"/>
                <w:color w:val="auto"/>
                <w:sz w:val="24"/>
                <w:szCs w:val="28"/>
              </w:rPr>
              <w:t>+</w:t>
            </w:r>
            <w:r>
              <w:rPr>
                <w:rFonts w:hint="eastAsia" w:cs="Times New Roman"/>
                <w:color w:val="auto"/>
                <w:sz w:val="24"/>
                <w:szCs w:val="28"/>
                <w:lang w:val="en-US" w:eastAsia="zh-CN"/>
              </w:rPr>
              <w:t>650</w:t>
            </w:r>
            <w:r>
              <w:rPr>
                <w:rFonts w:hint="default" w:ascii="Times New Roman" w:hAnsi="Times New Roman" w:eastAsia="宋体" w:cs="Times New Roman"/>
                <w:color w:val="auto"/>
                <w:sz w:val="24"/>
                <w:szCs w:val="28"/>
              </w:rPr>
              <w:t>、Y</w:t>
            </w:r>
            <w:r>
              <w:rPr>
                <w:rFonts w:hint="eastAsia" w:cs="Times New Roman"/>
                <w:color w:val="auto"/>
                <w:sz w:val="24"/>
                <w:szCs w:val="28"/>
                <w:lang w:val="en-US" w:eastAsia="zh-CN"/>
              </w:rPr>
              <w:t>21</w:t>
            </w:r>
            <w:r>
              <w:rPr>
                <w:rFonts w:hint="default" w:ascii="Times New Roman" w:hAnsi="Times New Roman" w:eastAsia="宋体" w:cs="Times New Roman"/>
                <w:color w:val="auto"/>
                <w:sz w:val="24"/>
                <w:szCs w:val="28"/>
              </w:rPr>
              <w:t>+</w:t>
            </w:r>
            <w:r>
              <w:rPr>
                <w:rFonts w:hint="eastAsia" w:cs="Times New Roman"/>
                <w:color w:val="auto"/>
                <w:sz w:val="24"/>
                <w:szCs w:val="28"/>
                <w:lang w:val="en-US" w:eastAsia="zh-CN"/>
              </w:rPr>
              <w:t>635</w:t>
            </w:r>
            <w:r>
              <w:rPr>
                <w:rFonts w:hint="default" w:ascii="Times New Roman" w:hAnsi="Times New Roman" w:eastAsia="宋体" w:cs="Times New Roman"/>
                <w:color w:val="auto"/>
                <w:sz w:val="24"/>
                <w:szCs w:val="28"/>
              </w:rPr>
              <w:t>～Y</w:t>
            </w:r>
            <w:r>
              <w:rPr>
                <w:rFonts w:hint="eastAsia" w:cs="Times New Roman"/>
                <w:color w:val="auto"/>
                <w:sz w:val="24"/>
                <w:szCs w:val="28"/>
                <w:lang w:val="en-US" w:eastAsia="zh-CN"/>
              </w:rPr>
              <w:t>21</w:t>
            </w:r>
            <w:r>
              <w:rPr>
                <w:rFonts w:hint="default" w:ascii="Times New Roman" w:hAnsi="Times New Roman" w:eastAsia="宋体" w:cs="Times New Roman"/>
                <w:color w:val="auto"/>
                <w:sz w:val="24"/>
                <w:szCs w:val="28"/>
              </w:rPr>
              <w:t>+</w:t>
            </w:r>
            <w:r>
              <w:rPr>
                <w:rFonts w:hint="eastAsia" w:cs="Times New Roman"/>
                <w:color w:val="auto"/>
                <w:sz w:val="24"/>
                <w:szCs w:val="28"/>
                <w:lang w:val="en-US" w:eastAsia="zh-CN"/>
              </w:rPr>
              <w:t>650</w:t>
            </w:r>
            <w:r>
              <w:rPr>
                <w:rFonts w:hint="default" w:ascii="Times New Roman" w:hAnsi="Times New Roman" w:eastAsia="宋体" w:cs="Times New Roman"/>
                <w:color w:val="auto"/>
                <w:sz w:val="24"/>
                <w:szCs w:val="28"/>
              </w:rPr>
              <w:t xml:space="preserve"> 、Y</w:t>
            </w:r>
            <w:r>
              <w:rPr>
                <w:rFonts w:hint="eastAsia" w:cs="Times New Roman"/>
                <w:color w:val="auto"/>
                <w:sz w:val="24"/>
                <w:szCs w:val="28"/>
                <w:lang w:val="en-US" w:eastAsia="zh-CN"/>
              </w:rPr>
              <w:t>25</w:t>
            </w:r>
            <w:r>
              <w:rPr>
                <w:rFonts w:hint="default" w:ascii="Times New Roman" w:hAnsi="Times New Roman" w:eastAsia="宋体" w:cs="Times New Roman"/>
                <w:color w:val="auto"/>
                <w:sz w:val="24"/>
                <w:szCs w:val="28"/>
              </w:rPr>
              <w:t>+4</w:t>
            </w:r>
            <w:r>
              <w:rPr>
                <w:rFonts w:hint="eastAsia" w:cs="Times New Roman"/>
                <w:color w:val="auto"/>
                <w:sz w:val="24"/>
                <w:szCs w:val="28"/>
                <w:lang w:val="en-US" w:eastAsia="zh-CN"/>
              </w:rPr>
              <w:t>33</w:t>
            </w:r>
            <w:r>
              <w:rPr>
                <w:rFonts w:hint="default" w:ascii="Times New Roman" w:hAnsi="Times New Roman" w:eastAsia="宋体" w:cs="Times New Roman"/>
                <w:color w:val="auto"/>
                <w:sz w:val="24"/>
                <w:szCs w:val="28"/>
              </w:rPr>
              <w:t xml:space="preserve"> ～ Y</w:t>
            </w:r>
            <w:r>
              <w:rPr>
                <w:rFonts w:hint="eastAsia" w:cs="Times New Roman"/>
                <w:color w:val="auto"/>
                <w:sz w:val="24"/>
                <w:szCs w:val="28"/>
                <w:lang w:val="en-US" w:eastAsia="zh-CN"/>
              </w:rPr>
              <w:t>25</w:t>
            </w:r>
            <w:r>
              <w:rPr>
                <w:rFonts w:hint="default" w:ascii="Times New Roman" w:hAnsi="Times New Roman" w:eastAsia="宋体" w:cs="Times New Roman"/>
                <w:color w:val="auto"/>
                <w:sz w:val="24"/>
                <w:szCs w:val="28"/>
              </w:rPr>
              <w:t>+</w:t>
            </w:r>
            <w:r>
              <w:rPr>
                <w:rFonts w:hint="eastAsia" w:cs="Times New Roman"/>
                <w:color w:val="auto"/>
                <w:sz w:val="24"/>
                <w:szCs w:val="28"/>
                <w:lang w:val="en-US" w:eastAsia="zh-CN"/>
              </w:rPr>
              <w:t>440</w:t>
            </w:r>
            <w:r>
              <w:rPr>
                <w:rFonts w:hint="default" w:ascii="Times New Roman" w:hAnsi="Times New Roman" w:eastAsia="宋体" w:cs="Times New Roman"/>
                <w:color w:val="auto"/>
                <w:sz w:val="24"/>
                <w:szCs w:val="28"/>
              </w:rPr>
              <w:t xml:space="preserve"> 、Y</w:t>
            </w:r>
            <w:r>
              <w:rPr>
                <w:rFonts w:hint="eastAsia" w:cs="Times New Roman"/>
                <w:color w:val="auto"/>
                <w:sz w:val="24"/>
                <w:szCs w:val="28"/>
                <w:lang w:val="en-US" w:eastAsia="zh-CN"/>
              </w:rPr>
              <w:t>27</w:t>
            </w:r>
            <w:r>
              <w:rPr>
                <w:rFonts w:hint="default" w:ascii="Times New Roman" w:hAnsi="Times New Roman" w:eastAsia="宋体" w:cs="Times New Roman"/>
                <w:color w:val="auto"/>
                <w:sz w:val="24"/>
                <w:szCs w:val="28"/>
              </w:rPr>
              <w:t>+</w:t>
            </w:r>
            <w:r>
              <w:rPr>
                <w:rFonts w:hint="eastAsia" w:cs="Times New Roman"/>
                <w:color w:val="auto"/>
                <w:sz w:val="24"/>
                <w:szCs w:val="28"/>
                <w:lang w:val="en-US" w:eastAsia="zh-CN"/>
              </w:rPr>
              <w:t>46</w:t>
            </w:r>
            <w:r>
              <w:rPr>
                <w:rFonts w:hint="default" w:ascii="Times New Roman" w:hAnsi="Times New Roman" w:eastAsia="宋体" w:cs="Times New Roman"/>
                <w:color w:val="auto"/>
                <w:sz w:val="24"/>
                <w:szCs w:val="28"/>
              </w:rPr>
              <w:t>1 ～Y</w:t>
            </w:r>
            <w:r>
              <w:rPr>
                <w:rFonts w:hint="eastAsia" w:cs="Times New Roman"/>
                <w:color w:val="auto"/>
                <w:sz w:val="24"/>
                <w:szCs w:val="28"/>
                <w:lang w:val="en-US" w:eastAsia="zh-CN"/>
              </w:rPr>
              <w:t>27</w:t>
            </w:r>
            <w:r>
              <w:rPr>
                <w:rFonts w:hint="default" w:ascii="Times New Roman" w:hAnsi="Times New Roman" w:eastAsia="宋体" w:cs="Times New Roman"/>
                <w:color w:val="auto"/>
                <w:sz w:val="24"/>
                <w:szCs w:val="28"/>
              </w:rPr>
              <w:t>+</w:t>
            </w:r>
            <w:r>
              <w:rPr>
                <w:rFonts w:hint="eastAsia" w:cs="Times New Roman"/>
                <w:color w:val="auto"/>
                <w:sz w:val="24"/>
                <w:szCs w:val="28"/>
                <w:lang w:val="en-US" w:eastAsia="zh-CN"/>
              </w:rPr>
              <w:t>469</w:t>
            </w:r>
            <w:r>
              <w:rPr>
                <w:rFonts w:hint="default" w:ascii="Times New Roman" w:hAnsi="Times New Roman" w:eastAsia="宋体" w:cs="Times New Roman"/>
                <w:color w:val="auto"/>
                <w:sz w:val="24"/>
                <w:szCs w:val="28"/>
              </w:rPr>
              <w:t>，共</w:t>
            </w:r>
            <w:r>
              <w:rPr>
                <w:rFonts w:hint="eastAsia" w:cs="Times New Roman"/>
                <w:color w:val="auto"/>
                <w:sz w:val="24"/>
                <w:szCs w:val="28"/>
                <w:lang w:val="en-US" w:eastAsia="zh-CN"/>
              </w:rPr>
              <w:t>五</w:t>
            </w:r>
            <w:r>
              <w:rPr>
                <w:rFonts w:hint="default" w:ascii="Times New Roman" w:hAnsi="Times New Roman" w:eastAsia="宋体" w:cs="Times New Roman"/>
                <w:color w:val="auto"/>
                <w:sz w:val="24"/>
                <w:szCs w:val="28"/>
              </w:rPr>
              <w:t>段管道采用明槽开挖下穿鸣矣河</w:t>
            </w:r>
            <w:r>
              <w:rPr>
                <w:rFonts w:hint="eastAsia" w:cs="Times New Roman"/>
                <w:color w:val="auto"/>
                <w:sz w:val="24"/>
                <w:szCs w:val="28"/>
                <w:lang w:eastAsia="zh-CN"/>
              </w:rPr>
              <w:t>（</w:t>
            </w:r>
            <w:r>
              <w:rPr>
                <w:rFonts w:hint="eastAsia" w:cs="Times New Roman"/>
                <w:color w:val="auto"/>
                <w:sz w:val="24"/>
                <w:szCs w:val="28"/>
                <w:lang w:val="en-US" w:eastAsia="zh-CN"/>
              </w:rPr>
              <w:t>八街河</w:t>
            </w:r>
            <w:r>
              <w:rPr>
                <w:rFonts w:hint="eastAsia" w:cs="Times New Roman"/>
                <w:color w:val="auto"/>
                <w:sz w:val="24"/>
                <w:szCs w:val="28"/>
                <w:lang w:eastAsia="zh-CN"/>
              </w:rPr>
              <w:t>）；</w:t>
            </w:r>
            <w:r>
              <w:rPr>
                <w:rFonts w:hint="default" w:ascii="Times New Roman" w:hAnsi="Times New Roman" w:eastAsia="宋体" w:cs="Times New Roman"/>
                <w:color w:val="auto"/>
                <w:sz w:val="24"/>
                <w:szCs w:val="28"/>
              </w:rPr>
              <w:t>新建DN400原水管道在桩号Y</w:t>
            </w:r>
            <w:r>
              <w:rPr>
                <w:rFonts w:hint="eastAsia" w:ascii="Times New Roman" w:hAnsi="Times New Roman" w:eastAsia="宋体" w:cs="Times New Roman"/>
                <w:color w:val="auto"/>
                <w:sz w:val="24"/>
                <w:szCs w:val="28"/>
                <w:lang w:val="en-US" w:eastAsia="zh-CN"/>
              </w:rPr>
              <w:t>′2+361~2+365处</w:t>
            </w:r>
            <w:r>
              <w:rPr>
                <w:rFonts w:hint="default" w:ascii="Times New Roman" w:hAnsi="Times New Roman" w:eastAsia="宋体" w:cs="Times New Roman"/>
                <w:color w:val="auto"/>
                <w:sz w:val="24"/>
                <w:szCs w:val="28"/>
              </w:rPr>
              <w:t>采用明槽开挖下穿</w:t>
            </w:r>
            <w:r>
              <w:rPr>
                <w:rFonts w:hint="eastAsia" w:ascii="Times New Roman" w:hAnsi="Times New Roman" w:eastAsia="宋体" w:cs="Times New Roman"/>
                <w:color w:val="auto"/>
                <w:sz w:val="24"/>
                <w:szCs w:val="28"/>
                <w:lang w:val="en-US" w:eastAsia="zh-CN"/>
              </w:rPr>
              <w:t>县街河</w:t>
            </w:r>
            <w:r>
              <w:rPr>
                <w:rFonts w:hint="default" w:ascii="Times New Roman" w:hAnsi="Times New Roman" w:eastAsia="宋体" w:cs="Times New Roman"/>
                <w:color w:val="auto"/>
                <w:sz w:val="24"/>
                <w:szCs w:val="28"/>
              </w:rPr>
              <w:t>。</w:t>
            </w:r>
          </w:p>
          <w:p w14:paraId="6D8C7990">
            <w:pPr>
              <w:spacing w:line="360" w:lineRule="auto"/>
              <w:ind w:firstLine="480" w:firstLineChars="200"/>
              <w:rPr>
                <w:rFonts w:hint="default" w:ascii="Times New Roman" w:hAnsi="Times New Roman" w:eastAsia="宋体" w:cs="Times New Roman"/>
                <w:color w:val="auto"/>
                <w:sz w:val="24"/>
                <w:szCs w:val="28"/>
              </w:rPr>
            </w:pPr>
            <w:r>
              <w:rPr>
                <w:rFonts w:hint="default" w:ascii="Times New Roman" w:hAnsi="Times New Roman" w:eastAsia="宋体" w:cs="Times New Roman"/>
                <w:color w:val="auto"/>
                <w:sz w:val="24"/>
                <w:szCs w:val="28"/>
              </w:rPr>
              <w:t>施工采用围堰、明槽开挖、埋管方式。</w:t>
            </w:r>
          </w:p>
          <w:p w14:paraId="6A7E3A90">
            <w:pPr>
              <w:spacing w:line="360" w:lineRule="auto"/>
              <w:jc w:val="center"/>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eastAsia="zh-CN"/>
              </w:rPr>
              <w:drawing>
                <wp:inline distT="0" distB="0" distL="114300" distR="114300">
                  <wp:extent cx="4962525" cy="1560195"/>
                  <wp:effectExtent l="0" t="0" r="5715" b="9525"/>
                  <wp:docPr id="22" name="图片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
                          <pic:cNvPicPr>
                            <a:picLocks noChangeAspect="1"/>
                          </pic:cNvPicPr>
                        </pic:nvPicPr>
                        <pic:blipFill>
                          <a:blip r:embed="rId9"/>
                          <a:srcRect t="14539" b="14539"/>
                          <a:stretch>
                            <a:fillRect/>
                          </a:stretch>
                        </pic:blipFill>
                        <pic:spPr>
                          <a:xfrm>
                            <a:off x="0" y="0"/>
                            <a:ext cx="4962525" cy="1560195"/>
                          </a:xfrm>
                          <a:prstGeom prst="rect">
                            <a:avLst/>
                          </a:prstGeom>
                        </pic:spPr>
                      </pic:pic>
                    </a:graphicData>
                  </a:graphic>
                </wp:inline>
              </w:drawing>
            </w:r>
          </w:p>
          <w:p w14:paraId="3EA6C6A9">
            <w:pPr>
              <w:spacing w:line="360" w:lineRule="auto"/>
              <w:jc w:val="center"/>
              <w:rPr>
                <w:rFonts w:hint="default" w:ascii="Times New Roman" w:hAnsi="Times New Roman" w:eastAsia="宋体" w:cs="Times New Roman"/>
                <w:b/>
                <w:bCs/>
                <w:color w:val="auto"/>
                <w:sz w:val="24"/>
                <w:szCs w:val="24"/>
              </w:rPr>
            </w:pPr>
            <w:r>
              <w:rPr>
                <w:rFonts w:hint="eastAsia" w:cs="Times New Roman"/>
                <w:b/>
                <w:bCs/>
                <w:color w:val="auto"/>
                <w:sz w:val="24"/>
                <w:szCs w:val="24"/>
                <w:lang w:val="en-US" w:eastAsia="zh-CN"/>
              </w:rPr>
              <w:t xml:space="preserve">图2-3    </w:t>
            </w:r>
            <w:r>
              <w:rPr>
                <w:rFonts w:hint="default" w:ascii="Times New Roman" w:hAnsi="Times New Roman" w:eastAsia="宋体" w:cs="Times New Roman"/>
                <w:b/>
                <w:bCs/>
                <w:color w:val="auto"/>
                <w:sz w:val="24"/>
                <w:szCs w:val="24"/>
              </w:rPr>
              <w:t>明槽开挖跨河大样图</w:t>
            </w:r>
          </w:p>
          <w:p w14:paraId="504D4851">
            <w:pPr>
              <w:spacing w:line="360" w:lineRule="auto"/>
              <w:ind w:firstLine="480" w:firstLineChars="200"/>
              <w:rPr>
                <w:rFonts w:hint="eastAsia" w:cs="Times New Roman"/>
                <w:color w:val="auto"/>
                <w:sz w:val="24"/>
                <w:szCs w:val="28"/>
                <w:lang w:val="en-US" w:eastAsia="zh-CN"/>
              </w:rPr>
            </w:pPr>
            <w:r>
              <w:rPr>
                <w:rFonts w:hint="eastAsia" w:cs="Times New Roman"/>
                <w:color w:val="auto"/>
                <w:sz w:val="24"/>
                <w:szCs w:val="28"/>
                <w:lang w:val="en-US" w:eastAsia="zh-CN"/>
              </w:rPr>
              <w:t>具体施工工序如下：</w:t>
            </w:r>
          </w:p>
          <w:p w14:paraId="48212C2B">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567" w:firstLineChars="0"/>
              <w:textAlignment w:val="auto"/>
              <w:rPr>
                <w:rFonts w:hint="eastAsia" w:ascii="Times New Roman" w:hAnsi="Times New Roman" w:eastAsia="宋体" w:cs="Times New Roman"/>
                <w:color w:val="auto"/>
                <w:sz w:val="24"/>
                <w:szCs w:val="28"/>
                <w:lang w:val="en-US" w:eastAsia="zh-CN"/>
              </w:rPr>
            </w:pPr>
            <w:r>
              <w:rPr>
                <w:rFonts w:hint="eastAsia" w:ascii="Times New Roman" w:hAnsi="Times New Roman" w:eastAsia="宋体" w:cs="Times New Roman"/>
                <w:color w:val="auto"/>
                <w:sz w:val="24"/>
                <w:szCs w:val="28"/>
                <w:lang w:val="en-US" w:eastAsia="zh-CN"/>
              </w:rPr>
              <w:t>施工准备：河道水文踏勘、场地清表，布设管线轴线、围堰及导流设施放线。</w:t>
            </w:r>
          </w:p>
          <w:p w14:paraId="0173BF24">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567" w:firstLineChars="0"/>
              <w:textAlignment w:val="auto"/>
              <w:rPr>
                <w:rFonts w:hint="eastAsia" w:ascii="Times New Roman" w:hAnsi="Times New Roman" w:eastAsia="宋体" w:cs="Times New Roman"/>
                <w:color w:val="auto"/>
                <w:sz w:val="24"/>
                <w:szCs w:val="28"/>
                <w:lang w:val="en-US" w:eastAsia="zh-CN"/>
              </w:rPr>
            </w:pPr>
            <w:r>
              <w:rPr>
                <w:rFonts w:hint="eastAsia" w:ascii="Times New Roman" w:hAnsi="Times New Roman" w:eastAsia="宋体" w:cs="Times New Roman"/>
                <w:color w:val="auto"/>
                <w:sz w:val="24"/>
                <w:szCs w:val="28"/>
                <w:lang w:val="en-US" w:eastAsia="zh-CN"/>
              </w:rPr>
              <w:t>导流工程先行：河道侧开挖临时导流涵 / 导流渠，实现河水分流。</w:t>
            </w:r>
          </w:p>
          <w:p w14:paraId="3E85B650">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567" w:firstLineChars="0"/>
              <w:textAlignment w:val="auto"/>
              <w:rPr>
                <w:rFonts w:hint="eastAsia" w:ascii="Times New Roman" w:hAnsi="Times New Roman" w:eastAsia="宋体" w:cs="Times New Roman"/>
                <w:color w:val="auto"/>
                <w:sz w:val="24"/>
                <w:szCs w:val="28"/>
                <w:lang w:val="en-US" w:eastAsia="zh-CN"/>
              </w:rPr>
            </w:pPr>
            <w:r>
              <w:rPr>
                <w:rFonts w:hint="eastAsia" w:ascii="Times New Roman" w:hAnsi="Times New Roman" w:eastAsia="宋体" w:cs="Times New Roman"/>
                <w:color w:val="auto"/>
                <w:sz w:val="24"/>
                <w:szCs w:val="28"/>
                <w:lang w:val="en-US" w:eastAsia="zh-CN"/>
              </w:rPr>
              <w:t>围堰修筑：上下游分层填筑土袋围堰，内侧铺防渗膜，外侧抛石防冲，闭水查漏堵漏。</w:t>
            </w:r>
          </w:p>
          <w:p w14:paraId="2692F353">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567" w:firstLineChars="0"/>
              <w:textAlignment w:val="auto"/>
              <w:rPr>
                <w:rFonts w:hint="eastAsia" w:ascii="Times New Roman" w:hAnsi="Times New Roman" w:eastAsia="宋体" w:cs="Times New Roman"/>
                <w:color w:val="auto"/>
                <w:sz w:val="24"/>
                <w:szCs w:val="28"/>
                <w:lang w:val="en-US" w:eastAsia="zh-CN"/>
              </w:rPr>
            </w:pPr>
            <w:r>
              <w:rPr>
                <w:rFonts w:hint="eastAsia" w:ascii="Times New Roman" w:hAnsi="Times New Roman" w:eastAsia="宋体" w:cs="Times New Roman"/>
                <w:color w:val="auto"/>
                <w:sz w:val="24"/>
                <w:szCs w:val="28"/>
                <w:lang w:val="en-US" w:eastAsia="zh-CN"/>
              </w:rPr>
              <w:t>基坑降水开挖：堰内抽排积水，分层开挖河床淤泥、土体，设置集水井持续降排水，软弱基底换砂垫层。</w:t>
            </w:r>
          </w:p>
          <w:p w14:paraId="78B92852">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567" w:firstLineChars="0"/>
              <w:textAlignment w:val="auto"/>
              <w:rPr>
                <w:rFonts w:hint="eastAsia" w:ascii="Times New Roman" w:hAnsi="Times New Roman" w:eastAsia="宋体" w:cs="Times New Roman"/>
                <w:color w:val="auto"/>
                <w:sz w:val="24"/>
                <w:szCs w:val="28"/>
                <w:lang w:val="en-US" w:eastAsia="zh-CN"/>
              </w:rPr>
            </w:pPr>
            <w:r>
              <w:rPr>
                <w:rFonts w:hint="eastAsia" w:ascii="Times New Roman" w:hAnsi="Times New Roman" w:eastAsia="宋体" w:cs="Times New Roman"/>
                <w:color w:val="auto"/>
                <w:sz w:val="24"/>
                <w:szCs w:val="28"/>
                <w:lang w:val="en-US" w:eastAsia="zh-CN"/>
              </w:rPr>
              <w:t>管道敷设防护：铺管、试压，跨河段浇筑混凝土全包封。</w:t>
            </w:r>
          </w:p>
          <w:p w14:paraId="0220A729">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567" w:firstLineChars="0"/>
              <w:textAlignment w:val="auto"/>
              <w:rPr>
                <w:rFonts w:hint="eastAsia" w:ascii="Times New Roman" w:hAnsi="Times New Roman" w:eastAsia="宋体" w:cs="Times New Roman"/>
                <w:color w:val="auto"/>
                <w:sz w:val="24"/>
                <w:szCs w:val="28"/>
                <w:lang w:val="en-US" w:eastAsia="zh-CN"/>
              </w:rPr>
            </w:pPr>
            <w:r>
              <w:rPr>
                <w:rFonts w:hint="eastAsia" w:ascii="Times New Roman" w:hAnsi="Times New Roman" w:eastAsia="宋体" w:cs="Times New Roman"/>
                <w:color w:val="auto"/>
                <w:sz w:val="24"/>
                <w:szCs w:val="28"/>
                <w:lang w:val="en-US" w:eastAsia="zh-CN"/>
              </w:rPr>
              <w:t>分层回填：管周回填砂石，上部原土分层夯实。</w:t>
            </w:r>
          </w:p>
          <w:p w14:paraId="5D431445">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567" w:firstLineChars="0"/>
              <w:textAlignment w:val="auto"/>
              <w:rPr>
                <w:rFonts w:hint="eastAsia" w:ascii="Times New Roman" w:hAnsi="Times New Roman" w:eastAsia="宋体" w:cs="Times New Roman"/>
                <w:color w:val="auto"/>
                <w:sz w:val="24"/>
                <w:szCs w:val="28"/>
                <w:lang w:val="en-US" w:eastAsia="zh-CN"/>
              </w:rPr>
            </w:pPr>
            <w:r>
              <w:rPr>
                <w:rFonts w:hint="eastAsia" w:ascii="Times New Roman" w:hAnsi="Times New Roman" w:eastAsia="宋体" w:cs="Times New Roman"/>
                <w:color w:val="auto"/>
                <w:sz w:val="24"/>
                <w:szCs w:val="28"/>
                <w:lang w:val="en-US" w:eastAsia="zh-CN"/>
              </w:rPr>
              <w:t>围堰拆除河道恢复：由上游至下游拆除围堰，外运弃土，整形河床、恢复原有护坡与植被。</w:t>
            </w:r>
          </w:p>
          <w:p w14:paraId="6C8FC373">
            <w:pPr>
              <w:spacing w:line="360" w:lineRule="auto"/>
              <w:ind w:firstLine="480" w:firstLineChars="200"/>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color w:val="auto"/>
                <w:sz w:val="24"/>
                <w:szCs w:val="28"/>
              </w:rPr>
              <w:t>河床底至管顶的距离≥1.0m，管道埋深满足20 年一遇洪水冲刷，且河床底至管顶的管沟回填应采用C20 混凝土回填。</w:t>
            </w:r>
          </w:p>
          <w:p w14:paraId="04BD24EF">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default" w:ascii="Times New Roman" w:hAnsi="Times New Roman" w:cs="Times New Roman"/>
                <w:b/>
                <w:color w:val="auto"/>
                <w:sz w:val="24"/>
              </w:rPr>
            </w:pPr>
            <w:r>
              <w:rPr>
                <w:rFonts w:hint="eastAsia" w:cs="Times New Roman"/>
                <w:b/>
                <w:color w:val="auto"/>
                <w:sz w:val="24"/>
                <w:lang w:val="en-US" w:eastAsia="zh-CN"/>
              </w:rPr>
              <w:t>1</w:t>
            </w:r>
            <w:r>
              <w:rPr>
                <w:rFonts w:hint="default" w:ascii="Times New Roman" w:hAnsi="Times New Roman" w:cs="Times New Roman"/>
                <w:b/>
                <w:color w:val="auto"/>
                <w:sz w:val="24"/>
                <w:lang w:val="en-US" w:eastAsia="zh-CN"/>
              </w:rPr>
              <w:t>.2</w:t>
            </w:r>
            <w:r>
              <w:rPr>
                <w:rFonts w:hint="default" w:ascii="Times New Roman" w:hAnsi="Times New Roman" w:cs="Times New Roman"/>
                <w:b/>
                <w:color w:val="auto"/>
                <w:sz w:val="24"/>
              </w:rPr>
              <w:t>土建施工结束后续处理工艺</w:t>
            </w:r>
          </w:p>
          <w:p w14:paraId="7A51CE31">
            <w:pPr>
              <w:spacing w:line="360" w:lineRule="auto"/>
              <w:ind w:firstLine="480" w:firstLineChars="200"/>
              <w:rPr>
                <w:rFonts w:hint="default" w:ascii="Times New Roman" w:hAnsi="Times New Roman" w:eastAsia="宋体" w:cs="Times New Roman"/>
                <w:color w:val="auto"/>
                <w:sz w:val="24"/>
                <w:szCs w:val="28"/>
              </w:rPr>
            </w:pPr>
            <w:r>
              <w:rPr>
                <w:rFonts w:hint="default" w:ascii="Times New Roman" w:hAnsi="Times New Roman" w:cs="Times New Roman"/>
                <w:b w:val="0"/>
                <w:bCs/>
                <w:color w:val="auto"/>
                <w:sz w:val="24"/>
                <w:szCs w:val="28"/>
              </w:rPr>
              <w:t>闭水试验：工程管</w:t>
            </w:r>
            <w:r>
              <w:rPr>
                <w:rFonts w:hint="default" w:ascii="Times New Roman" w:hAnsi="Times New Roman" w:cs="Times New Roman"/>
                <w:color w:val="auto"/>
                <w:sz w:val="24"/>
                <w:szCs w:val="28"/>
              </w:rPr>
              <w:t>道安装</w:t>
            </w:r>
            <w:r>
              <w:rPr>
                <w:rFonts w:hint="eastAsia" w:cs="Times New Roman"/>
                <w:color w:val="auto"/>
                <w:sz w:val="24"/>
                <w:szCs w:val="28"/>
                <w:lang w:eastAsia="zh-CN"/>
              </w:rPr>
              <w:t>完成</w:t>
            </w:r>
            <w:r>
              <w:rPr>
                <w:rFonts w:hint="default" w:ascii="Times New Roman" w:hAnsi="Times New Roman" w:cs="Times New Roman"/>
                <w:color w:val="auto"/>
                <w:sz w:val="24"/>
                <w:szCs w:val="28"/>
              </w:rPr>
              <w:t>后，必须进行闭水试验，在此之前对工程的各段标高，坡度和直线的正确性以及井内流槽进行检验，管道闭水试验应于充满水24小时后进行，试验时间不应小于30分钟。项目管道较长，管道闭水试验分段进行，闭水试验合格后，管段内存水暂不排放，待下一管段闭水试验时重复利用。管</w:t>
            </w:r>
            <w:r>
              <w:rPr>
                <w:rFonts w:hint="default" w:ascii="Times New Roman" w:hAnsi="Times New Roman" w:eastAsia="宋体" w:cs="Times New Roman"/>
                <w:color w:val="auto"/>
                <w:sz w:val="24"/>
                <w:szCs w:val="28"/>
              </w:rPr>
              <w:t>道闭水试验废水最终经沉淀处理后排入周边雨水管网</w:t>
            </w:r>
            <w:r>
              <w:rPr>
                <w:rFonts w:hint="eastAsia" w:cs="Times New Roman"/>
                <w:color w:val="auto"/>
                <w:sz w:val="24"/>
                <w:szCs w:val="28"/>
                <w:lang w:eastAsia="zh-CN"/>
              </w:rPr>
              <w:t>（</w:t>
            </w:r>
            <w:r>
              <w:rPr>
                <w:rFonts w:hint="default" w:ascii="Times New Roman" w:hAnsi="Times New Roman" w:eastAsia="宋体" w:cs="Times New Roman"/>
                <w:color w:val="auto"/>
                <w:sz w:val="24"/>
                <w:szCs w:val="28"/>
              </w:rPr>
              <w:t>无市政雨水管网的排入周边农灌沟渠）。</w:t>
            </w:r>
          </w:p>
          <w:p w14:paraId="29999A56">
            <w:pPr>
              <w:spacing w:line="360" w:lineRule="auto"/>
              <w:ind w:firstLine="480" w:firstLineChars="200"/>
              <w:rPr>
                <w:rFonts w:hint="default" w:ascii="Times New Roman" w:hAnsi="Times New Roman" w:eastAsia="宋体" w:cs="Times New Roman"/>
                <w:color w:val="auto"/>
                <w:sz w:val="24"/>
                <w:szCs w:val="28"/>
              </w:rPr>
            </w:pPr>
            <w:r>
              <w:rPr>
                <w:rFonts w:hint="default" w:ascii="Times New Roman" w:hAnsi="Times New Roman" w:eastAsia="宋体" w:cs="Times New Roman"/>
                <w:color w:val="auto"/>
                <w:sz w:val="24"/>
                <w:szCs w:val="28"/>
              </w:rPr>
              <w:t>回填：采用人工回填，首先用中粗砂回填至管顶，再用土方回填。该工序主要污染是施工扬尘。</w:t>
            </w:r>
          </w:p>
          <w:p w14:paraId="0469FA0A">
            <w:pPr>
              <w:spacing w:line="360" w:lineRule="auto"/>
              <w:ind w:firstLine="480" w:firstLineChars="200"/>
              <w:rPr>
                <w:rFonts w:hint="default" w:ascii="Times New Roman" w:hAnsi="Times New Roman" w:eastAsia="宋体" w:cs="Times New Roman"/>
                <w:color w:val="auto"/>
                <w:sz w:val="24"/>
                <w:szCs w:val="28"/>
              </w:rPr>
            </w:pPr>
            <w:r>
              <w:rPr>
                <w:rFonts w:hint="default" w:ascii="Times New Roman" w:hAnsi="Times New Roman" w:eastAsia="宋体" w:cs="Times New Roman"/>
                <w:color w:val="auto"/>
                <w:sz w:val="24"/>
                <w:szCs w:val="28"/>
              </w:rPr>
              <w:t>路面、耕地恢复：对开挖破坏的道路按原来的道路结构进行恢复，对占用的耕地进行表土恢复。该工序主要污染是施工扬尘、噪声。</w:t>
            </w:r>
          </w:p>
          <w:p w14:paraId="3350B0C9">
            <w:pPr>
              <w:spacing w:line="360" w:lineRule="auto"/>
              <w:ind w:firstLine="480" w:firstLineChars="200"/>
              <w:rPr>
                <w:rFonts w:hint="default" w:ascii="Times New Roman" w:hAnsi="Times New Roman" w:eastAsia="宋体" w:cs="Times New Roman"/>
                <w:color w:val="auto"/>
                <w:sz w:val="24"/>
                <w:szCs w:val="28"/>
              </w:rPr>
            </w:pPr>
            <w:r>
              <w:rPr>
                <w:rFonts w:hint="default" w:ascii="Times New Roman" w:hAnsi="Times New Roman" w:eastAsia="宋体" w:cs="Times New Roman"/>
                <w:color w:val="auto"/>
                <w:sz w:val="24"/>
                <w:szCs w:val="28"/>
              </w:rPr>
              <w:t>土石方开挖及场地平整：采用挖掘机进行场地开挖及平整。该工序主要污染是施工扬尘、噪声及固废。</w:t>
            </w:r>
          </w:p>
          <w:p w14:paraId="374D7314">
            <w:pPr>
              <w:spacing w:line="360" w:lineRule="auto"/>
              <w:ind w:firstLine="480" w:firstLineChars="200"/>
              <w:rPr>
                <w:rFonts w:hint="default" w:ascii="Times New Roman" w:hAnsi="Times New Roman" w:eastAsia="宋体" w:cs="Times New Roman"/>
                <w:color w:val="auto"/>
                <w:sz w:val="24"/>
                <w:szCs w:val="28"/>
              </w:rPr>
            </w:pPr>
            <w:r>
              <w:rPr>
                <w:rFonts w:hint="default" w:ascii="Times New Roman" w:hAnsi="Times New Roman" w:eastAsia="宋体" w:cs="Times New Roman"/>
                <w:color w:val="auto"/>
                <w:sz w:val="24"/>
                <w:szCs w:val="28"/>
              </w:rPr>
              <w:t>设备安装</w:t>
            </w:r>
            <w:r>
              <w:rPr>
                <w:rFonts w:hint="eastAsia" w:cs="Times New Roman"/>
                <w:color w:val="auto"/>
                <w:sz w:val="24"/>
                <w:szCs w:val="28"/>
                <w:lang w:eastAsia="zh-CN"/>
              </w:rPr>
              <w:t>（</w:t>
            </w:r>
            <w:r>
              <w:rPr>
                <w:rFonts w:hint="eastAsia" w:cs="Times New Roman"/>
                <w:color w:val="auto"/>
                <w:sz w:val="24"/>
                <w:szCs w:val="28"/>
                <w:lang w:val="en-US" w:eastAsia="zh-CN"/>
              </w:rPr>
              <w:t>闸阀等</w:t>
            </w:r>
            <w:r>
              <w:rPr>
                <w:rFonts w:hint="eastAsia" w:cs="Times New Roman"/>
                <w:color w:val="auto"/>
                <w:sz w:val="24"/>
                <w:szCs w:val="28"/>
                <w:lang w:eastAsia="zh-CN"/>
              </w:rPr>
              <w:t>）</w:t>
            </w:r>
            <w:r>
              <w:rPr>
                <w:rFonts w:hint="default" w:ascii="Times New Roman" w:hAnsi="Times New Roman" w:eastAsia="宋体" w:cs="Times New Roman"/>
                <w:color w:val="auto"/>
                <w:sz w:val="24"/>
                <w:szCs w:val="28"/>
              </w:rPr>
              <w:t>：该工序主要污染是设备安装噪声。</w:t>
            </w:r>
          </w:p>
          <w:p w14:paraId="51CADCE9">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cs="Times New Roman"/>
                <w:b/>
                <w:bCs/>
                <w:color w:val="auto"/>
                <w:sz w:val="24"/>
                <w:szCs w:val="24"/>
                <w:lang w:eastAsia="zh-CN"/>
              </w:rPr>
            </w:pPr>
            <w:r>
              <w:rPr>
                <w:rFonts w:hint="eastAsia" w:cs="Times New Roman"/>
                <w:b/>
                <w:color w:val="auto"/>
                <w:sz w:val="24"/>
                <w:lang w:val="en-US" w:eastAsia="zh-CN"/>
              </w:rPr>
              <w:t>2</w:t>
            </w:r>
            <w:r>
              <w:rPr>
                <w:rFonts w:hint="default" w:ascii="Times New Roman" w:hAnsi="Times New Roman" w:cs="Times New Roman"/>
                <w:b/>
                <w:color w:val="auto"/>
                <w:sz w:val="24"/>
                <w:lang w:val="en-US" w:eastAsia="zh-CN"/>
              </w:rPr>
              <w:t>、</w:t>
            </w:r>
            <w:r>
              <w:rPr>
                <w:rFonts w:hint="eastAsia" w:cs="Times New Roman"/>
                <w:b/>
                <w:bCs/>
                <w:color w:val="auto"/>
                <w:sz w:val="24"/>
                <w:szCs w:val="24"/>
                <w:lang w:val="en-US" w:eastAsia="zh-CN"/>
              </w:rPr>
              <w:t>加压泵站</w:t>
            </w:r>
          </w:p>
          <w:p w14:paraId="325F2513">
            <w:pPr>
              <w:keepNext w:val="0"/>
              <w:keepLines w:val="0"/>
              <w:pageBreakBefore w:val="0"/>
              <w:widowControl w:val="0"/>
              <w:kinsoku/>
              <w:wordWrap/>
              <w:overflowPunct/>
              <w:topLinePunct w:val="0"/>
              <w:autoSpaceDE/>
              <w:autoSpaceDN/>
              <w:bidi w:val="0"/>
              <w:adjustRightInd/>
              <w:snapToGrid/>
              <w:spacing w:beforeAutospacing="0" w:line="360" w:lineRule="auto"/>
              <w:ind w:firstLine="480" w:firstLineChars="200"/>
              <w:textAlignment w:val="auto"/>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提升泵站施工工艺流程见下图。</w:t>
            </w:r>
          </w:p>
          <w:p w14:paraId="175743C1">
            <w:pPr>
              <w:keepNext w:val="0"/>
              <w:keepLines w:val="0"/>
              <w:pageBreakBefore w:val="0"/>
              <w:widowControl w:val="0"/>
              <w:kinsoku/>
              <w:wordWrap/>
              <w:overflowPunct/>
              <w:topLinePunct w:val="0"/>
              <w:autoSpaceDE/>
              <w:autoSpaceDN/>
              <w:bidi w:val="0"/>
              <w:adjustRightInd/>
              <w:snapToGrid/>
              <w:spacing w:beforeAutospacing="0" w:line="360" w:lineRule="auto"/>
              <w:jc w:val="center"/>
              <w:textAlignment w:val="auto"/>
              <w:rPr>
                <w:rFonts w:hint="default" w:ascii="Times New Roman" w:hAnsi="Times New Roman" w:cs="Times New Roman"/>
                <w:b/>
                <w:color w:val="auto"/>
                <w:sz w:val="24"/>
                <w:szCs w:val="24"/>
              </w:rPr>
            </w:pPr>
            <w:r>
              <w:rPr>
                <w:rFonts w:hint="default" w:cs="Times New Roman"/>
                <w:b w:val="0"/>
                <w:bCs w:val="0"/>
                <w:color w:val="0000FF"/>
                <w:sz w:val="24"/>
                <w:szCs w:val="24"/>
                <w:lang w:val="en-US" w:eastAsia="zh-CN"/>
              </w:rPr>
              <w:object>
                <v:shape id="_x0000_i1025" o:spt="75" type="#_x0000_t75" style="height:69.35pt;width:406.9pt;" o:ole="t" filled="f" o:preferrelative="t" stroked="f" coordsize="21600,21600">
                  <v:path/>
                  <v:fill on="f" focussize="0,0"/>
                  <v:stroke on="f"/>
                  <v:imagedata r:id="rId11" o:title=""/>
                  <o:lock v:ext="edit" aspectratio="f"/>
                  <w10:wrap type="none"/>
                  <w10:anchorlock/>
                </v:shape>
                <o:OLEObject Type="Embed" ProgID="Visio.Drawing.15" ShapeID="_x0000_i1025" DrawAspect="Content" ObjectID="_1468075725" r:id="rId10">
                  <o:LockedField>false</o:LockedField>
                </o:OLEObject>
              </w:object>
            </w:r>
            <w:r>
              <w:rPr>
                <w:rFonts w:hint="default" w:ascii="Times New Roman" w:hAnsi="Times New Roman" w:cs="Times New Roman"/>
                <w:b/>
                <w:color w:val="auto"/>
                <w:sz w:val="24"/>
                <w:szCs w:val="24"/>
              </w:rPr>
              <w:t>图</w:t>
            </w:r>
            <w:r>
              <w:rPr>
                <w:rFonts w:hint="default" w:ascii="Times New Roman" w:hAnsi="Times New Roman" w:cs="Times New Roman"/>
                <w:b/>
                <w:color w:val="auto"/>
                <w:sz w:val="24"/>
                <w:szCs w:val="24"/>
                <w:lang w:val="en-US" w:eastAsia="zh-CN"/>
              </w:rPr>
              <w:t>2-</w:t>
            </w:r>
            <w:r>
              <w:rPr>
                <w:rFonts w:hint="eastAsia" w:cs="Times New Roman"/>
                <w:b/>
                <w:color w:val="auto"/>
                <w:sz w:val="24"/>
                <w:szCs w:val="24"/>
                <w:lang w:val="en-US" w:eastAsia="zh-CN"/>
              </w:rPr>
              <w:t>4</w:t>
            </w:r>
            <w:r>
              <w:rPr>
                <w:rFonts w:hint="default" w:ascii="Times New Roman" w:hAnsi="Times New Roman" w:cs="Times New Roman"/>
                <w:b/>
                <w:color w:val="auto"/>
                <w:sz w:val="24"/>
                <w:szCs w:val="24"/>
                <w:lang w:val="en-US" w:eastAsia="zh-CN"/>
              </w:rPr>
              <w:t xml:space="preserve">   </w:t>
            </w:r>
            <w:r>
              <w:rPr>
                <w:rFonts w:hint="default" w:ascii="Times New Roman" w:hAnsi="Times New Roman" w:cs="Times New Roman"/>
                <w:b/>
                <w:color w:val="auto"/>
                <w:sz w:val="24"/>
                <w:szCs w:val="24"/>
              </w:rPr>
              <w:t xml:space="preserve">  </w:t>
            </w:r>
            <w:r>
              <w:rPr>
                <w:rFonts w:hint="eastAsia" w:cs="Times New Roman"/>
                <w:b/>
                <w:color w:val="auto"/>
                <w:sz w:val="24"/>
                <w:szCs w:val="24"/>
                <w:lang w:val="en-US" w:eastAsia="zh-CN"/>
              </w:rPr>
              <w:t>提升泵站</w:t>
            </w:r>
            <w:r>
              <w:rPr>
                <w:rFonts w:hint="default" w:ascii="Times New Roman" w:hAnsi="Times New Roman" w:cs="Times New Roman"/>
                <w:b/>
                <w:color w:val="auto"/>
                <w:sz w:val="24"/>
                <w:szCs w:val="24"/>
              </w:rPr>
              <w:t>施工工艺流程</w:t>
            </w:r>
          </w:p>
          <w:p w14:paraId="65E66BFD">
            <w:pPr>
              <w:pStyle w:val="24"/>
              <w:spacing w:line="240" w:lineRule="auto"/>
              <w:ind w:firstLine="424" w:firstLineChars="177"/>
              <w:rPr>
                <w:rFonts w:hint="eastAsia" w:eastAsia="宋体"/>
                <w:color w:val="auto"/>
                <w:sz w:val="24"/>
                <w:highlight w:val="none"/>
                <w:lang w:eastAsia="zh-CN"/>
              </w:rPr>
            </w:pPr>
            <w:r>
              <w:rPr>
                <w:rFonts w:hint="eastAsia"/>
                <w:b w:val="0"/>
                <w:bCs w:val="0"/>
                <w:color w:val="auto"/>
                <w:sz w:val="24"/>
                <w:highlight w:val="none"/>
              </w:rPr>
              <w:t>泵站工程施工</w:t>
            </w:r>
            <w:r>
              <w:rPr>
                <w:rFonts w:hint="eastAsia"/>
                <w:b w:val="0"/>
                <w:bCs w:val="0"/>
                <w:color w:val="auto"/>
                <w:sz w:val="24"/>
                <w:highlight w:val="none"/>
                <w:lang w:eastAsia="zh-CN"/>
              </w:rPr>
              <w:t>：</w:t>
            </w:r>
          </w:p>
          <w:p w14:paraId="65FEB121">
            <w:pPr>
              <w:pStyle w:val="60"/>
              <w:numPr>
                <w:ilvl w:val="0"/>
                <w:numId w:val="0"/>
              </w:numPr>
              <w:spacing w:line="360" w:lineRule="auto"/>
              <w:ind w:leftChars="0" w:firstLine="480" w:firstLineChars="200"/>
              <w:outlineLvl w:val="2"/>
              <w:rPr>
                <w:rFonts w:hint="eastAsia" w:cs="Times New Roman"/>
                <w:color w:val="auto"/>
                <w:kern w:val="2"/>
                <w:sz w:val="24"/>
                <w:szCs w:val="24"/>
                <w:highlight w:val="none"/>
                <w:lang w:val="en-US" w:eastAsia="zh-CN" w:bidi="ar-SA"/>
              </w:rPr>
            </w:pPr>
            <w:r>
              <w:rPr>
                <w:rFonts w:hint="eastAsia"/>
                <w:color w:val="auto"/>
                <w:sz w:val="24"/>
                <w:highlight w:val="none"/>
              </w:rPr>
              <w:t>测量放线→基础开挖、基础处理→混凝土浇筑→土石方回填→泵站机组安装→机电设备调试→完工。</w:t>
            </w:r>
          </w:p>
          <w:p w14:paraId="308AAFB6">
            <w:pPr>
              <w:pStyle w:val="60"/>
              <w:numPr>
                <w:ilvl w:val="0"/>
                <w:numId w:val="0"/>
              </w:numPr>
              <w:spacing w:line="360" w:lineRule="auto"/>
              <w:ind w:leftChars="0" w:firstLine="480" w:firstLineChars="200"/>
              <w:outlineLvl w:val="2"/>
              <w:rPr>
                <w:rFonts w:hint="eastAsia" w:eastAsia="宋体" w:cs="Times New Roman"/>
                <w:color w:val="auto"/>
                <w:kern w:val="2"/>
                <w:sz w:val="24"/>
                <w:szCs w:val="24"/>
                <w:highlight w:val="none"/>
                <w:lang w:val="en-US" w:eastAsia="zh-CN" w:bidi="ar-SA"/>
              </w:rPr>
            </w:pPr>
            <w:r>
              <w:rPr>
                <w:rFonts w:hint="eastAsia"/>
                <w:color w:val="auto"/>
                <w:sz w:val="24"/>
                <w:highlight w:val="none"/>
              </w:rPr>
              <w:t>土石方开挖：自上而下分层开挖，土方采用 1m³挖掘机开挖</w:t>
            </w:r>
            <w:r>
              <w:rPr>
                <w:rFonts w:hint="eastAsia"/>
                <w:color w:val="auto"/>
                <w:sz w:val="24"/>
                <w:highlight w:val="none"/>
                <w:lang w:eastAsia="zh-CN"/>
              </w:rPr>
              <w:t>。</w:t>
            </w:r>
          </w:p>
          <w:p w14:paraId="4AE74603">
            <w:pPr>
              <w:pStyle w:val="60"/>
              <w:numPr>
                <w:ilvl w:val="0"/>
                <w:numId w:val="0"/>
              </w:numPr>
              <w:spacing w:line="360" w:lineRule="auto"/>
              <w:ind w:leftChars="0" w:firstLine="480" w:firstLineChars="200"/>
              <w:outlineLvl w:val="2"/>
              <w:rPr>
                <w:rFonts w:hint="eastAsia" w:eastAsia="宋体" w:cs="Times New Roman"/>
                <w:color w:val="auto"/>
                <w:kern w:val="2"/>
                <w:sz w:val="24"/>
                <w:szCs w:val="24"/>
                <w:highlight w:val="none"/>
                <w:lang w:val="en-US" w:eastAsia="zh-CN" w:bidi="ar-SA"/>
              </w:rPr>
            </w:pPr>
            <w:r>
              <w:rPr>
                <w:rFonts w:hint="eastAsia"/>
                <w:color w:val="auto"/>
                <w:sz w:val="24"/>
                <w:highlight w:val="none"/>
              </w:rPr>
              <w:t>混凝土浇筑：可就近购买商品混凝土</w:t>
            </w:r>
            <w:r>
              <w:rPr>
                <w:rFonts w:hint="eastAsia"/>
                <w:color w:val="auto"/>
                <w:sz w:val="24"/>
                <w:highlight w:val="none"/>
                <w:lang w:eastAsia="zh-CN"/>
              </w:rPr>
              <w:t>。</w:t>
            </w:r>
          </w:p>
          <w:p w14:paraId="417C0ADA">
            <w:pPr>
              <w:pStyle w:val="60"/>
              <w:numPr>
                <w:ilvl w:val="0"/>
                <w:numId w:val="0"/>
              </w:numPr>
              <w:spacing w:line="360" w:lineRule="auto"/>
              <w:ind w:leftChars="0" w:firstLine="480" w:firstLineChars="200"/>
              <w:outlineLvl w:val="2"/>
              <w:rPr>
                <w:rFonts w:hint="eastAsia" w:cs="Times New Roman"/>
                <w:color w:val="auto"/>
                <w:kern w:val="2"/>
                <w:sz w:val="24"/>
                <w:szCs w:val="24"/>
                <w:highlight w:val="none"/>
                <w:lang w:val="en-US" w:eastAsia="zh-CN" w:bidi="ar-SA"/>
              </w:rPr>
            </w:pPr>
            <w:r>
              <w:rPr>
                <w:rFonts w:hint="eastAsia"/>
                <w:color w:val="auto"/>
                <w:sz w:val="24"/>
                <w:highlight w:val="none"/>
              </w:rPr>
              <w:t>土石渣回填：采用堆置于附近的开挖料，人工配合 1m³挖掘机回填，分层填筑，并采用HY120型蛙式打夯机夯实。</w:t>
            </w:r>
          </w:p>
          <w:p w14:paraId="2F11BE6B">
            <w:pPr>
              <w:pStyle w:val="55"/>
              <w:widowControl w:val="0"/>
              <w:jc w:val="both"/>
              <w:rPr>
                <w:rFonts w:hint="eastAsia"/>
                <w:color w:val="auto"/>
                <w:sz w:val="24"/>
                <w:highlight w:val="none"/>
              </w:rPr>
            </w:pPr>
            <w:r>
              <w:rPr>
                <w:rFonts w:hint="eastAsia"/>
                <w:color w:val="auto"/>
                <w:sz w:val="24"/>
                <w:highlight w:val="none"/>
              </w:rPr>
              <w:t>机电设备安装：当泵站厂房的土建施工达到厂房起重设备的安装条件后，先安装厂房的起重设备，然后利用厂房起重设备进行各部件及设备的吊装，人工配合安装。</w:t>
            </w:r>
          </w:p>
          <w:p w14:paraId="40FBC342">
            <w:pPr>
              <w:pStyle w:val="55"/>
              <w:widowControl w:val="0"/>
              <w:ind w:left="0" w:leftChars="0" w:firstLine="0" w:firstLineChars="0"/>
              <w:jc w:val="both"/>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二、施工时序及施工进度</w:t>
            </w:r>
            <w:r>
              <w:rPr>
                <w:rFonts w:hint="eastAsia"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建设周期）</w:t>
            </w:r>
          </w:p>
          <w:p w14:paraId="4690620F">
            <w:pPr>
              <w:spacing w:line="360" w:lineRule="auto"/>
              <w:ind w:firstLine="480" w:firstLineChars="200"/>
              <w:rPr>
                <w:rFonts w:hint="default" w:ascii="Times New Roman" w:hAnsi="Times New Roman" w:eastAsia="宋体" w:cs="Times New Roman"/>
                <w:color w:val="auto"/>
                <w:sz w:val="24"/>
                <w:szCs w:val="28"/>
                <w:lang w:val="en-US" w:eastAsia="zh-CN"/>
              </w:rPr>
            </w:pPr>
            <w:r>
              <w:rPr>
                <w:rFonts w:hint="default" w:ascii="Times New Roman" w:hAnsi="Times New Roman" w:eastAsia="宋体" w:cs="Times New Roman"/>
                <w:color w:val="auto"/>
                <w:sz w:val="24"/>
                <w:szCs w:val="28"/>
                <w:lang w:val="en-US" w:eastAsia="zh-CN"/>
              </w:rPr>
              <w:t>根据项目施工方案，管道施工时序按照“</w:t>
            </w:r>
            <w:r>
              <w:rPr>
                <w:rFonts w:hint="default" w:ascii="Times New Roman" w:hAnsi="Times New Roman" w:cs="Times New Roman"/>
                <w:b w:val="0"/>
                <w:bCs w:val="0"/>
                <w:color w:val="auto"/>
                <w:sz w:val="24"/>
                <w:szCs w:val="24"/>
                <w:lang w:val="en-US" w:eastAsia="zh-CN"/>
              </w:rPr>
              <w:t>施工准备</w:t>
            </w:r>
            <w:r>
              <w:rPr>
                <w:rFonts w:hint="eastAsia" w:cs="Times New Roman"/>
                <w:b w:val="0"/>
                <w:bCs w:val="0"/>
                <w:color w:val="auto"/>
                <w:sz w:val="24"/>
                <w:szCs w:val="24"/>
                <w:lang w:val="en-US" w:eastAsia="zh-CN"/>
              </w:rPr>
              <w:t>（</w:t>
            </w:r>
            <w:r>
              <w:rPr>
                <w:rFonts w:hint="default" w:ascii="Times New Roman" w:hAnsi="Times New Roman" w:cs="Times New Roman"/>
                <w:b w:val="0"/>
                <w:bCs w:val="0"/>
                <w:color w:val="auto"/>
                <w:sz w:val="24"/>
                <w:szCs w:val="24"/>
                <w:lang w:val="en-US" w:eastAsia="zh-CN"/>
              </w:rPr>
              <w:t>场地清理等）——管槽开挖——预埋管线——闭水试验——回填——恢复</w:t>
            </w:r>
            <w:r>
              <w:rPr>
                <w:rFonts w:hint="default" w:ascii="Times New Roman" w:hAnsi="Times New Roman" w:eastAsia="宋体" w:cs="Times New Roman"/>
                <w:color w:val="auto"/>
                <w:sz w:val="24"/>
                <w:szCs w:val="28"/>
                <w:lang w:val="en-US" w:eastAsia="zh-CN"/>
              </w:rPr>
              <w:t>”的原则依次实施；其余建设工程按照施工方案要求进行。</w:t>
            </w:r>
          </w:p>
          <w:p w14:paraId="71EA0557">
            <w:pPr>
              <w:spacing w:line="360" w:lineRule="auto"/>
              <w:ind w:firstLine="480" w:firstLineChars="200"/>
              <w:rPr>
                <w:rFonts w:hint="default" w:ascii="Times New Roman" w:hAnsi="Times New Roman" w:eastAsia="宋体" w:cs="Times New Roman"/>
                <w:color w:val="0000FF"/>
                <w:sz w:val="24"/>
                <w:szCs w:val="28"/>
              </w:rPr>
            </w:pPr>
            <w:r>
              <w:rPr>
                <w:rFonts w:hint="default" w:ascii="Times New Roman" w:hAnsi="Times New Roman" w:eastAsia="宋体" w:cs="Times New Roman"/>
                <w:color w:val="auto"/>
                <w:sz w:val="24"/>
                <w:szCs w:val="28"/>
              </w:rPr>
              <w:t>项目计划工期为</w:t>
            </w:r>
            <w:r>
              <w:rPr>
                <w:rFonts w:hint="eastAsia" w:cs="Times New Roman"/>
                <w:color w:val="auto"/>
                <w:sz w:val="24"/>
                <w:szCs w:val="28"/>
                <w:lang w:val="en-US" w:eastAsia="zh-CN"/>
              </w:rPr>
              <w:t>10</w:t>
            </w:r>
            <w:r>
              <w:rPr>
                <w:rFonts w:hint="default" w:ascii="Times New Roman" w:hAnsi="Times New Roman" w:eastAsia="宋体" w:cs="Times New Roman"/>
                <w:color w:val="auto"/>
                <w:sz w:val="24"/>
                <w:szCs w:val="28"/>
              </w:rPr>
              <w:t>个月，即由202</w:t>
            </w:r>
            <w:r>
              <w:rPr>
                <w:rFonts w:hint="eastAsia" w:cs="Times New Roman"/>
                <w:color w:val="auto"/>
                <w:sz w:val="24"/>
                <w:szCs w:val="28"/>
                <w:lang w:val="en-US" w:eastAsia="zh-CN"/>
              </w:rPr>
              <w:t>7</w:t>
            </w:r>
            <w:r>
              <w:rPr>
                <w:rFonts w:hint="default" w:ascii="Times New Roman" w:hAnsi="Times New Roman" w:eastAsia="宋体" w:cs="Times New Roman"/>
                <w:color w:val="auto"/>
                <w:sz w:val="24"/>
                <w:szCs w:val="28"/>
              </w:rPr>
              <w:t>年</w:t>
            </w:r>
            <w:r>
              <w:rPr>
                <w:rFonts w:hint="eastAsia" w:cs="Times New Roman"/>
                <w:color w:val="auto"/>
                <w:sz w:val="24"/>
                <w:szCs w:val="28"/>
                <w:lang w:val="en-US" w:eastAsia="zh-CN"/>
              </w:rPr>
              <w:t>7</w:t>
            </w:r>
            <w:r>
              <w:rPr>
                <w:rFonts w:hint="default" w:ascii="Times New Roman" w:hAnsi="Times New Roman" w:eastAsia="宋体" w:cs="Times New Roman"/>
                <w:color w:val="auto"/>
                <w:sz w:val="24"/>
                <w:szCs w:val="28"/>
              </w:rPr>
              <w:t>月至202</w:t>
            </w:r>
            <w:r>
              <w:rPr>
                <w:rFonts w:hint="eastAsia" w:cs="Times New Roman"/>
                <w:color w:val="auto"/>
                <w:sz w:val="24"/>
                <w:szCs w:val="28"/>
                <w:lang w:val="en-US" w:eastAsia="zh-CN"/>
              </w:rPr>
              <w:t>8</w:t>
            </w:r>
            <w:r>
              <w:rPr>
                <w:rFonts w:hint="default" w:ascii="Times New Roman" w:hAnsi="Times New Roman" w:eastAsia="宋体" w:cs="Times New Roman"/>
                <w:color w:val="auto"/>
                <w:sz w:val="24"/>
                <w:szCs w:val="28"/>
              </w:rPr>
              <w:t>年</w:t>
            </w:r>
            <w:r>
              <w:rPr>
                <w:rFonts w:hint="eastAsia" w:cs="Times New Roman"/>
                <w:color w:val="auto"/>
                <w:sz w:val="24"/>
                <w:szCs w:val="28"/>
                <w:lang w:val="en-US" w:eastAsia="zh-CN"/>
              </w:rPr>
              <w:t>5</w:t>
            </w:r>
            <w:r>
              <w:rPr>
                <w:rFonts w:hint="default" w:ascii="Times New Roman" w:hAnsi="Times New Roman" w:eastAsia="宋体" w:cs="Times New Roman"/>
                <w:color w:val="auto"/>
                <w:sz w:val="24"/>
                <w:szCs w:val="28"/>
              </w:rPr>
              <w:t>月。若项目未按原计划取得开工许可，则实际开工</w:t>
            </w:r>
            <w:r>
              <w:rPr>
                <w:rFonts w:hint="default" w:ascii="Times New Roman" w:hAnsi="Times New Roman" w:eastAsia="宋体" w:cs="Times New Roman"/>
                <w:color w:val="auto"/>
                <w:sz w:val="24"/>
                <w:szCs w:val="28"/>
                <w:lang w:val="en-US" w:eastAsia="zh-CN"/>
              </w:rPr>
              <w:t>及竣工</w:t>
            </w:r>
            <w:r>
              <w:rPr>
                <w:rFonts w:hint="default" w:ascii="Times New Roman" w:hAnsi="Times New Roman" w:eastAsia="宋体" w:cs="Times New Roman"/>
                <w:color w:val="auto"/>
                <w:sz w:val="24"/>
                <w:szCs w:val="28"/>
              </w:rPr>
              <w:t>日期相应顺延。</w:t>
            </w:r>
          </w:p>
        </w:tc>
      </w:tr>
      <w:tr w14:paraId="16806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3" w:type="pct"/>
            <w:noWrap w:val="0"/>
            <w:vAlign w:val="center"/>
          </w:tcPr>
          <w:p w14:paraId="0BF6CDCC">
            <w:pPr>
              <w:adjustRightInd w:val="0"/>
              <w:snapToGrid w:val="0"/>
              <w:jc w:val="center"/>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其他</w:t>
            </w:r>
          </w:p>
        </w:tc>
        <w:tc>
          <w:tcPr>
            <w:tcW w:w="4576" w:type="pct"/>
            <w:noWrap w:val="0"/>
            <w:vAlign w:val="bottom"/>
          </w:tcPr>
          <w:p w14:paraId="05E00CAD">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7641853D">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5A025181">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3FD6F734">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13A370FD">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val="en-US" w:eastAsia="zh-CN"/>
              </w:rPr>
              <w:t>无</w:t>
            </w:r>
            <w:r>
              <w:rPr>
                <w:rFonts w:hint="default" w:ascii="Times New Roman" w:hAnsi="Times New Roman" w:eastAsia="宋体" w:cs="Times New Roman"/>
                <w:color w:val="auto"/>
                <w:sz w:val="24"/>
                <w:szCs w:val="24"/>
              </w:rPr>
              <w:t>。</w:t>
            </w:r>
          </w:p>
          <w:p w14:paraId="683C3EB8">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45796973">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2E0256E3">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630E53E6">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3C6C087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24A6D76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400266BF">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43A914DC">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29008503">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2EB74A51">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1C05C1F8">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37220708">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54FDBF2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7FFF8B9E">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46C25FE6">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2BCEF66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60F1BE72">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3D1E46C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62F381C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2B01CCC8">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62AEFC4A">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0D01AFAB">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4960AAA7">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3B383416">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767966E2">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0549714E">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36D952C4">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26F79D99">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6B8A605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167E2A9E">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09E45A29">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0944DC37">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64F8DEB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09794593">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3DEC909A">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rPr>
            </w:pPr>
          </w:p>
          <w:p w14:paraId="0299570E">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lang w:val="en-US" w:eastAsia="zh-CN"/>
              </w:rPr>
            </w:pPr>
          </w:p>
          <w:p w14:paraId="06A5CD5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4"/>
                <w:szCs w:val="24"/>
                <w:lang w:val="en-US" w:eastAsia="zh-CN"/>
              </w:rPr>
            </w:pPr>
          </w:p>
        </w:tc>
      </w:tr>
    </w:tbl>
    <w:p w14:paraId="7C8C9428">
      <w:pPr>
        <w:pStyle w:val="21"/>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仿宋_GB2312" w:cs="Times New Roman"/>
          <w:b/>
          <w:bCs/>
          <w:color w:val="0000FF"/>
        </w:rPr>
        <w:br w:type="page"/>
      </w:r>
      <w:bookmarkStart w:id="6" w:name="_Toc1019"/>
      <w:r>
        <w:rPr>
          <w:rFonts w:hint="default" w:ascii="Times New Roman" w:hAnsi="Times New Roman" w:eastAsia="黑体" w:cs="Times New Roman"/>
          <w:snapToGrid w:val="0"/>
          <w:color w:val="auto"/>
          <w:sz w:val="30"/>
          <w:szCs w:val="30"/>
        </w:rPr>
        <w:t>三、生态环境现状、保护目标及评价标准</w:t>
      </w:r>
      <w:bookmarkEnd w:id="6"/>
    </w:p>
    <w:tbl>
      <w:tblPr>
        <w:tblStyle w:val="26"/>
        <w:tblW w:w="91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448"/>
      </w:tblGrid>
      <w:tr w14:paraId="11AC4C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32" w:hRule="atLeast"/>
          <w:jc w:val="center"/>
        </w:trPr>
        <w:tc>
          <w:tcPr>
            <w:tcW w:w="709" w:type="dxa"/>
            <w:noWrap w:val="0"/>
            <w:vAlign w:val="center"/>
          </w:tcPr>
          <w:p w14:paraId="2E5C2059">
            <w:pPr>
              <w:adjustRightInd w:val="0"/>
              <w:snapToGrid w:val="0"/>
              <w:jc w:val="center"/>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生态环境现状</w:t>
            </w:r>
          </w:p>
        </w:tc>
        <w:tc>
          <w:tcPr>
            <w:tcW w:w="8448" w:type="dxa"/>
            <w:noWrap w:val="0"/>
            <w:vAlign w:val="center"/>
          </w:tcPr>
          <w:p w14:paraId="2D8D6453">
            <w:pPr>
              <w:spacing w:beforeLines="0" w:afterLines="0" w:line="360" w:lineRule="auto"/>
              <w:jc w:val="left"/>
              <w:rPr>
                <w:rFonts w:hint="default" w:ascii="Times New Roman" w:hAnsi="Times New Roman" w:eastAsia="宋体" w:cs="Times New Roman"/>
                <w:b/>
                <w:bCs w:val="0"/>
                <w:color w:val="auto"/>
                <w:sz w:val="24"/>
                <w:szCs w:val="24"/>
                <w:lang w:val="en-US" w:eastAsia="zh-CN"/>
              </w:rPr>
            </w:pPr>
            <w:r>
              <w:rPr>
                <w:rFonts w:hint="default" w:ascii="Times New Roman" w:hAnsi="Times New Roman" w:eastAsia="TimesNewRomanPS-BoldMT" w:cs="Times New Roman"/>
                <w:b/>
                <w:bCs w:val="0"/>
                <w:color w:val="auto"/>
                <w:sz w:val="24"/>
                <w:szCs w:val="24"/>
              </w:rPr>
              <w:t>1</w:t>
            </w:r>
            <w:r>
              <w:rPr>
                <w:rFonts w:hint="default" w:ascii="Times New Roman" w:hAnsi="Times New Roman" w:eastAsia="TimesNewRomanPS-BoldMT" w:cs="Times New Roman"/>
                <w:b/>
                <w:bCs w:val="0"/>
                <w:color w:val="auto"/>
                <w:sz w:val="24"/>
                <w:szCs w:val="24"/>
                <w:lang w:eastAsia="zh-CN"/>
              </w:rPr>
              <w:t>、</w:t>
            </w:r>
            <w:r>
              <w:rPr>
                <w:rFonts w:hint="default" w:ascii="Times New Roman" w:hAnsi="Times New Roman" w:eastAsia="宋体" w:cs="Times New Roman"/>
                <w:b/>
                <w:bCs w:val="0"/>
                <w:color w:val="auto"/>
                <w:sz w:val="24"/>
                <w:szCs w:val="24"/>
              </w:rPr>
              <w:t>主体功能区</w:t>
            </w:r>
            <w:r>
              <w:rPr>
                <w:rFonts w:hint="default" w:ascii="Times New Roman" w:hAnsi="Times New Roman" w:eastAsia="宋体" w:cs="Times New Roman"/>
                <w:b/>
                <w:bCs w:val="0"/>
                <w:color w:val="auto"/>
                <w:sz w:val="24"/>
                <w:szCs w:val="24"/>
                <w:lang w:val="en-US" w:eastAsia="zh-CN"/>
              </w:rPr>
              <w:t>规划</w:t>
            </w:r>
          </w:p>
          <w:p w14:paraId="6ABC9727">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lang w:val="en-US" w:eastAsia="zh-CN"/>
              </w:rPr>
              <w:t>根据</w:t>
            </w:r>
            <w:r>
              <w:rPr>
                <w:rFonts w:hint="default" w:ascii="Times New Roman" w:hAnsi="Times New Roman" w:eastAsia="宋体" w:cs="Times New Roman"/>
                <w:color w:val="auto"/>
                <w:sz w:val="24"/>
                <w:szCs w:val="24"/>
              </w:rPr>
              <w:t>《云南省主体功能区规划》</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云政发［2021］1 号）</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2014 年1 月6 日</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云南省人民政府</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，将全省国土空间按照开发方式分为重点开发区域、限制开发区</w:t>
            </w:r>
            <w:r>
              <w:rPr>
                <w:rFonts w:hint="default" w:ascii="Times New Roman" w:hAnsi="Times New Roman" w:eastAsia="宋体" w:cs="Times New Roman"/>
                <w:color w:val="auto"/>
                <w:sz w:val="24"/>
                <w:szCs w:val="24"/>
                <w:highlight w:val="none"/>
              </w:rPr>
              <w:t>域和禁止开发区域3 类主体功能区域。</w:t>
            </w:r>
          </w:p>
          <w:p w14:paraId="31D5A96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本项目位于</w:t>
            </w:r>
            <w:r>
              <w:rPr>
                <w:rFonts w:hint="default" w:ascii="Times New Roman" w:hAnsi="Times New Roman" w:eastAsia="宋体" w:cs="Times New Roman"/>
                <w:color w:val="auto"/>
                <w:sz w:val="24"/>
                <w:szCs w:val="24"/>
                <w:highlight w:val="none"/>
                <w:lang w:val="en-US" w:eastAsia="zh-CN"/>
              </w:rPr>
              <w:t>安宁市</w:t>
            </w:r>
            <w:r>
              <w:rPr>
                <w:rFonts w:hint="eastAsia" w:cs="Times New Roman"/>
                <w:color w:val="auto"/>
                <w:sz w:val="24"/>
                <w:szCs w:val="24"/>
                <w:highlight w:val="none"/>
                <w:lang w:val="en-US" w:eastAsia="zh-CN"/>
              </w:rPr>
              <w:t>县街街道办事处、八街街道办事处</w:t>
            </w:r>
            <w:r>
              <w:rPr>
                <w:rFonts w:hint="default" w:ascii="Times New Roman" w:hAnsi="Times New Roman" w:eastAsia="宋体" w:cs="Times New Roman"/>
                <w:color w:val="auto"/>
                <w:sz w:val="24"/>
                <w:szCs w:val="24"/>
                <w:highlight w:val="none"/>
                <w:lang w:val="en-US" w:eastAsia="zh-CN"/>
              </w:rPr>
              <w:t>等区域</w:t>
            </w:r>
            <w:r>
              <w:rPr>
                <w:rFonts w:hint="default" w:ascii="Times New Roman" w:hAnsi="Times New Roman" w:eastAsia="宋体" w:cs="Times New Roman"/>
                <w:color w:val="auto"/>
                <w:sz w:val="24"/>
                <w:szCs w:val="24"/>
                <w:highlight w:val="none"/>
              </w:rPr>
              <w:t>，根据《云南省主体功能区规划》</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云政发〔2014〕1 号）——云南省主体功能区划分总图，本项目所在区域属于国家重点开发区域，不涉及禁止开发区。</w:t>
            </w:r>
          </w:p>
          <w:p w14:paraId="61006A90">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家重点开发区域的功能定位为：我国面向西南开放重要桥头堡建设的核心区，连接东南亚、南亚国家的陆路交通枢纽，面向东南亚、南亚对外开放的重要门户；全国重要的烟草、旅游、文化、能源和商贸物流基地，以化工、有色冶炼加工、生物为重点的区域性资源深加工基地，承接产业转移基地和外向型特色优势产业基地；我国城市化发展格局中特色鲜明的高原生态宜居城市群；全省跨越发展的引擎</w:t>
            </w:r>
            <w:r>
              <w:rPr>
                <w:rFonts w:hint="eastAsia" w:cs="Times New Roman"/>
                <w:color w:val="auto"/>
                <w:sz w:val="24"/>
                <w:szCs w:val="24"/>
                <w:highlight w:val="none"/>
                <w:lang w:eastAsia="zh-CN"/>
              </w:rPr>
              <w:t>，是</w:t>
            </w:r>
            <w:r>
              <w:rPr>
                <w:rFonts w:hint="default" w:ascii="Times New Roman" w:hAnsi="Times New Roman" w:eastAsia="宋体" w:cs="Times New Roman"/>
                <w:color w:val="auto"/>
                <w:sz w:val="24"/>
                <w:szCs w:val="24"/>
                <w:highlight w:val="none"/>
              </w:rPr>
              <w:t>我国西南地区重要的经济增长极。</w:t>
            </w:r>
          </w:p>
          <w:p w14:paraId="7A95DA7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本</w:t>
            </w:r>
            <w:r>
              <w:rPr>
                <w:rFonts w:hint="default" w:ascii="Times New Roman" w:hAnsi="Times New Roman" w:eastAsia="宋体" w:cs="Times New Roman"/>
                <w:color w:val="auto"/>
                <w:sz w:val="24"/>
                <w:szCs w:val="24"/>
                <w:highlight w:val="none"/>
              </w:rPr>
              <w:t>项目属于</w:t>
            </w:r>
            <w:r>
              <w:rPr>
                <w:rFonts w:hint="default" w:ascii="Times New Roman" w:hAnsi="Times New Roman" w:eastAsia="宋体" w:cs="Times New Roman"/>
                <w:color w:val="auto"/>
                <w:sz w:val="24"/>
                <w:szCs w:val="24"/>
                <w:highlight w:val="none"/>
                <w:lang w:val="en-US" w:eastAsia="zh-CN"/>
              </w:rPr>
              <w:t>民生工程</w:t>
            </w:r>
            <w:r>
              <w:rPr>
                <w:rFonts w:hint="default" w:ascii="Times New Roman" w:hAnsi="Times New Roman" w:eastAsia="宋体" w:cs="Times New Roman"/>
                <w:color w:val="auto"/>
                <w:sz w:val="24"/>
                <w:szCs w:val="24"/>
                <w:highlight w:val="none"/>
              </w:rPr>
              <w:t>项目，项目建设过程中，应注意减缓对生态环境的影响，注意生境恢复、景观绿化和水土流失防治等，减少施工期污水、噪声、粉尘以及固体废弃物等污染物的排放。</w:t>
            </w:r>
          </w:p>
          <w:p w14:paraId="306BACB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rPr>
              <w:t>项目与《云南省主体功能区规划》的关系图</w:t>
            </w:r>
            <w:r>
              <w:rPr>
                <w:rFonts w:hint="eastAsia" w:cs="Times New Roman"/>
                <w:color w:val="auto"/>
                <w:sz w:val="24"/>
                <w:szCs w:val="24"/>
                <w:lang w:val="en-US" w:eastAsia="zh-CN"/>
              </w:rPr>
              <w:t>见附图</w:t>
            </w:r>
            <w:r>
              <w:rPr>
                <w:rFonts w:hint="default" w:ascii="Times New Roman" w:hAnsi="Times New Roman" w:eastAsia="宋体" w:cs="Times New Roman"/>
                <w:color w:val="auto"/>
                <w:sz w:val="24"/>
                <w:szCs w:val="24"/>
              </w:rPr>
              <w:t>。</w:t>
            </w:r>
          </w:p>
          <w:p w14:paraId="2239FFCC">
            <w:pPr>
              <w:spacing w:beforeLines="0" w:afterLines="0" w:line="360" w:lineRule="auto"/>
              <w:jc w:val="left"/>
              <w:rPr>
                <w:rFonts w:hint="default" w:ascii="Times New Roman" w:hAnsi="Times New Roman" w:eastAsia="宋体" w:cs="Times New Roman"/>
                <w:b/>
                <w:bCs w:val="0"/>
                <w:color w:val="auto"/>
                <w:sz w:val="24"/>
                <w:szCs w:val="24"/>
              </w:rPr>
            </w:pPr>
            <w:r>
              <w:rPr>
                <w:rFonts w:hint="default" w:ascii="Times New Roman" w:hAnsi="Times New Roman" w:eastAsia="TimesNewRomanPS-BoldMT" w:cs="Times New Roman"/>
                <w:b/>
                <w:bCs w:val="0"/>
                <w:color w:val="auto"/>
                <w:sz w:val="24"/>
                <w:szCs w:val="24"/>
              </w:rPr>
              <w:t>2</w:t>
            </w:r>
            <w:r>
              <w:rPr>
                <w:rFonts w:hint="default" w:ascii="Times New Roman" w:hAnsi="Times New Roman" w:eastAsia="TimesNewRomanPS-BoldMT" w:cs="Times New Roman"/>
                <w:b/>
                <w:bCs w:val="0"/>
                <w:color w:val="auto"/>
                <w:sz w:val="24"/>
                <w:szCs w:val="24"/>
                <w:lang w:eastAsia="zh-CN"/>
              </w:rPr>
              <w:t>、</w:t>
            </w:r>
            <w:r>
              <w:rPr>
                <w:rFonts w:hint="default" w:ascii="Times New Roman" w:hAnsi="Times New Roman" w:eastAsia="宋体" w:cs="Times New Roman"/>
                <w:b/>
                <w:bCs w:val="0"/>
                <w:color w:val="auto"/>
                <w:sz w:val="24"/>
                <w:szCs w:val="24"/>
              </w:rPr>
              <w:t>生态环境功能区划</w:t>
            </w:r>
          </w:p>
          <w:p w14:paraId="0E256D3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根据《云南省生态功能区划》，云南省生态功能区共分一级区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生态区）5 个，二级区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生态亚区）19 个，三级区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生态功能区）65 个。根据对生态安全具有重要作用的生态服务功能，将生态功能类型中的65 个三级生态功能区，按主导生态服务功能进行归类，分为7 种类型区，即：农产品提供、林产品提供、生物多样性保护、土壤保持、水源涵养、农业与集镇以及城市群。</w:t>
            </w:r>
          </w:p>
          <w:p w14:paraId="48F8AB58">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昆明市属于Ⅲ高原亚热带北部常绿阔叶林生态区中的Ⅲ1-6 昆明、玉溪高原湖盆城镇生态功能区。高原亚热带北部常绿阔叶林生态区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Ⅲ）是云南省面积最大的生态区，从东到西贯穿全省，占据了中北部广大的高原和山地，面积19.82 万平方公里，占全省国土面积的51.75%。以云岭、点苍山、哀牢山一线为界，分为东西两个部分。</w:t>
            </w:r>
          </w:p>
          <w:p w14:paraId="261E1304">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东部为云南高原的主体，包括大理州东部、丽江市大部分地区、楚雄州、玉溪市中北部、昆明市、曲靖市、红河州东北部、文山州北部和昭通市南部，是我省耕地、人口和城镇分布最为密集的地区，地貌为丘陵状高原，北面的金沙江谷地深嵌于高原内部。西北部分地势高耸，丽江玉龙雪山和香格里拉哈巴雪山山地植被垂直系列很发达。气候四季温和，干、湿季分明，年降水量800-1200mm，常绿阔叶林和云南松林分布广泛。</w:t>
            </w:r>
          </w:p>
          <w:p w14:paraId="0B1AA88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西部为横断山纵谷区，占据了横断山纵谷区的大部分，包括怒江州和大理州的西部。区内高山深谷相间，并列南下，地势起伏大，从南向北随着海拔和纬度的增高而平均气温明显下降；年降水量1000-1500mm。</w:t>
            </w:r>
          </w:p>
          <w:p w14:paraId="7219EBB7">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项目与《云南省生态功能区划》的关系图</w:t>
            </w:r>
            <w:r>
              <w:rPr>
                <w:rFonts w:hint="eastAsia" w:cs="Times New Roman"/>
                <w:color w:val="auto"/>
                <w:sz w:val="24"/>
                <w:szCs w:val="24"/>
                <w:lang w:val="en-US" w:eastAsia="zh-CN"/>
              </w:rPr>
              <w:t>见附图</w:t>
            </w:r>
            <w:r>
              <w:rPr>
                <w:rFonts w:hint="default" w:ascii="Times New Roman" w:hAnsi="Times New Roman" w:eastAsia="宋体" w:cs="Times New Roman"/>
                <w:color w:val="auto"/>
                <w:sz w:val="24"/>
                <w:szCs w:val="24"/>
              </w:rPr>
              <w:t>。</w:t>
            </w:r>
          </w:p>
          <w:p w14:paraId="61D1803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本区是云南省政治、经济和文化的中心地区，工业、农业生产相对较为发达，城镇密集、经济发达，人为活动频繁，土地利用率高，高原湖泊分布集中，是几大流域的分水岭地带，也是环境污染最为严重的区域。</w:t>
            </w:r>
          </w:p>
          <w:p w14:paraId="17D07F35">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根据区内的主要生态服务功能、生态环境问题和生态脆弱特征，分为7 个生态亚区，36 个生态功能区。生态保护主要方向</w:t>
            </w:r>
            <w:r>
              <w:rPr>
                <w:rFonts w:hint="default" w:ascii="Times New Roman" w:hAnsi="Times New Roman" w:eastAsia="宋体" w:cs="Times New Roman"/>
                <w:color w:val="auto"/>
                <w:sz w:val="24"/>
                <w:szCs w:val="24"/>
                <w:lang w:val="en-US" w:eastAsia="zh-CN"/>
              </w:rPr>
              <w:t>等相关内容见下表。</w:t>
            </w:r>
          </w:p>
          <w:p w14:paraId="7FB6DF8F">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TimesNewRomanPS-BoldMT" w:cs="Times New Roman"/>
                <w:b/>
                <w:bCs/>
                <w:color w:val="auto"/>
                <w:sz w:val="24"/>
                <w:szCs w:val="24"/>
              </w:rPr>
              <w:t xml:space="preserve">3-1 </w:t>
            </w:r>
            <w:r>
              <w:rPr>
                <w:rFonts w:hint="default" w:ascii="Times New Roman" w:hAnsi="Times New Roman" w:eastAsia="TimesNewRomanPS-BoldMT"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云南省生态功能区划简表</w:t>
            </w:r>
          </w:p>
          <w:tbl>
            <w:tblPr>
              <w:tblStyle w:val="26"/>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429"/>
              <w:gridCol w:w="5837"/>
            </w:tblGrid>
            <w:tr w14:paraId="6155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0" w:type="pct"/>
                  <w:vMerge w:val="restart"/>
                  <w:tcBorders>
                    <w:tl2br w:val="nil"/>
                    <w:tr2bl w:val="nil"/>
                  </w:tcBorders>
                  <w:noWrap w:val="0"/>
                  <w:vAlign w:val="center"/>
                </w:tcPr>
                <w:p w14:paraId="1524A600">
                  <w:pPr>
                    <w:spacing w:beforeLines="0" w:afterLine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生态功能分区单元</w:t>
                  </w:r>
                </w:p>
              </w:tc>
              <w:tc>
                <w:tcPr>
                  <w:tcW w:w="869" w:type="pct"/>
                  <w:tcBorders>
                    <w:tl2br w:val="nil"/>
                    <w:tr2bl w:val="nil"/>
                  </w:tcBorders>
                  <w:noWrap w:val="0"/>
                  <w:vAlign w:val="center"/>
                </w:tcPr>
                <w:p w14:paraId="1843C8EC">
                  <w:pPr>
                    <w:spacing w:beforeLines="0" w:afterLine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生态区</w:t>
                  </w:r>
                </w:p>
              </w:tc>
              <w:tc>
                <w:tcPr>
                  <w:tcW w:w="3550" w:type="pct"/>
                  <w:tcBorders>
                    <w:tl2br w:val="nil"/>
                    <w:tr2bl w:val="nil"/>
                  </w:tcBorders>
                  <w:noWrap w:val="0"/>
                  <w:vAlign w:val="center"/>
                </w:tcPr>
                <w:p w14:paraId="3D2788C3">
                  <w:pPr>
                    <w:spacing w:beforeLines="0" w:afterLine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Ⅲ 高原亚热带北部常绿阔叶林生态区</w:t>
                  </w:r>
                </w:p>
              </w:tc>
            </w:tr>
            <w:tr w14:paraId="4183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0" w:type="pct"/>
                  <w:vMerge w:val="continue"/>
                  <w:tcBorders>
                    <w:tl2br w:val="nil"/>
                    <w:tr2bl w:val="nil"/>
                  </w:tcBorders>
                  <w:noWrap w:val="0"/>
                  <w:vAlign w:val="center"/>
                </w:tcPr>
                <w:p w14:paraId="7576F82E">
                  <w:pPr>
                    <w:spacing w:beforeLines="0" w:afterLines="0"/>
                    <w:jc w:val="center"/>
                    <w:rPr>
                      <w:rFonts w:hint="default" w:ascii="Times New Roman" w:hAnsi="Times New Roman" w:eastAsia="宋体" w:cs="Times New Roman"/>
                      <w:color w:val="auto"/>
                      <w:sz w:val="21"/>
                      <w:szCs w:val="21"/>
                    </w:rPr>
                  </w:pPr>
                </w:p>
              </w:tc>
              <w:tc>
                <w:tcPr>
                  <w:tcW w:w="869" w:type="pct"/>
                  <w:tcBorders>
                    <w:tl2br w:val="nil"/>
                    <w:tr2bl w:val="nil"/>
                  </w:tcBorders>
                  <w:noWrap w:val="0"/>
                  <w:vAlign w:val="center"/>
                </w:tcPr>
                <w:p w14:paraId="6F44E37C">
                  <w:pPr>
                    <w:spacing w:beforeLines="0" w:afterLine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生态亚区</w:t>
                  </w:r>
                </w:p>
              </w:tc>
              <w:tc>
                <w:tcPr>
                  <w:tcW w:w="3550" w:type="pct"/>
                  <w:tcBorders>
                    <w:tl2br w:val="nil"/>
                    <w:tr2bl w:val="nil"/>
                  </w:tcBorders>
                  <w:noWrap w:val="0"/>
                  <w:vAlign w:val="center"/>
                </w:tcPr>
                <w:p w14:paraId="340EEE17">
                  <w:pPr>
                    <w:spacing w:beforeLines="0" w:afterLine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Ⅲ1 滇中高原谷盆半湿润常绿阔叶林、暖性针叶林生态亚区</w:t>
                  </w:r>
                </w:p>
              </w:tc>
            </w:tr>
            <w:tr w14:paraId="337B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0" w:type="pct"/>
                  <w:vMerge w:val="continue"/>
                  <w:tcBorders>
                    <w:tl2br w:val="nil"/>
                    <w:tr2bl w:val="nil"/>
                  </w:tcBorders>
                  <w:noWrap w:val="0"/>
                  <w:vAlign w:val="center"/>
                </w:tcPr>
                <w:p w14:paraId="2B8DFC62">
                  <w:pPr>
                    <w:spacing w:beforeLines="0" w:afterLines="0"/>
                    <w:jc w:val="center"/>
                    <w:rPr>
                      <w:rFonts w:hint="default" w:ascii="Times New Roman" w:hAnsi="Times New Roman" w:eastAsia="宋体" w:cs="Times New Roman"/>
                      <w:color w:val="auto"/>
                      <w:sz w:val="21"/>
                      <w:szCs w:val="21"/>
                    </w:rPr>
                  </w:pPr>
                </w:p>
              </w:tc>
              <w:tc>
                <w:tcPr>
                  <w:tcW w:w="869" w:type="pct"/>
                  <w:tcBorders>
                    <w:tl2br w:val="nil"/>
                    <w:tr2bl w:val="nil"/>
                  </w:tcBorders>
                  <w:noWrap w:val="0"/>
                  <w:vAlign w:val="center"/>
                </w:tcPr>
                <w:p w14:paraId="1ED8AC0F">
                  <w:pPr>
                    <w:spacing w:beforeLines="0" w:afterLine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生态功能区</w:t>
                  </w:r>
                </w:p>
              </w:tc>
              <w:tc>
                <w:tcPr>
                  <w:tcW w:w="3550" w:type="pct"/>
                  <w:tcBorders>
                    <w:tl2br w:val="nil"/>
                    <w:tr2bl w:val="nil"/>
                  </w:tcBorders>
                  <w:noWrap w:val="0"/>
                  <w:vAlign w:val="center"/>
                </w:tcPr>
                <w:p w14:paraId="532FD798">
                  <w:pPr>
                    <w:spacing w:beforeLines="0" w:afterLine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Ⅲ1-6 昆明、玉溪高原湖盆城镇建设生态功能区</w:t>
                  </w:r>
                </w:p>
              </w:tc>
            </w:tr>
            <w:tr w14:paraId="3AAF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9" w:type="pct"/>
                  <w:gridSpan w:val="2"/>
                  <w:tcBorders>
                    <w:tl2br w:val="nil"/>
                    <w:tr2bl w:val="nil"/>
                  </w:tcBorders>
                  <w:noWrap w:val="0"/>
                  <w:vAlign w:val="center"/>
                </w:tcPr>
                <w:p w14:paraId="102B5A83">
                  <w:pPr>
                    <w:spacing w:beforeLines="0" w:afterLine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所在区域与面积</w:t>
                  </w:r>
                </w:p>
              </w:tc>
              <w:tc>
                <w:tcPr>
                  <w:tcW w:w="3550" w:type="pct"/>
                  <w:tcBorders>
                    <w:tl2br w:val="nil"/>
                    <w:tr2bl w:val="nil"/>
                  </w:tcBorders>
                  <w:noWrap w:val="0"/>
                  <w:vAlign w:val="center"/>
                </w:tcPr>
                <w:p w14:paraId="4F852544">
                  <w:pPr>
                    <w:spacing w:beforeLines="0" w:afterLine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澄江、通海、红塔区、江川县，昆明市大部分区域，峨山县的部分地区，面积 11532.70km 2</w:t>
                  </w:r>
                </w:p>
              </w:tc>
            </w:tr>
            <w:tr w14:paraId="2578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9" w:type="pct"/>
                  <w:gridSpan w:val="2"/>
                  <w:tcBorders>
                    <w:tl2br w:val="nil"/>
                    <w:tr2bl w:val="nil"/>
                  </w:tcBorders>
                  <w:noWrap w:val="0"/>
                  <w:vAlign w:val="center"/>
                </w:tcPr>
                <w:p w14:paraId="004185B7">
                  <w:pPr>
                    <w:spacing w:beforeLines="0" w:afterLine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主要生态特征</w:t>
                  </w:r>
                </w:p>
              </w:tc>
              <w:tc>
                <w:tcPr>
                  <w:tcW w:w="3550" w:type="pct"/>
                  <w:tcBorders>
                    <w:tl2br w:val="nil"/>
                    <w:tr2bl w:val="nil"/>
                  </w:tcBorders>
                  <w:noWrap w:val="0"/>
                  <w:vAlign w:val="center"/>
                </w:tcPr>
                <w:p w14:paraId="638420B3">
                  <w:pPr>
                    <w:spacing w:beforeLines="0" w:afterLine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以湖盆和丘状高原地貌为主。滇池、抚仙湖、星云湖、杞麓湖等高原湖泊都分布在本区内，大部分地区的年降雨量在900-1000毫米，现存植被以云南松林为主。土壤以红壤、紫色土和水稻土为主</w:t>
                  </w:r>
                </w:p>
              </w:tc>
            </w:tr>
            <w:tr w14:paraId="0A12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9" w:type="pct"/>
                  <w:gridSpan w:val="2"/>
                  <w:tcBorders>
                    <w:tl2br w:val="nil"/>
                    <w:tr2bl w:val="nil"/>
                  </w:tcBorders>
                  <w:noWrap w:val="0"/>
                  <w:vAlign w:val="center"/>
                </w:tcPr>
                <w:p w14:paraId="5DFB3253">
                  <w:pPr>
                    <w:spacing w:beforeLines="0" w:afterLine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主要生态环境问题</w:t>
                  </w:r>
                </w:p>
              </w:tc>
              <w:tc>
                <w:tcPr>
                  <w:tcW w:w="3550" w:type="pct"/>
                  <w:tcBorders>
                    <w:tl2br w:val="nil"/>
                    <w:tr2bl w:val="nil"/>
                  </w:tcBorders>
                  <w:noWrap w:val="0"/>
                  <w:vAlign w:val="center"/>
                </w:tcPr>
                <w:p w14:paraId="7CFD5C5B">
                  <w:pPr>
                    <w:spacing w:beforeLines="0" w:afterLine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农业面源污染，环境污染、水资源和土地资源短缺</w:t>
                  </w:r>
                </w:p>
              </w:tc>
            </w:tr>
            <w:tr w14:paraId="7F62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9" w:type="pct"/>
                  <w:gridSpan w:val="2"/>
                  <w:tcBorders>
                    <w:tl2br w:val="nil"/>
                    <w:tr2bl w:val="nil"/>
                  </w:tcBorders>
                  <w:noWrap w:val="0"/>
                  <w:vAlign w:val="center"/>
                </w:tcPr>
                <w:p w14:paraId="5F90398D">
                  <w:pPr>
                    <w:spacing w:beforeLines="0" w:afterLine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生态环境敏感性</w:t>
                  </w:r>
                </w:p>
              </w:tc>
              <w:tc>
                <w:tcPr>
                  <w:tcW w:w="3550" w:type="pct"/>
                  <w:tcBorders>
                    <w:tl2br w:val="nil"/>
                    <w:tr2bl w:val="nil"/>
                  </w:tcBorders>
                  <w:noWrap w:val="0"/>
                  <w:vAlign w:val="center"/>
                </w:tcPr>
                <w:p w14:paraId="3145D0C3">
                  <w:pPr>
                    <w:spacing w:beforeLines="0" w:afterLine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高原湖盆和城乡交错带的生态脆弱性</w:t>
                  </w:r>
                </w:p>
              </w:tc>
            </w:tr>
            <w:tr w14:paraId="0A11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9" w:type="pct"/>
                  <w:gridSpan w:val="2"/>
                  <w:tcBorders>
                    <w:tl2br w:val="nil"/>
                    <w:tr2bl w:val="nil"/>
                  </w:tcBorders>
                  <w:noWrap w:val="0"/>
                  <w:vAlign w:val="center"/>
                </w:tcPr>
                <w:p w14:paraId="1D59E02E">
                  <w:pPr>
                    <w:spacing w:beforeLines="0" w:afterLine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主要生态系统服务功能</w:t>
                  </w:r>
                </w:p>
              </w:tc>
              <w:tc>
                <w:tcPr>
                  <w:tcW w:w="3550" w:type="pct"/>
                  <w:tcBorders>
                    <w:tl2br w:val="nil"/>
                    <w:tr2bl w:val="nil"/>
                  </w:tcBorders>
                  <w:noWrap w:val="0"/>
                  <w:vAlign w:val="center"/>
                </w:tcPr>
                <w:p w14:paraId="4966A5E6">
                  <w:pPr>
                    <w:spacing w:beforeLines="0" w:afterLine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昆明中心城市建设及维护高原湖泊群及周边地区的生态安全</w:t>
                  </w:r>
                </w:p>
              </w:tc>
            </w:tr>
            <w:tr w14:paraId="0A13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49" w:type="pct"/>
                  <w:gridSpan w:val="2"/>
                  <w:tcBorders>
                    <w:tl2br w:val="nil"/>
                    <w:tr2bl w:val="nil"/>
                  </w:tcBorders>
                  <w:noWrap w:val="0"/>
                  <w:vAlign w:val="center"/>
                </w:tcPr>
                <w:p w14:paraId="5F59BF41">
                  <w:pPr>
                    <w:spacing w:beforeLines="0" w:afterLine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保护措施与发展方向</w:t>
                  </w:r>
                </w:p>
              </w:tc>
              <w:tc>
                <w:tcPr>
                  <w:tcW w:w="3550" w:type="pct"/>
                  <w:tcBorders>
                    <w:tl2br w:val="nil"/>
                    <w:tr2bl w:val="nil"/>
                  </w:tcBorders>
                  <w:noWrap w:val="0"/>
                  <w:vAlign w:val="center"/>
                </w:tcPr>
                <w:p w14:paraId="02E9CE64">
                  <w:pPr>
                    <w:spacing w:beforeLines="0" w:afterLine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调整产业结构，发展循环经济，推行清洁生产，治理高原湖泊水体污染和流域区的面源污染</w:t>
                  </w:r>
                </w:p>
              </w:tc>
            </w:tr>
          </w:tbl>
          <w:p w14:paraId="267BE3FB">
            <w:pPr>
              <w:adjustRightInd w:val="0"/>
              <w:snapToGrid w:val="0"/>
              <w:spacing w:line="360" w:lineRule="auto"/>
              <w:jc w:val="both"/>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3</w:t>
            </w:r>
            <w:r>
              <w:rPr>
                <w:rFonts w:hint="eastAsia" w:cs="Times New Roman"/>
                <w:b/>
                <w:bCs/>
                <w:color w:val="auto"/>
                <w:sz w:val="24"/>
                <w:szCs w:val="24"/>
                <w:highlight w:val="none"/>
                <w:lang w:val="en-US" w:eastAsia="zh-CN"/>
              </w:rPr>
              <w:t>、</w:t>
            </w:r>
            <w:r>
              <w:rPr>
                <w:rFonts w:hint="default" w:ascii="Times New Roman" w:hAnsi="Times New Roman" w:eastAsia="宋体" w:cs="Times New Roman"/>
                <w:b/>
                <w:bCs/>
                <w:color w:val="auto"/>
                <w:sz w:val="24"/>
                <w:szCs w:val="24"/>
                <w:highlight w:val="none"/>
              </w:rPr>
              <w:t>生态环境现状</w:t>
            </w:r>
          </w:p>
          <w:p w14:paraId="595F7B58">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本项目评价范围包括泵站永久建筑用地范围外300m及管线工程中心线向两侧外延300m，涉及安宁市八街街道和县街街道。四个地块</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泵站、泵站右侧管线、泵站左侧管线、最南侧管线）合计评价范围总面积约1224.73hm²，全面覆盖工程施工区、临时作业区、施工便道及周边可能受扰动的区域。项目评价范围不占生态保护红线，不在城镇开发边界内。</w:t>
            </w:r>
          </w:p>
          <w:p w14:paraId="79ABCD98">
            <w:pPr>
              <w:tabs>
                <w:tab w:val="left" w:pos="2395"/>
              </w:tabs>
              <w:spacing w:line="360" w:lineRule="auto"/>
              <w:jc w:val="left"/>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3.1</w:t>
            </w:r>
            <w:r>
              <w:rPr>
                <w:rFonts w:hint="default" w:ascii="Times New Roman" w:hAnsi="Times New Roman" w:eastAsia="宋体" w:cs="Times New Roman"/>
                <w:b/>
                <w:bCs/>
                <w:color w:val="auto"/>
                <w:sz w:val="24"/>
                <w:szCs w:val="24"/>
                <w:lang w:val="en-US" w:eastAsia="zh-CN"/>
              </w:rPr>
              <w:t>调查方法</w:t>
            </w:r>
          </w:p>
          <w:p w14:paraId="78953EA5">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本次调查严格遵循环评相关技术规范，结合安宁市滇中高原低山丘陵区的生态特征，采用资料收集 + 现场踏勘 + 样方调查 + 无人机遥感解译 + 走访咨询相结合的综合方法，确保调查结果科学、客观、全面，具体如下：</w:t>
            </w:r>
          </w:p>
          <w:p w14:paraId="17E8D977">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资料收集：系统查阅安宁市植被区划、动植物名录、生态保护红线分布、土地利用总体规划、安宁市野生珍稀动植物资源调查报告、安宁市陆生野生动物资源普查资料等相关文献，梳理区域生态本底情况、历史物种分布记录及生态敏感区边界。</w:t>
            </w:r>
          </w:p>
          <w:p w14:paraId="1BB24139">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现场踏勘：组织专业调查人员，沿线路中心线两侧300m范围内开展全面踏查，采用分段踏勘方式，记录植被类型、物种分布、植物群落结构、动物活动痕迹</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粪便、足迹、羽毛、巢穴等）、土地利用现状及生态敏感点分布，同步拍摄现场照片、记录坐标点位，形成踏勘台账。</w:t>
            </w:r>
          </w:p>
          <w:p w14:paraId="5BE4B32B">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无人机遥感解译：采用高清无人机对评价范围进行全覆盖航拍，结合2025年6月0.5m分辨率卫星影像，通过专业软件解译土地利用类型、植被覆盖度，核实敏感目标边界、植被群落分布范围，对比现场踏勘结果，修正解译误差。</w:t>
            </w:r>
          </w:p>
          <w:p w14:paraId="2A3CA206">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走访咨询：对接安宁市林业和草原局、自然资源局、乡镇农业农村服务中心及沿线村组村民，核实保护物种分布、古树名木、野生动物活动规律及近期物种变化情况，收集相关口述资料并整理归档。</w:t>
            </w:r>
          </w:p>
          <w:p w14:paraId="6D7A8002">
            <w:pPr>
              <w:tabs>
                <w:tab w:val="left" w:pos="2395"/>
              </w:tabs>
              <w:spacing w:line="360" w:lineRule="auto"/>
              <w:jc w:val="left"/>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3.2</w:t>
            </w:r>
            <w:r>
              <w:rPr>
                <w:rFonts w:hint="default" w:ascii="Times New Roman" w:hAnsi="Times New Roman" w:eastAsia="宋体" w:cs="Times New Roman"/>
                <w:b/>
                <w:bCs/>
                <w:color w:val="auto"/>
                <w:sz w:val="24"/>
                <w:szCs w:val="24"/>
                <w:lang w:val="en-US" w:eastAsia="zh-CN"/>
              </w:rPr>
              <w:t>调查时间及调查人员</w:t>
            </w:r>
          </w:p>
          <w:p w14:paraId="6023DE81">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评价区陆生动植物现状调查时间为2026年</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月</w:t>
            </w:r>
            <w:r>
              <w:rPr>
                <w:rFonts w:hint="eastAsia" w:ascii="Times New Roman" w:hAnsi="Times New Roman" w:eastAsia="宋体" w:cs="Times New Roman"/>
                <w:color w:val="auto"/>
                <w:sz w:val="24"/>
                <w:szCs w:val="24"/>
                <w:lang w:val="en-US" w:eastAsia="zh-CN"/>
              </w:rPr>
              <w:t>11</w:t>
            </w:r>
            <w:r>
              <w:rPr>
                <w:rFonts w:hint="default" w:ascii="Times New Roman" w:hAnsi="Times New Roman" w:eastAsia="宋体" w:cs="Times New Roman"/>
                <w:color w:val="auto"/>
                <w:sz w:val="24"/>
                <w:szCs w:val="24"/>
                <w:lang w:val="en-US" w:eastAsia="zh-CN"/>
              </w:rPr>
              <w:t>日—2026年</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月</w:t>
            </w:r>
            <w:r>
              <w:rPr>
                <w:rFonts w:hint="eastAsia"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lang w:val="en-US" w:eastAsia="zh-CN"/>
              </w:rPr>
              <w:t>日。</w:t>
            </w:r>
          </w:p>
          <w:p w14:paraId="5F9430BE">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调查人员：</w:t>
            </w:r>
            <w:r>
              <w:rPr>
                <w:rFonts w:hint="eastAsia" w:cs="Times New Roman"/>
                <w:color w:val="auto"/>
                <w:sz w:val="24"/>
                <w:highlight w:val="none"/>
                <w:lang w:val="en-US" w:eastAsia="zh-CN"/>
              </w:rPr>
              <w:t>调查人员：</w:t>
            </w:r>
            <w:r>
              <w:rPr>
                <w:rFonts w:hint="eastAsia" w:ascii="Times New Roman" w:hAnsi="Times New Roman" w:eastAsia="宋体" w:cs="Times New Roman"/>
                <w:snapToGrid/>
                <w:color w:val="auto"/>
                <w:spacing w:val="0"/>
                <w:w w:val="100"/>
                <w:kern w:val="2"/>
                <w:position w:val="0"/>
                <w:sz w:val="24"/>
                <w:szCs w:val="24"/>
                <w:highlight w:val="none"/>
                <w:lang w:val="en-US" w:eastAsia="zh-CN" w:bidi="ar-SA"/>
              </w:rPr>
              <w:t>吕彦平（</w:t>
            </w:r>
            <w:r>
              <w:rPr>
                <w:rFonts w:hint="default" w:ascii="Times New Roman" w:hAnsi="Times New Roman" w:eastAsia="宋体" w:cs="Times New Roman"/>
                <w:snapToGrid/>
                <w:color w:val="auto"/>
                <w:spacing w:val="0"/>
                <w:w w:val="100"/>
                <w:kern w:val="2"/>
                <w:position w:val="0"/>
                <w:sz w:val="24"/>
                <w:szCs w:val="24"/>
                <w:highlight w:val="none"/>
                <w:lang w:val="en-US" w:eastAsia="zh-CN" w:bidi="ar-SA"/>
              </w:rPr>
              <w:t>云南大学，生态学专业、硕士学位）、</w:t>
            </w:r>
            <w:r>
              <w:rPr>
                <w:rFonts w:hint="eastAsia" w:ascii="Times New Roman" w:hAnsi="Times New Roman" w:eastAsia="宋体" w:cs="Times New Roman"/>
                <w:snapToGrid/>
                <w:color w:val="auto"/>
                <w:spacing w:val="0"/>
                <w:w w:val="100"/>
                <w:kern w:val="2"/>
                <w:position w:val="0"/>
                <w:sz w:val="24"/>
                <w:szCs w:val="24"/>
                <w:highlight w:val="none"/>
                <w:lang w:val="en-US" w:eastAsia="zh-CN" w:bidi="ar-SA"/>
              </w:rPr>
              <w:t>金玉森（西南林业大学</w:t>
            </w:r>
            <w:r>
              <w:rPr>
                <w:rFonts w:hint="default" w:ascii="Times New Roman" w:hAnsi="Times New Roman" w:eastAsia="宋体" w:cs="Times New Roman"/>
                <w:snapToGrid/>
                <w:color w:val="auto"/>
                <w:spacing w:val="0"/>
                <w:w w:val="100"/>
                <w:kern w:val="2"/>
                <w:position w:val="0"/>
                <w:sz w:val="24"/>
                <w:szCs w:val="24"/>
                <w:highlight w:val="none"/>
                <w:lang w:val="en-US" w:eastAsia="zh-CN" w:bidi="ar-SA"/>
              </w:rPr>
              <w:t>，生态学专业、学士学位）、</w:t>
            </w:r>
            <w:r>
              <w:rPr>
                <w:rFonts w:hint="eastAsia" w:ascii="Times New Roman" w:hAnsi="Times New Roman" w:eastAsia="宋体" w:cs="Times New Roman"/>
                <w:snapToGrid/>
                <w:color w:val="auto"/>
                <w:spacing w:val="0"/>
                <w:w w:val="100"/>
                <w:kern w:val="2"/>
                <w:position w:val="0"/>
                <w:sz w:val="24"/>
                <w:szCs w:val="24"/>
                <w:highlight w:val="none"/>
                <w:lang w:val="en-US" w:eastAsia="zh-CN" w:bidi="ar-SA"/>
              </w:rPr>
              <w:t>牛金龙（本项目编制主持人，西南林业大学</w:t>
            </w:r>
            <w:r>
              <w:rPr>
                <w:rFonts w:hint="default" w:ascii="Times New Roman" w:hAnsi="Times New Roman" w:eastAsia="宋体" w:cs="Times New Roman"/>
                <w:snapToGrid/>
                <w:color w:val="auto"/>
                <w:spacing w:val="0"/>
                <w:w w:val="100"/>
                <w:kern w:val="2"/>
                <w:position w:val="0"/>
                <w:sz w:val="24"/>
                <w:szCs w:val="24"/>
                <w:highlight w:val="none"/>
                <w:lang w:val="en-US" w:eastAsia="zh-CN" w:bidi="ar-SA"/>
              </w:rPr>
              <w:t>，</w:t>
            </w:r>
            <w:r>
              <w:rPr>
                <w:rFonts w:hint="eastAsia" w:ascii="Times New Roman" w:hAnsi="Times New Roman" w:eastAsia="宋体" w:cs="Times New Roman"/>
                <w:snapToGrid/>
                <w:color w:val="auto"/>
                <w:spacing w:val="0"/>
                <w:w w:val="100"/>
                <w:kern w:val="2"/>
                <w:position w:val="0"/>
                <w:sz w:val="24"/>
                <w:szCs w:val="24"/>
                <w:highlight w:val="none"/>
                <w:lang w:val="en-US" w:eastAsia="zh-CN" w:bidi="ar-SA"/>
              </w:rPr>
              <w:t>农业资源与环境</w:t>
            </w:r>
            <w:r>
              <w:rPr>
                <w:rFonts w:hint="default" w:ascii="Times New Roman" w:hAnsi="Times New Roman" w:eastAsia="宋体" w:cs="Times New Roman"/>
                <w:snapToGrid/>
                <w:color w:val="auto"/>
                <w:spacing w:val="0"/>
                <w:w w:val="100"/>
                <w:kern w:val="2"/>
                <w:position w:val="0"/>
                <w:sz w:val="24"/>
                <w:szCs w:val="24"/>
                <w:highlight w:val="none"/>
                <w:lang w:val="en-US" w:eastAsia="zh-CN" w:bidi="ar-SA"/>
              </w:rPr>
              <w:t>专业）</w:t>
            </w:r>
            <w:r>
              <w:rPr>
                <w:rFonts w:hint="default" w:ascii="Times New Roman" w:hAnsi="Times New Roman" w:eastAsia="宋体" w:cs="Times New Roman"/>
                <w:color w:val="auto"/>
                <w:sz w:val="24"/>
                <w:szCs w:val="24"/>
                <w:lang w:val="en-US" w:eastAsia="zh-CN"/>
              </w:rPr>
              <w:t>。</w:t>
            </w:r>
          </w:p>
          <w:p w14:paraId="2B3EA99C">
            <w:pPr>
              <w:tabs>
                <w:tab w:val="left" w:pos="2395"/>
              </w:tabs>
              <w:spacing w:line="360" w:lineRule="auto"/>
              <w:jc w:val="left"/>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3.3</w:t>
            </w:r>
            <w:r>
              <w:rPr>
                <w:rFonts w:hint="default" w:ascii="Times New Roman" w:hAnsi="Times New Roman" w:eastAsia="宋体" w:cs="Times New Roman"/>
                <w:b/>
                <w:bCs/>
                <w:color w:val="auto"/>
                <w:sz w:val="24"/>
                <w:szCs w:val="24"/>
                <w:lang w:val="en-US" w:eastAsia="zh-CN"/>
              </w:rPr>
              <w:t>评价区生态环境现状</w:t>
            </w:r>
          </w:p>
          <w:p w14:paraId="685C76BC">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一）区域自然地理概况</w:t>
            </w:r>
          </w:p>
          <w:p w14:paraId="7813AEDE">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安宁市地处滇中高原，属北亚热带低纬高原季风气候区，夏无酷暑，冬无严寒，日照充足，年平均气温在15.3℃—19.9℃之间，年平均降水量约850</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900mm，干湿季分明。</w:t>
            </w:r>
          </w:p>
          <w:p w14:paraId="4A3C674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八街街道地处安宁市南部，东与晋宁区相邻，南接晋宁区，西靠易门县，北与县街街道相接，总面积340.29平方千米。位于滇中高原，是一个纯农业街道，同时也是安宁市南部水资源保护区和革命老区，森林覆盖率达61%。辖区海拔在1900m至2400m之间，年平均气温14.8℃。属亚热带高原季风气候，适宜种植粮食、烤烟、蔬菜、水果等农作物。</w:t>
            </w:r>
          </w:p>
          <w:p w14:paraId="2CE6605C">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县街街道地处安宁市中部，东与西山区接壤，南与八街街道毗邻，总面积264.19平方千米。境内山脉属乌蒙山脉，多山，“黑风洞”海拔2671m，为安宁境内最高山峰，山场面积243平方公里，森林覆盖率达65.9%。属中亚热带低纬度高海拔地区，季节温差不大，干湿度分明，年平均气温17.8℃，年平均降水量约774mm。境内主要河流有鸣矣河、小漩河等，矿产资源丰富，主要有磷矿石</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储量约7.1亿吨）、石灰石等。</w:t>
            </w:r>
          </w:p>
          <w:p w14:paraId="03FBE2B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评价区土壤以红壤、紫色土为主，植被属亚热带常绿阔叶林区域，地带性植被为半湿润常绿阔叶林，现状以次生林、人工林和农田植被为主。</w:t>
            </w:r>
          </w:p>
          <w:p w14:paraId="5E1EA88E">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二）植物资源现状调查</w:t>
            </w:r>
          </w:p>
          <w:p w14:paraId="6C53D115">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评价区域植物资源现状调查基于高分辨率遥感影像利用GIS软件进行人工目视解译，遥感影像采用区域2025年6月的0.5m分辨率卫星影像作为解译基础底图。按照《环境影响评价技术导则 生态影响》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HJ 19-2022）要求，通过人工目视判读遥感影像及现场调查核实，将评价范围内的土地利用类型按GB/T 21010-2017土地利用分类体系进行分类，形成土地利用现状矢量数据库；植被类型图参照《1</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1000000中国植被图》中植被分类体系进行划分。同时，结合现场样方调查、标本采集鉴定及历史资料收集，综合评估评价区植物资源现状。</w:t>
            </w:r>
          </w:p>
          <w:p w14:paraId="3B3F62E7">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3.3.1</w:t>
            </w:r>
            <w:r>
              <w:rPr>
                <w:rFonts w:hint="default" w:ascii="Times New Roman" w:hAnsi="Times New Roman" w:eastAsia="宋体" w:cs="Times New Roman"/>
                <w:b/>
                <w:bCs/>
                <w:color w:val="auto"/>
                <w:sz w:val="24"/>
                <w:highlight w:val="none"/>
                <w:lang w:val="en-US" w:eastAsia="zh-CN"/>
              </w:rPr>
              <w:t>土地利用现状</w:t>
            </w:r>
          </w:p>
          <w:p w14:paraId="73898941">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1）评价范围土地利用现状汇总</w:t>
            </w:r>
          </w:p>
          <w:p w14:paraId="510EBCDF">
            <w:pPr>
              <w:tabs>
                <w:tab w:val="left" w:pos="2395"/>
              </w:tabs>
              <w:spacing w:line="360" w:lineRule="auto"/>
              <w:ind w:firstLine="480" w:firstLineChars="200"/>
              <w:jc w:val="left"/>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color w:val="auto"/>
                <w:sz w:val="24"/>
                <w:highlight w:val="none"/>
                <w:lang w:val="en-US" w:eastAsia="zh-CN"/>
              </w:rPr>
              <w:t>评价区四个地块</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泵站、泵站右侧管线、泵站左侧管线、最南侧管线）合计总面积1224.73 hm²。根据土地利用现状解译结果，评价范围土地利用现状类型统计见下表。</w:t>
            </w:r>
          </w:p>
          <w:p w14:paraId="33323539">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w:t>
            </w:r>
            <w:r>
              <w:rPr>
                <w:rFonts w:hint="eastAsia" w:ascii="Times New Roman" w:hAnsi="Times New Roman" w:eastAsia="宋体" w:cs="Times New Roman"/>
                <w:b/>
                <w:bCs/>
                <w:color w:val="auto"/>
                <w:sz w:val="24"/>
                <w:szCs w:val="24"/>
                <w:lang w:val="en-US" w:eastAsia="zh-CN"/>
              </w:rPr>
              <w:t xml:space="preserve">3-2    </w:t>
            </w:r>
            <w:r>
              <w:rPr>
                <w:rFonts w:hint="default" w:ascii="Times New Roman" w:hAnsi="Times New Roman" w:eastAsia="宋体" w:cs="Times New Roman"/>
                <w:b/>
                <w:bCs/>
                <w:color w:val="auto"/>
                <w:sz w:val="24"/>
                <w:szCs w:val="24"/>
                <w:lang w:val="en-US" w:eastAsia="zh-CN"/>
              </w:rPr>
              <w:t>评价范围土地利用现状汇总表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4"/>
              <w:gridCol w:w="1899"/>
              <w:gridCol w:w="1437"/>
              <w:gridCol w:w="1422"/>
              <w:gridCol w:w="1397"/>
            </w:tblGrid>
            <w:tr w14:paraId="6FDE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10" w:type="pct"/>
                  <w:gridSpan w:val="2"/>
                  <w:shd w:val="clear" w:color="auto" w:fill="auto"/>
                  <w:vAlign w:val="center"/>
                </w:tcPr>
                <w:p w14:paraId="44C53AD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土地利用分类</w:t>
                  </w:r>
                </w:p>
              </w:tc>
              <w:tc>
                <w:tcPr>
                  <w:tcW w:w="874" w:type="pct"/>
                  <w:vMerge w:val="restart"/>
                  <w:shd w:val="clear" w:color="auto" w:fill="auto"/>
                  <w:vAlign w:val="center"/>
                </w:tcPr>
                <w:p w14:paraId="7A9408E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面积</w:t>
                  </w:r>
                  <w:r>
                    <w:rPr>
                      <w:rFonts w:hint="eastAsia" w:ascii="Times New Roman" w:hAnsi="Times New Roman" w:eastAsia="宋体" w:cs="Times New Roman"/>
                      <w:color w:val="auto"/>
                      <w:spacing w:val="-5"/>
                      <w:sz w:val="21"/>
                      <w:szCs w:val="21"/>
                      <w:lang w:val="en-US" w:eastAsia="zh-CN" w:bidi="he-IL"/>
                    </w:rPr>
                    <w:t>（</w:t>
                  </w:r>
                  <w:r>
                    <w:rPr>
                      <w:rFonts w:hint="default" w:ascii="Times New Roman" w:hAnsi="Times New Roman" w:eastAsia="宋体" w:cs="Times New Roman"/>
                      <w:color w:val="auto"/>
                      <w:spacing w:val="-5"/>
                      <w:sz w:val="21"/>
                      <w:szCs w:val="21"/>
                      <w:lang w:val="en-US" w:eastAsia="zh-CN" w:bidi="he-IL"/>
                    </w:rPr>
                    <w:t>hm²）</w:t>
                  </w:r>
                </w:p>
              </w:tc>
              <w:tc>
                <w:tcPr>
                  <w:tcW w:w="865" w:type="pct"/>
                  <w:vMerge w:val="restart"/>
                  <w:shd w:val="clear" w:color="auto" w:fill="auto"/>
                  <w:vAlign w:val="center"/>
                </w:tcPr>
                <w:p w14:paraId="48D8D2A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占比</w:t>
                  </w:r>
                  <w:r>
                    <w:rPr>
                      <w:rFonts w:hint="eastAsia" w:ascii="Times New Roman" w:hAnsi="Times New Roman" w:eastAsia="宋体" w:cs="Times New Roman"/>
                      <w:color w:val="auto"/>
                      <w:spacing w:val="-5"/>
                      <w:sz w:val="21"/>
                      <w:szCs w:val="21"/>
                      <w:lang w:val="en-US" w:eastAsia="zh-CN" w:bidi="he-IL"/>
                    </w:rPr>
                    <w:t>（</w:t>
                  </w:r>
                  <w:r>
                    <w:rPr>
                      <w:rFonts w:hint="default" w:ascii="Times New Roman" w:hAnsi="Times New Roman" w:eastAsia="宋体" w:cs="Times New Roman"/>
                      <w:color w:val="auto"/>
                      <w:spacing w:val="-5"/>
                      <w:sz w:val="21"/>
                      <w:szCs w:val="21"/>
                      <w:lang w:val="en-US" w:eastAsia="zh-CN" w:bidi="he-IL"/>
                    </w:rPr>
                    <w:t>%）</w:t>
                  </w:r>
                </w:p>
              </w:tc>
              <w:tc>
                <w:tcPr>
                  <w:tcW w:w="849" w:type="pct"/>
                  <w:vMerge w:val="restart"/>
                  <w:shd w:val="clear" w:color="auto" w:fill="auto"/>
                  <w:vAlign w:val="center"/>
                </w:tcPr>
                <w:p w14:paraId="51094FB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斑块数</w:t>
                  </w:r>
                </w:p>
              </w:tc>
            </w:tr>
            <w:tr w14:paraId="3ABE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shd w:val="clear" w:color="auto" w:fill="auto"/>
                  <w:vAlign w:val="center"/>
                </w:tcPr>
                <w:p w14:paraId="6CA7C1F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一级类</w:t>
                  </w:r>
                </w:p>
              </w:tc>
              <w:tc>
                <w:tcPr>
                  <w:tcW w:w="1155" w:type="pct"/>
                  <w:shd w:val="clear" w:color="auto" w:fill="auto"/>
                  <w:vAlign w:val="center"/>
                </w:tcPr>
                <w:p w14:paraId="4C57F44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二级类</w:t>
                  </w:r>
                </w:p>
              </w:tc>
              <w:tc>
                <w:tcPr>
                  <w:tcW w:w="874" w:type="pct"/>
                  <w:vMerge w:val="continue"/>
                </w:tcPr>
                <w:p w14:paraId="60611282">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vertAlign w:val="baseline"/>
                      <w:lang w:val="en-US" w:eastAsia="zh-CN"/>
                    </w:rPr>
                  </w:pPr>
                </w:p>
              </w:tc>
              <w:tc>
                <w:tcPr>
                  <w:tcW w:w="865" w:type="pct"/>
                  <w:vMerge w:val="continue"/>
                </w:tcPr>
                <w:p w14:paraId="73BB09C7">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vertAlign w:val="baseline"/>
                      <w:lang w:val="en-US" w:eastAsia="zh-CN"/>
                    </w:rPr>
                  </w:pPr>
                </w:p>
              </w:tc>
              <w:tc>
                <w:tcPr>
                  <w:tcW w:w="849" w:type="pct"/>
                  <w:vMerge w:val="continue"/>
                </w:tcPr>
                <w:p w14:paraId="5860B3F6">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vertAlign w:val="baseline"/>
                      <w:lang w:val="en-US" w:eastAsia="zh-CN"/>
                    </w:rPr>
                  </w:pPr>
                </w:p>
              </w:tc>
            </w:tr>
            <w:tr w14:paraId="116D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shd w:val="clear" w:color="auto" w:fill="auto"/>
                  <w:vAlign w:val="center"/>
                </w:tcPr>
                <w:p w14:paraId="26C79AD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01耕地</w:t>
                  </w:r>
                </w:p>
              </w:tc>
              <w:tc>
                <w:tcPr>
                  <w:tcW w:w="1155" w:type="pct"/>
                  <w:shd w:val="clear" w:color="auto" w:fill="auto"/>
                  <w:vAlign w:val="center"/>
                </w:tcPr>
                <w:p w14:paraId="7B72B98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0102水浇地</w:t>
                  </w:r>
                </w:p>
              </w:tc>
              <w:tc>
                <w:tcPr>
                  <w:tcW w:w="874" w:type="pct"/>
                  <w:shd w:val="clear" w:color="auto" w:fill="auto"/>
                  <w:vAlign w:val="center"/>
                </w:tcPr>
                <w:p w14:paraId="1FBC084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785.58</w:t>
                  </w:r>
                </w:p>
              </w:tc>
              <w:tc>
                <w:tcPr>
                  <w:tcW w:w="865" w:type="pct"/>
                  <w:shd w:val="clear" w:color="auto" w:fill="auto"/>
                  <w:vAlign w:val="center"/>
                </w:tcPr>
                <w:p w14:paraId="1A80DEB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64.14</w:t>
                  </w:r>
                </w:p>
              </w:tc>
              <w:tc>
                <w:tcPr>
                  <w:tcW w:w="849" w:type="pct"/>
                  <w:shd w:val="clear" w:color="auto" w:fill="auto"/>
                  <w:vAlign w:val="center"/>
                </w:tcPr>
                <w:p w14:paraId="451A24E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157</w:t>
                  </w:r>
                </w:p>
              </w:tc>
            </w:tr>
            <w:tr w14:paraId="6D88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vMerge w:val="restart"/>
                  <w:shd w:val="clear" w:color="auto" w:fill="auto"/>
                  <w:vAlign w:val="center"/>
                </w:tcPr>
                <w:p w14:paraId="1B2BFE1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color w:val="auto"/>
                      <w:spacing w:val="-5"/>
                      <w:sz w:val="21"/>
                      <w:szCs w:val="21"/>
                      <w:lang w:val="en-US" w:eastAsia="zh-CN" w:bidi="he-IL"/>
                    </w:rPr>
                    <w:t>03林地</w:t>
                  </w:r>
                </w:p>
              </w:tc>
              <w:tc>
                <w:tcPr>
                  <w:tcW w:w="1155" w:type="pct"/>
                  <w:shd w:val="clear" w:color="auto" w:fill="auto"/>
                  <w:vAlign w:val="center"/>
                </w:tcPr>
                <w:p w14:paraId="7783077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0301乔木林地</w:t>
                  </w:r>
                </w:p>
              </w:tc>
              <w:tc>
                <w:tcPr>
                  <w:tcW w:w="874" w:type="pct"/>
                  <w:shd w:val="clear" w:color="auto" w:fill="auto"/>
                  <w:vAlign w:val="center"/>
                </w:tcPr>
                <w:p w14:paraId="37A9410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174.39</w:t>
                  </w:r>
                </w:p>
              </w:tc>
              <w:tc>
                <w:tcPr>
                  <w:tcW w:w="865" w:type="pct"/>
                  <w:shd w:val="clear" w:color="auto" w:fill="auto"/>
                  <w:vAlign w:val="center"/>
                </w:tcPr>
                <w:p w14:paraId="620FC79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14.24</w:t>
                  </w:r>
                </w:p>
              </w:tc>
              <w:tc>
                <w:tcPr>
                  <w:tcW w:w="849" w:type="pct"/>
                  <w:shd w:val="clear" w:color="auto" w:fill="auto"/>
                  <w:vAlign w:val="center"/>
                </w:tcPr>
                <w:p w14:paraId="5D91688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127</w:t>
                  </w:r>
                </w:p>
              </w:tc>
            </w:tr>
            <w:tr w14:paraId="469D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vMerge w:val="continue"/>
                </w:tcPr>
                <w:p w14:paraId="46640864">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vertAlign w:val="baseline"/>
                      <w:lang w:val="en-US" w:eastAsia="zh-CN"/>
                    </w:rPr>
                  </w:pPr>
                </w:p>
              </w:tc>
              <w:tc>
                <w:tcPr>
                  <w:tcW w:w="1155" w:type="pct"/>
                  <w:shd w:val="clear" w:color="auto" w:fill="auto"/>
                  <w:vAlign w:val="center"/>
                </w:tcPr>
                <w:p w14:paraId="7E61E20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0302竹林地</w:t>
                  </w:r>
                </w:p>
              </w:tc>
              <w:tc>
                <w:tcPr>
                  <w:tcW w:w="874" w:type="pct"/>
                  <w:shd w:val="clear" w:color="auto" w:fill="auto"/>
                  <w:vAlign w:val="center"/>
                </w:tcPr>
                <w:p w14:paraId="04A3E98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2.12</w:t>
                  </w:r>
                </w:p>
              </w:tc>
              <w:tc>
                <w:tcPr>
                  <w:tcW w:w="865" w:type="pct"/>
                  <w:shd w:val="clear" w:color="auto" w:fill="auto"/>
                  <w:vAlign w:val="center"/>
                </w:tcPr>
                <w:p w14:paraId="403294F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0.17</w:t>
                  </w:r>
                </w:p>
              </w:tc>
              <w:tc>
                <w:tcPr>
                  <w:tcW w:w="849" w:type="pct"/>
                  <w:shd w:val="clear" w:color="auto" w:fill="auto"/>
                  <w:vAlign w:val="center"/>
                </w:tcPr>
                <w:p w14:paraId="3C9D027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w:t>
                  </w:r>
                </w:p>
              </w:tc>
            </w:tr>
            <w:tr w14:paraId="0DE9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vMerge w:val="continue"/>
                </w:tcPr>
                <w:p w14:paraId="1D95FAFF">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vertAlign w:val="baseline"/>
                      <w:lang w:val="en-US" w:eastAsia="zh-CN"/>
                    </w:rPr>
                  </w:pPr>
                </w:p>
              </w:tc>
              <w:tc>
                <w:tcPr>
                  <w:tcW w:w="1155" w:type="pct"/>
                  <w:shd w:val="clear" w:color="auto" w:fill="auto"/>
                  <w:vAlign w:val="center"/>
                </w:tcPr>
                <w:p w14:paraId="681144C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0305灌木林地</w:t>
                  </w:r>
                </w:p>
              </w:tc>
              <w:tc>
                <w:tcPr>
                  <w:tcW w:w="874" w:type="pct"/>
                  <w:shd w:val="clear" w:color="auto" w:fill="auto"/>
                  <w:vAlign w:val="center"/>
                </w:tcPr>
                <w:p w14:paraId="272973C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11.35</w:t>
                  </w:r>
                </w:p>
              </w:tc>
              <w:tc>
                <w:tcPr>
                  <w:tcW w:w="865" w:type="pct"/>
                  <w:shd w:val="clear" w:color="auto" w:fill="auto"/>
                  <w:vAlign w:val="center"/>
                </w:tcPr>
                <w:p w14:paraId="1D8E21A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0.93</w:t>
                  </w:r>
                </w:p>
              </w:tc>
              <w:tc>
                <w:tcPr>
                  <w:tcW w:w="849" w:type="pct"/>
                  <w:shd w:val="clear" w:color="auto" w:fill="auto"/>
                  <w:vAlign w:val="center"/>
                </w:tcPr>
                <w:p w14:paraId="50E295A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7</w:t>
                  </w:r>
                </w:p>
              </w:tc>
            </w:tr>
            <w:tr w14:paraId="1964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shd w:val="clear" w:color="auto" w:fill="auto"/>
                  <w:vAlign w:val="center"/>
                </w:tcPr>
                <w:p w14:paraId="05CBF11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05商服用地</w:t>
                  </w:r>
                </w:p>
              </w:tc>
              <w:tc>
                <w:tcPr>
                  <w:tcW w:w="1155" w:type="pct"/>
                  <w:shd w:val="clear" w:color="auto" w:fill="auto"/>
                  <w:vAlign w:val="center"/>
                </w:tcPr>
                <w:p w14:paraId="2C5E5D6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0507其他商服用地</w:t>
                  </w:r>
                </w:p>
              </w:tc>
              <w:tc>
                <w:tcPr>
                  <w:tcW w:w="874" w:type="pct"/>
                  <w:shd w:val="clear" w:color="auto" w:fill="auto"/>
                  <w:vAlign w:val="center"/>
                </w:tcPr>
                <w:p w14:paraId="2BE5DE4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1.06</w:t>
                  </w:r>
                </w:p>
              </w:tc>
              <w:tc>
                <w:tcPr>
                  <w:tcW w:w="865" w:type="pct"/>
                  <w:shd w:val="clear" w:color="auto" w:fill="auto"/>
                  <w:vAlign w:val="center"/>
                </w:tcPr>
                <w:p w14:paraId="4DB8BA0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0.09</w:t>
                  </w:r>
                </w:p>
              </w:tc>
              <w:tc>
                <w:tcPr>
                  <w:tcW w:w="849" w:type="pct"/>
                  <w:shd w:val="clear" w:color="auto" w:fill="auto"/>
                  <w:vAlign w:val="center"/>
                </w:tcPr>
                <w:p w14:paraId="6FE34D6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w:t>
                  </w:r>
                </w:p>
              </w:tc>
            </w:tr>
            <w:tr w14:paraId="3914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shd w:val="clear" w:color="auto" w:fill="auto"/>
                  <w:vAlign w:val="center"/>
                </w:tcPr>
                <w:p w14:paraId="3E5D17B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07住宅用地</w:t>
                  </w:r>
                </w:p>
              </w:tc>
              <w:tc>
                <w:tcPr>
                  <w:tcW w:w="1155" w:type="pct"/>
                  <w:shd w:val="clear" w:color="auto" w:fill="auto"/>
                  <w:vAlign w:val="center"/>
                </w:tcPr>
                <w:p w14:paraId="2ABE032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0702农村宅基地</w:t>
                  </w:r>
                </w:p>
              </w:tc>
              <w:tc>
                <w:tcPr>
                  <w:tcW w:w="874" w:type="pct"/>
                  <w:shd w:val="clear" w:color="auto" w:fill="auto"/>
                  <w:vAlign w:val="center"/>
                </w:tcPr>
                <w:p w14:paraId="5C16259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87.44</w:t>
                  </w:r>
                </w:p>
              </w:tc>
              <w:tc>
                <w:tcPr>
                  <w:tcW w:w="865" w:type="pct"/>
                  <w:shd w:val="clear" w:color="auto" w:fill="auto"/>
                  <w:vAlign w:val="center"/>
                </w:tcPr>
                <w:p w14:paraId="342371F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7.14</w:t>
                  </w:r>
                </w:p>
              </w:tc>
              <w:tc>
                <w:tcPr>
                  <w:tcW w:w="849" w:type="pct"/>
                  <w:shd w:val="clear" w:color="auto" w:fill="auto"/>
                  <w:vAlign w:val="center"/>
                </w:tcPr>
                <w:p w14:paraId="0EE0EA5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47</w:t>
                  </w:r>
                </w:p>
              </w:tc>
            </w:tr>
            <w:tr w14:paraId="07C1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vMerge w:val="restart"/>
                  <w:shd w:val="clear" w:color="auto" w:fill="auto"/>
                  <w:vAlign w:val="center"/>
                </w:tcPr>
                <w:p w14:paraId="3D6686D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color w:val="auto"/>
                      <w:spacing w:val="-5"/>
                      <w:sz w:val="21"/>
                      <w:szCs w:val="21"/>
                      <w:lang w:val="en-US" w:eastAsia="zh-CN" w:bidi="he-IL"/>
                    </w:rPr>
                    <w:t>10交通运输用地</w:t>
                  </w:r>
                </w:p>
              </w:tc>
              <w:tc>
                <w:tcPr>
                  <w:tcW w:w="1155" w:type="pct"/>
                  <w:shd w:val="clear" w:color="auto" w:fill="auto"/>
                  <w:vAlign w:val="center"/>
                </w:tcPr>
                <w:p w14:paraId="4BDB525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1003公路用地</w:t>
                  </w:r>
                </w:p>
              </w:tc>
              <w:tc>
                <w:tcPr>
                  <w:tcW w:w="874" w:type="pct"/>
                  <w:shd w:val="clear" w:color="auto" w:fill="auto"/>
                  <w:vAlign w:val="center"/>
                </w:tcPr>
                <w:p w14:paraId="4B18552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23.51</w:t>
                  </w:r>
                </w:p>
              </w:tc>
              <w:tc>
                <w:tcPr>
                  <w:tcW w:w="865" w:type="pct"/>
                  <w:shd w:val="clear" w:color="auto" w:fill="auto"/>
                  <w:vAlign w:val="center"/>
                </w:tcPr>
                <w:p w14:paraId="02844AD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1.92</w:t>
                  </w:r>
                </w:p>
              </w:tc>
              <w:tc>
                <w:tcPr>
                  <w:tcW w:w="849" w:type="pct"/>
                  <w:shd w:val="clear" w:color="auto" w:fill="auto"/>
                  <w:vAlign w:val="center"/>
                </w:tcPr>
                <w:p w14:paraId="0536C3E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6</w:t>
                  </w:r>
                </w:p>
              </w:tc>
            </w:tr>
            <w:tr w14:paraId="65C4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vMerge w:val="continue"/>
                </w:tcPr>
                <w:p w14:paraId="332A1A8D">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vertAlign w:val="baseline"/>
                      <w:lang w:val="en-US" w:eastAsia="zh-CN"/>
                    </w:rPr>
                  </w:pPr>
                </w:p>
              </w:tc>
              <w:tc>
                <w:tcPr>
                  <w:tcW w:w="1155" w:type="pct"/>
                  <w:shd w:val="clear" w:color="auto" w:fill="auto"/>
                  <w:vAlign w:val="center"/>
                </w:tcPr>
                <w:p w14:paraId="5733FE9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1004城镇村道路用地</w:t>
                  </w:r>
                </w:p>
              </w:tc>
              <w:tc>
                <w:tcPr>
                  <w:tcW w:w="874" w:type="pct"/>
                  <w:shd w:val="clear" w:color="auto" w:fill="auto"/>
                  <w:vAlign w:val="center"/>
                </w:tcPr>
                <w:p w14:paraId="530393E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6.59</w:t>
                  </w:r>
                </w:p>
              </w:tc>
              <w:tc>
                <w:tcPr>
                  <w:tcW w:w="865" w:type="pct"/>
                  <w:shd w:val="clear" w:color="auto" w:fill="auto"/>
                  <w:vAlign w:val="center"/>
                </w:tcPr>
                <w:p w14:paraId="76162DC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0.54</w:t>
                  </w:r>
                </w:p>
              </w:tc>
              <w:tc>
                <w:tcPr>
                  <w:tcW w:w="849" w:type="pct"/>
                  <w:shd w:val="clear" w:color="auto" w:fill="auto"/>
                  <w:vAlign w:val="center"/>
                </w:tcPr>
                <w:p w14:paraId="39C8227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16</w:t>
                  </w:r>
                </w:p>
              </w:tc>
            </w:tr>
            <w:tr w14:paraId="5839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vMerge w:val="restart"/>
                  <w:shd w:val="clear" w:color="auto" w:fill="auto"/>
                  <w:vAlign w:val="center"/>
                </w:tcPr>
                <w:p w14:paraId="40E552D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color w:val="auto"/>
                      <w:spacing w:val="-5"/>
                      <w:sz w:val="21"/>
                      <w:szCs w:val="21"/>
                      <w:lang w:val="en-US" w:eastAsia="zh-CN" w:bidi="he-IL"/>
                    </w:rPr>
                    <w:t>11水域及水利设施用地</w:t>
                  </w:r>
                </w:p>
              </w:tc>
              <w:tc>
                <w:tcPr>
                  <w:tcW w:w="1155" w:type="pct"/>
                  <w:shd w:val="clear" w:color="auto" w:fill="auto"/>
                  <w:vAlign w:val="center"/>
                </w:tcPr>
                <w:p w14:paraId="06D4814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1101河流水面</w:t>
                  </w:r>
                </w:p>
              </w:tc>
              <w:tc>
                <w:tcPr>
                  <w:tcW w:w="874" w:type="pct"/>
                  <w:shd w:val="clear" w:color="auto" w:fill="auto"/>
                  <w:vAlign w:val="center"/>
                </w:tcPr>
                <w:p w14:paraId="5369F58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14.33</w:t>
                  </w:r>
                </w:p>
              </w:tc>
              <w:tc>
                <w:tcPr>
                  <w:tcW w:w="865" w:type="pct"/>
                  <w:shd w:val="clear" w:color="auto" w:fill="auto"/>
                  <w:vAlign w:val="center"/>
                </w:tcPr>
                <w:p w14:paraId="6DA26D1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1.17</w:t>
                  </w:r>
                </w:p>
              </w:tc>
              <w:tc>
                <w:tcPr>
                  <w:tcW w:w="849" w:type="pct"/>
                  <w:shd w:val="clear" w:color="auto" w:fill="auto"/>
                  <w:vAlign w:val="center"/>
                </w:tcPr>
                <w:p w14:paraId="352AD16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9</w:t>
                  </w:r>
                </w:p>
              </w:tc>
            </w:tr>
            <w:tr w14:paraId="0A59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vMerge w:val="continue"/>
                </w:tcPr>
                <w:p w14:paraId="267AC695">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vertAlign w:val="baseline"/>
                      <w:lang w:val="en-US" w:eastAsia="zh-CN"/>
                    </w:rPr>
                  </w:pPr>
                </w:p>
              </w:tc>
              <w:tc>
                <w:tcPr>
                  <w:tcW w:w="1155" w:type="pct"/>
                  <w:shd w:val="clear" w:color="auto" w:fill="auto"/>
                  <w:vAlign w:val="center"/>
                </w:tcPr>
                <w:p w14:paraId="10B6029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1103水库水面</w:t>
                  </w:r>
                </w:p>
              </w:tc>
              <w:tc>
                <w:tcPr>
                  <w:tcW w:w="874" w:type="pct"/>
                  <w:shd w:val="clear" w:color="auto" w:fill="auto"/>
                  <w:vAlign w:val="center"/>
                </w:tcPr>
                <w:p w14:paraId="4C39462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6.66</w:t>
                  </w:r>
                </w:p>
              </w:tc>
              <w:tc>
                <w:tcPr>
                  <w:tcW w:w="865" w:type="pct"/>
                  <w:shd w:val="clear" w:color="auto" w:fill="auto"/>
                  <w:vAlign w:val="center"/>
                </w:tcPr>
                <w:p w14:paraId="6034FCB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0.54</w:t>
                  </w:r>
                </w:p>
              </w:tc>
              <w:tc>
                <w:tcPr>
                  <w:tcW w:w="849" w:type="pct"/>
                  <w:shd w:val="clear" w:color="auto" w:fill="auto"/>
                  <w:vAlign w:val="center"/>
                </w:tcPr>
                <w:p w14:paraId="53B64CD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2</w:t>
                  </w:r>
                </w:p>
              </w:tc>
            </w:tr>
            <w:tr w14:paraId="5532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vMerge w:val="continue"/>
                </w:tcPr>
                <w:p w14:paraId="45CA4253">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vertAlign w:val="baseline"/>
                      <w:lang w:val="en-US" w:eastAsia="zh-CN"/>
                    </w:rPr>
                  </w:pPr>
                </w:p>
              </w:tc>
              <w:tc>
                <w:tcPr>
                  <w:tcW w:w="1155" w:type="pct"/>
                  <w:shd w:val="clear" w:color="auto" w:fill="auto"/>
                  <w:vAlign w:val="center"/>
                </w:tcPr>
                <w:p w14:paraId="2627ED5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1104坑塘水面</w:t>
                  </w:r>
                </w:p>
              </w:tc>
              <w:tc>
                <w:tcPr>
                  <w:tcW w:w="874" w:type="pct"/>
                  <w:shd w:val="clear" w:color="auto" w:fill="auto"/>
                  <w:vAlign w:val="center"/>
                </w:tcPr>
                <w:p w14:paraId="7D1DE3C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2.44</w:t>
                  </w:r>
                </w:p>
              </w:tc>
              <w:tc>
                <w:tcPr>
                  <w:tcW w:w="865" w:type="pct"/>
                  <w:shd w:val="clear" w:color="auto" w:fill="auto"/>
                  <w:vAlign w:val="center"/>
                </w:tcPr>
                <w:p w14:paraId="74E0EEA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0.20</w:t>
                  </w:r>
                </w:p>
              </w:tc>
              <w:tc>
                <w:tcPr>
                  <w:tcW w:w="849" w:type="pct"/>
                  <w:shd w:val="clear" w:color="auto" w:fill="auto"/>
                  <w:vAlign w:val="center"/>
                </w:tcPr>
                <w:p w14:paraId="35BE017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4</w:t>
                  </w:r>
                </w:p>
              </w:tc>
            </w:tr>
            <w:tr w14:paraId="3E18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vMerge w:val="continue"/>
                </w:tcPr>
                <w:p w14:paraId="7247AB08">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vertAlign w:val="baseline"/>
                      <w:lang w:val="en-US" w:eastAsia="zh-CN"/>
                    </w:rPr>
                  </w:pPr>
                </w:p>
              </w:tc>
              <w:tc>
                <w:tcPr>
                  <w:tcW w:w="1155" w:type="pct"/>
                  <w:shd w:val="clear" w:color="auto" w:fill="auto"/>
                  <w:vAlign w:val="center"/>
                </w:tcPr>
                <w:p w14:paraId="44D8DF9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1107沟渠</w:t>
                  </w:r>
                </w:p>
              </w:tc>
              <w:tc>
                <w:tcPr>
                  <w:tcW w:w="874" w:type="pct"/>
                  <w:shd w:val="clear" w:color="auto" w:fill="auto"/>
                  <w:vAlign w:val="center"/>
                </w:tcPr>
                <w:p w14:paraId="303ACC4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0.73</w:t>
                  </w:r>
                </w:p>
              </w:tc>
              <w:tc>
                <w:tcPr>
                  <w:tcW w:w="865" w:type="pct"/>
                  <w:shd w:val="clear" w:color="auto" w:fill="auto"/>
                  <w:vAlign w:val="center"/>
                </w:tcPr>
                <w:p w14:paraId="1A57A8C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0.06</w:t>
                  </w:r>
                </w:p>
              </w:tc>
              <w:tc>
                <w:tcPr>
                  <w:tcW w:w="849" w:type="pct"/>
                  <w:shd w:val="clear" w:color="auto" w:fill="auto"/>
                  <w:vAlign w:val="center"/>
                </w:tcPr>
                <w:p w14:paraId="14F81E0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3</w:t>
                  </w:r>
                </w:p>
              </w:tc>
            </w:tr>
            <w:tr w14:paraId="592C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shd w:val="clear" w:color="auto" w:fill="auto"/>
                  <w:vAlign w:val="center"/>
                </w:tcPr>
                <w:p w14:paraId="59989CC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02园地</w:t>
                  </w:r>
                </w:p>
              </w:tc>
              <w:tc>
                <w:tcPr>
                  <w:tcW w:w="1155" w:type="pct"/>
                  <w:shd w:val="clear" w:color="auto" w:fill="auto"/>
                  <w:vAlign w:val="center"/>
                </w:tcPr>
                <w:p w14:paraId="01B8271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0201果园</w:t>
                  </w:r>
                </w:p>
              </w:tc>
              <w:tc>
                <w:tcPr>
                  <w:tcW w:w="874" w:type="pct"/>
                  <w:shd w:val="clear" w:color="auto" w:fill="auto"/>
                  <w:vAlign w:val="center"/>
                </w:tcPr>
                <w:p w14:paraId="058BEA9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17.86</w:t>
                  </w:r>
                </w:p>
              </w:tc>
              <w:tc>
                <w:tcPr>
                  <w:tcW w:w="865" w:type="pct"/>
                  <w:shd w:val="clear" w:color="auto" w:fill="auto"/>
                  <w:vAlign w:val="center"/>
                </w:tcPr>
                <w:p w14:paraId="231D758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1.46</w:t>
                  </w:r>
                </w:p>
              </w:tc>
              <w:tc>
                <w:tcPr>
                  <w:tcW w:w="849" w:type="pct"/>
                  <w:shd w:val="clear" w:color="auto" w:fill="auto"/>
                  <w:vAlign w:val="center"/>
                </w:tcPr>
                <w:p w14:paraId="0AC4130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9</w:t>
                  </w:r>
                </w:p>
              </w:tc>
            </w:tr>
            <w:tr w14:paraId="2774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vMerge w:val="restart"/>
                  <w:shd w:val="clear" w:color="auto" w:fill="auto"/>
                  <w:vAlign w:val="center"/>
                </w:tcPr>
                <w:p w14:paraId="7A50B0B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color w:val="auto"/>
                      <w:spacing w:val="-5"/>
                      <w:sz w:val="21"/>
                      <w:szCs w:val="21"/>
                      <w:lang w:val="en-US" w:eastAsia="zh-CN" w:bidi="he-IL"/>
                    </w:rPr>
                    <w:t>06工矿仓储用地</w:t>
                  </w:r>
                </w:p>
              </w:tc>
              <w:tc>
                <w:tcPr>
                  <w:tcW w:w="1155" w:type="pct"/>
                  <w:shd w:val="clear" w:color="auto" w:fill="auto"/>
                  <w:vAlign w:val="center"/>
                </w:tcPr>
                <w:p w14:paraId="06F1616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0601工业用地</w:t>
                  </w:r>
                </w:p>
              </w:tc>
              <w:tc>
                <w:tcPr>
                  <w:tcW w:w="874" w:type="pct"/>
                  <w:shd w:val="clear" w:color="auto" w:fill="auto"/>
                  <w:vAlign w:val="center"/>
                </w:tcPr>
                <w:p w14:paraId="03C9DF9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7.72</w:t>
                  </w:r>
                </w:p>
              </w:tc>
              <w:tc>
                <w:tcPr>
                  <w:tcW w:w="865" w:type="pct"/>
                  <w:shd w:val="clear" w:color="auto" w:fill="auto"/>
                  <w:vAlign w:val="center"/>
                </w:tcPr>
                <w:p w14:paraId="08F7185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0.63</w:t>
                  </w:r>
                </w:p>
              </w:tc>
              <w:tc>
                <w:tcPr>
                  <w:tcW w:w="849" w:type="pct"/>
                  <w:shd w:val="clear" w:color="auto" w:fill="auto"/>
                  <w:vAlign w:val="center"/>
                </w:tcPr>
                <w:p w14:paraId="188D3AD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3</w:t>
                  </w:r>
                </w:p>
              </w:tc>
            </w:tr>
            <w:tr w14:paraId="1ACF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vMerge w:val="continue"/>
                </w:tcPr>
                <w:p w14:paraId="12D0DEB3">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vertAlign w:val="baseline"/>
                      <w:lang w:val="en-US" w:eastAsia="zh-CN"/>
                    </w:rPr>
                  </w:pPr>
                </w:p>
              </w:tc>
              <w:tc>
                <w:tcPr>
                  <w:tcW w:w="1155" w:type="pct"/>
                  <w:shd w:val="clear" w:color="auto" w:fill="auto"/>
                  <w:vAlign w:val="center"/>
                </w:tcPr>
                <w:p w14:paraId="5EF03CD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0602采矿用地</w:t>
                  </w:r>
                </w:p>
              </w:tc>
              <w:tc>
                <w:tcPr>
                  <w:tcW w:w="874" w:type="pct"/>
                  <w:shd w:val="clear" w:color="auto" w:fill="auto"/>
                  <w:vAlign w:val="center"/>
                </w:tcPr>
                <w:p w14:paraId="61571A6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76.05</w:t>
                  </w:r>
                </w:p>
              </w:tc>
              <w:tc>
                <w:tcPr>
                  <w:tcW w:w="865" w:type="pct"/>
                  <w:shd w:val="clear" w:color="auto" w:fill="auto"/>
                  <w:vAlign w:val="center"/>
                </w:tcPr>
                <w:p w14:paraId="28C91D2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6.21</w:t>
                  </w:r>
                </w:p>
              </w:tc>
              <w:tc>
                <w:tcPr>
                  <w:tcW w:w="849" w:type="pct"/>
                  <w:shd w:val="clear" w:color="auto" w:fill="auto"/>
                  <w:vAlign w:val="center"/>
                </w:tcPr>
                <w:p w14:paraId="0F81CA6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9</w:t>
                  </w:r>
                </w:p>
              </w:tc>
            </w:tr>
            <w:tr w14:paraId="423F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shd w:val="clear" w:color="auto" w:fill="auto"/>
                  <w:vAlign w:val="center"/>
                </w:tcPr>
                <w:p w14:paraId="3D7B2EE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08公共管理与公共服务用地</w:t>
                  </w:r>
                </w:p>
              </w:tc>
              <w:tc>
                <w:tcPr>
                  <w:tcW w:w="1155" w:type="pct"/>
                  <w:shd w:val="clear" w:color="auto" w:fill="auto"/>
                  <w:vAlign w:val="center"/>
                </w:tcPr>
                <w:p w14:paraId="2251782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0809公用设施用地</w:t>
                  </w:r>
                </w:p>
              </w:tc>
              <w:tc>
                <w:tcPr>
                  <w:tcW w:w="874" w:type="pct"/>
                  <w:shd w:val="clear" w:color="auto" w:fill="auto"/>
                  <w:vAlign w:val="center"/>
                </w:tcPr>
                <w:p w14:paraId="4D4CE47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0.40</w:t>
                  </w:r>
                </w:p>
              </w:tc>
              <w:tc>
                <w:tcPr>
                  <w:tcW w:w="865" w:type="pct"/>
                  <w:shd w:val="clear" w:color="auto" w:fill="auto"/>
                  <w:vAlign w:val="center"/>
                </w:tcPr>
                <w:p w14:paraId="60B8508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0.03</w:t>
                  </w:r>
                </w:p>
              </w:tc>
              <w:tc>
                <w:tcPr>
                  <w:tcW w:w="849" w:type="pct"/>
                  <w:shd w:val="clear" w:color="auto" w:fill="auto"/>
                  <w:vAlign w:val="center"/>
                </w:tcPr>
                <w:p w14:paraId="033D36F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w:t>
                  </w:r>
                </w:p>
              </w:tc>
            </w:tr>
            <w:tr w14:paraId="1A2A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shd w:val="clear" w:color="auto" w:fill="auto"/>
                  <w:vAlign w:val="center"/>
                </w:tcPr>
                <w:p w14:paraId="5C5980D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12其他土地</w:t>
                  </w:r>
                </w:p>
              </w:tc>
              <w:tc>
                <w:tcPr>
                  <w:tcW w:w="1155" w:type="pct"/>
                  <w:shd w:val="clear" w:color="auto" w:fill="auto"/>
                  <w:vAlign w:val="center"/>
                </w:tcPr>
                <w:p w14:paraId="5A8EC55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1202设施农用地</w:t>
                  </w:r>
                </w:p>
              </w:tc>
              <w:tc>
                <w:tcPr>
                  <w:tcW w:w="874" w:type="pct"/>
                  <w:shd w:val="clear" w:color="auto" w:fill="auto"/>
                  <w:vAlign w:val="center"/>
                </w:tcPr>
                <w:p w14:paraId="7816ACF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6.50</w:t>
                  </w:r>
                </w:p>
              </w:tc>
              <w:tc>
                <w:tcPr>
                  <w:tcW w:w="865" w:type="pct"/>
                  <w:shd w:val="clear" w:color="auto" w:fill="auto"/>
                  <w:vAlign w:val="center"/>
                </w:tcPr>
                <w:p w14:paraId="5FB038A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0.53</w:t>
                  </w:r>
                </w:p>
              </w:tc>
              <w:tc>
                <w:tcPr>
                  <w:tcW w:w="849" w:type="pct"/>
                  <w:shd w:val="clear" w:color="auto" w:fill="auto"/>
                  <w:vAlign w:val="center"/>
                </w:tcPr>
                <w:p w14:paraId="7933FD7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3</w:t>
                  </w:r>
                </w:p>
              </w:tc>
            </w:tr>
            <w:tr w14:paraId="45D2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5" w:type="pct"/>
                  <w:shd w:val="clear" w:color="auto" w:fill="auto"/>
                  <w:vAlign w:val="center"/>
                </w:tcPr>
                <w:p w14:paraId="22F2684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合计</w:t>
                  </w:r>
                </w:p>
              </w:tc>
              <w:tc>
                <w:tcPr>
                  <w:tcW w:w="1155" w:type="pct"/>
                  <w:shd w:val="clear" w:color="auto" w:fill="auto"/>
                  <w:vAlign w:val="center"/>
                </w:tcPr>
                <w:p w14:paraId="02A1238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sz w:val="21"/>
                      <w:szCs w:val="21"/>
                      <w:lang w:val="en-US" w:eastAsia="zh-CN" w:bidi="he-IL"/>
                    </w:rPr>
                  </w:pPr>
                </w:p>
              </w:tc>
              <w:tc>
                <w:tcPr>
                  <w:tcW w:w="874" w:type="pct"/>
                  <w:shd w:val="clear" w:color="auto" w:fill="auto"/>
                  <w:vAlign w:val="center"/>
                </w:tcPr>
                <w:p w14:paraId="360D581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1224.73</w:t>
                  </w:r>
                </w:p>
              </w:tc>
              <w:tc>
                <w:tcPr>
                  <w:tcW w:w="865" w:type="pct"/>
                  <w:shd w:val="clear" w:color="auto" w:fill="auto"/>
                  <w:vAlign w:val="center"/>
                </w:tcPr>
                <w:p w14:paraId="3B39C02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100.00</w:t>
                  </w:r>
                </w:p>
              </w:tc>
              <w:tc>
                <w:tcPr>
                  <w:tcW w:w="849" w:type="pct"/>
                  <w:shd w:val="clear" w:color="auto" w:fill="auto"/>
                  <w:vAlign w:val="center"/>
                </w:tcPr>
                <w:p w14:paraId="650C198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405</w:t>
                  </w:r>
                </w:p>
              </w:tc>
            </w:tr>
          </w:tbl>
          <w:p w14:paraId="64AA515E">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据上表可知，评价范围内土地利用类型以耕地</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水浇地）为主，面积785.58 hm²，占64.14%；其次为林地</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乔木林地、灌木林地、竹林地），面积合计187.86 hm²，占15.34%；工矿仓储用地</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采矿用地、工业用地）面积83.77 hm²，占6.84%；住宅用地</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农村宅基地）面积87.44 hm²，占7.14%；其余交通运输用地、水域及水利设施用地、园地等占比较小。</w:t>
            </w:r>
          </w:p>
          <w:p w14:paraId="1C979E5F">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3.3.2</w:t>
            </w:r>
            <w:r>
              <w:rPr>
                <w:rFonts w:hint="default" w:ascii="Times New Roman" w:hAnsi="Times New Roman" w:eastAsia="宋体" w:cs="Times New Roman"/>
                <w:b/>
                <w:bCs/>
                <w:color w:val="auto"/>
                <w:sz w:val="24"/>
                <w:highlight w:val="none"/>
                <w:lang w:val="en-US" w:eastAsia="zh-CN"/>
              </w:rPr>
              <w:t>植被类型现状</w:t>
            </w:r>
          </w:p>
          <w:p w14:paraId="7062530D">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1）植被分类原则与依据</w:t>
            </w:r>
          </w:p>
          <w:p w14:paraId="130D73B3">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依据《中国植被》、《云南植被》和《云南森林》等重要植被专著中采用的分类系统，遵循群落学—生态学的分类原则，运用3个主级分类单位，即植被型</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高级分类单位）、植被亚型</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高级分类辅助单位）和群系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中级分类单位）。分类依据如下：植被型以群落生态外貌特征为依据，采用优势种或标志种为植被类型分类的基本原则；群系是在群落结构和外貌特征相同的前提下，以主要层优势种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建群种）或共建种为依据。</w:t>
            </w:r>
          </w:p>
          <w:p w14:paraId="47D6B6E5">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2）植被分类系统</w:t>
            </w:r>
          </w:p>
          <w:p w14:paraId="0A4F7BD1">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依据《中国植被》和《云南植被》专著中采用的分类系统，将评价区的自然植被类型分为2个植被型、2个植被亚型和多个群系，植被分类系统见下表。</w:t>
            </w:r>
          </w:p>
          <w:p w14:paraId="275C6150">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lang w:val="en-US" w:eastAsia="zh-CN"/>
              </w:rPr>
            </w:pPr>
          </w:p>
          <w:p w14:paraId="4BBF6EB8">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w:t>
            </w:r>
            <w:r>
              <w:rPr>
                <w:rFonts w:hint="eastAsia" w:ascii="Times New Roman" w:hAnsi="Times New Roman" w:eastAsia="宋体" w:cs="Times New Roman"/>
                <w:b/>
                <w:bCs/>
                <w:color w:val="auto"/>
                <w:sz w:val="24"/>
                <w:szCs w:val="24"/>
                <w:lang w:val="en-US" w:eastAsia="zh-CN"/>
              </w:rPr>
              <w:t xml:space="preserve">3-3   </w:t>
            </w:r>
            <w:r>
              <w:rPr>
                <w:rFonts w:hint="default" w:ascii="Times New Roman" w:hAnsi="Times New Roman" w:eastAsia="宋体" w:cs="Times New Roman"/>
                <w:b/>
                <w:bCs/>
                <w:color w:val="auto"/>
                <w:sz w:val="24"/>
                <w:szCs w:val="24"/>
                <w:lang w:val="en-US" w:eastAsia="zh-CN"/>
              </w:rPr>
              <w:t xml:space="preserve"> 评价区植被分类系统表</w:t>
            </w:r>
          </w:p>
          <w:tbl>
            <w:tblPr>
              <w:tblStyle w:val="27"/>
              <w:tblW w:w="82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1642"/>
              <w:gridCol w:w="1642"/>
              <w:gridCol w:w="1643"/>
              <w:gridCol w:w="1643"/>
            </w:tblGrid>
            <w:tr w14:paraId="34A8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1BEF6FD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类型</w:t>
                  </w:r>
                </w:p>
              </w:tc>
              <w:tc>
                <w:tcPr>
                  <w:tcW w:w="1644" w:type="dxa"/>
                  <w:shd w:val="clear" w:color="auto" w:fill="auto"/>
                  <w:vAlign w:val="center"/>
                </w:tcPr>
                <w:p w14:paraId="0CE452D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植被型</w:t>
                  </w:r>
                </w:p>
              </w:tc>
              <w:tc>
                <w:tcPr>
                  <w:tcW w:w="1644" w:type="dxa"/>
                  <w:shd w:val="clear" w:color="auto" w:fill="auto"/>
                  <w:vAlign w:val="center"/>
                </w:tcPr>
                <w:p w14:paraId="6F97499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植被亚型</w:t>
                  </w:r>
                </w:p>
              </w:tc>
              <w:tc>
                <w:tcPr>
                  <w:tcW w:w="1644" w:type="dxa"/>
                  <w:shd w:val="clear" w:color="auto" w:fill="auto"/>
                  <w:vAlign w:val="center"/>
                </w:tcPr>
                <w:p w14:paraId="26332EB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群系</w:t>
                  </w:r>
                </w:p>
              </w:tc>
              <w:tc>
                <w:tcPr>
                  <w:tcW w:w="1644" w:type="dxa"/>
                  <w:shd w:val="clear" w:color="auto" w:fill="auto"/>
                  <w:vAlign w:val="center"/>
                </w:tcPr>
                <w:p w14:paraId="48AE580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群丛/优势种</w:t>
                  </w:r>
                </w:p>
              </w:tc>
            </w:tr>
            <w:tr w14:paraId="2372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44F77BB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A.自然植被</w:t>
                  </w:r>
                </w:p>
              </w:tc>
              <w:tc>
                <w:tcPr>
                  <w:tcW w:w="1644" w:type="dxa"/>
                  <w:shd w:val="clear" w:color="auto" w:fill="auto"/>
                  <w:vAlign w:val="center"/>
                </w:tcPr>
                <w:p w14:paraId="41226E7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Ⅰ落叶阔叶林</w:t>
                  </w:r>
                </w:p>
              </w:tc>
              <w:tc>
                <w:tcPr>
                  <w:tcW w:w="1644" w:type="dxa"/>
                  <w:shd w:val="clear" w:color="auto" w:fill="auto"/>
                  <w:vAlign w:val="center"/>
                </w:tcPr>
                <w:p w14:paraId="21CF817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eastAsia" w:ascii="Times New Roman" w:hAnsi="Times New Roman" w:eastAsia="宋体" w:cs="Times New Roman"/>
                      <w:color w:val="auto"/>
                      <w:spacing w:val="-5"/>
                      <w:sz w:val="21"/>
                      <w:szCs w:val="21"/>
                      <w:lang w:val="en-US" w:eastAsia="zh-CN" w:bidi="he-IL"/>
                    </w:rPr>
                    <w:t>（</w:t>
                  </w:r>
                  <w:r>
                    <w:rPr>
                      <w:rFonts w:hint="default" w:ascii="Times New Roman" w:hAnsi="Times New Roman" w:eastAsia="宋体" w:cs="Times New Roman"/>
                      <w:color w:val="auto"/>
                      <w:spacing w:val="-5"/>
                      <w:sz w:val="21"/>
                      <w:szCs w:val="21"/>
                      <w:lang w:val="en-US" w:eastAsia="zh-CN" w:bidi="he-IL"/>
                    </w:rPr>
                    <w:t>Ⅰ）暖温性落叶阔叶林</w:t>
                  </w:r>
                </w:p>
              </w:tc>
              <w:tc>
                <w:tcPr>
                  <w:tcW w:w="1644" w:type="dxa"/>
                  <w:shd w:val="clear" w:color="auto" w:fill="auto"/>
                  <w:vAlign w:val="center"/>
                </w:tcPr>
                <w:p w14:paraId="49DBDBF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一、栎类林</w:t>
                  </w:r>
                </w:p>
              </w:tc>
              <w:tc>
                <w:tcPr>
                  <w:tcW w:w="1644" w:type="dxa"/>
                  <w:shd w:val="clear" w:color="auto" w:fill="auto"/>
                  <w:vAlign w:val="center"/>
                </w:tcPr>
                <w:p w14:paraId="5CBB6B3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1、麻栎、青冈栎</w:t>
                  </w:r>
                </w:p>
              </w:tc>
            </w:tr>
            <w:tr w14:paraId="322A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tcPr>
                <w:p w14:paraId="515DAA26">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vertAlign w:val="baseline"/>
                      <w:lang w:val="en-US" w:eastAsia="zh-CN"/>
                    </w:rPr>
                  </w:pPr>
                </w:p>
              </w:tc>
              <w:tc>
                <w:tcPr>
                  <w:tcW w:w="1644" w:type="dxa"/>
                  <w:shd w:val="clear" w:color="auto" w:fill="auto"/>
                  <w:vAlign w:val="center"/>
                </w:tcPr>
                <w:p w14:paraId="04A40D4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Ⅱ暖性针叶林</w:t>
                  </w:r>
                </w:p>
              </w:tc>
              <w:tc>
                <w:tcPr>
                  <w:tcW w:w="1644" w:type="dxa"/>
                  <w:shd w:val="clear" w:color="auto" w:fill="auto"/>
                  <w:vAlign w:val="center"/>
                </w:tcPr>
                <w:p w14:paraId="54C1D6C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eastAsia" w:ascii="Times New Roman" w:hAnsi="Times New Roman" w:eastAsia="宋体" w:cs="Times New Roman"/>
                      <w:color w:val="auto"/>
                      <w:spacing w:val="-5"/>
                      <w:sz w:val="21"/>
                      <w:szCs w:val="21"/>
                      <w:lang w:val="en-US" w:eastAsia="zh-CN" w:bidi="he-IL"/>
                    </w:rPr>
                    <w:t>（</w:t>
                  </w:r>
                  <w:r>
                    <w:rPr>
                      <w:rFonts w:hint="default" w:ascii="Times New Roman" w:hAnsi="Times New Roman" w:eastAsia="宋体" w:cs="Times New Roman"/>
                      <w:color w:val="auto"/>
                      <w:spacing w:val="-5"/>
                      <w:sz w:val="21"/>
                      <w:szCs w:val="21"/>
                      <w:lang w:val="en-US" w:eastAsia="zh-CN" w:bidi="he-IL"/>
                    </w:rPr>
                    <w:t>Ⅱ）暖温性针叶林</w:t>
                  </w:r>
                </w:p>
              </w:tc>
              <w:tc>
                <w:tcPr>
                  <w:tcW w:w="1644" w:type="dxa"/>
                  <w:shd w:val="clear" w:color="auto" w:fill="auto"/>
                  <w:vAlign w:val="center"/>
                </w:tcPr>
                <w:p w14:paraId="00399EC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二、云南松林</w:t>
                  </w:r>
                </w:p>
              </w:tc>
              <w:tc>
                <w:tcPr>
                  <w:tcW w:w="1644" w:type="dxa"/>
                  <w:shd w:val="clear" w:color="auto" w:fill="auto"/>
                  <w:vAlign w:val="center"/>
                </w:tcPr>
                <w:p w14:paraId="4390AE1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2、云南松</w:t>
                  </w:r>
                </w:p>
              </w:tc>
            </w:tr>
            <w:tr w14:paraId="3E88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1B63C3D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4A7AB1C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1025C87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17320DF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三、油杉林</w:t>
                  </w:r>
                </w:p>
              </w:tc>
              <w:tc>
                <w:tcPr>
                  <w:tcW w:w="1644" w:type="dxa"/>
                  <w:shd w:val="clear" w:color="auto" w:fill="auto"/>
                  <w:vAlign w:val="center"/>
                </w:tcPr>
                <w:p w14:paraId="45A33DA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3、油杉</w:t>
                  </w:r>
                </w:p>
              </w:tc>
            </w:tr>
            <w:tr w14:paraId="7F86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40F1E1A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3C49354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1C65D07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1BDFFF5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四、柏木林</w:t>
                  </w:r>
                </w:p>
              </w:tc>
              <w:tc>
                <w:tcPr>
                  <w:tcW w:w="1644" w:type="dxa"/>
                  <w:shd w:val="clear" w:color="auto" w:fill="auto"/>
                  <w:vAlign w:val="center"/>
                </w:tcPr>
                <w:p w14:paraId="336A301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4、柏木</w:t>
                  </w:r>
                </w:p>
              </w:tc>
            </w:tr>
            <w:tr w14:paraId="4520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27F75AF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21DF892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363DC63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7F1970C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五、华山松林</w:t>
                  </w:r>
                </w:p>
              </w:tc>
              <w:tc>
                <w:tcPr>
                  <w:tcW w:w="1644" w:type="dxa"/>
                  <w:shd w:val="clear" w:color="auto" w:fill="auto"/>
                  <w:vAlign w:val="center"/>
                </w:tcPr>
                <w:p w14:paraId="0DFF767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5、华山松</w:t>
                  </w:r>
                </w:p>
              </w:tc>
            </w:tr>
            <w:tr w14:paraId="64E8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46E40BC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B.人工植被</w:t>
                  </w:r>
                </w:p>
              </w:tc>
              <w:tc>
                <w:tcPr>
                  <w:tcW w:w="1644" w:type="dxa"/>
                  <w:shd w:val="clear" w:color="auto" w:fill="auto"/>
                  <w:vAlign w:val="center"/>
                </w:tcPr>
                <w:p w14:paraId="42B6FEE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Ⅰ农田植被</w:t>
                  </w:r>
                </w:p>
              </w:tc>
              <w:tc>
                <w:tcPr>
                  <w:tcW w:w="1644" w:type="dxa"/>
                  <w:shd w:val="clear" w:color="auto" w:fill="auto"/>
                  <w:vAlign w:val="center"/>
                </w:tcPr>
                <w:p w14:paraId="3698686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w:t>
                  </w:r>
                </w:p>
              </w:tc>
              <w:tc>
                <w:tcPr>
                  <w:tcW w:w="1644" w:type="dxa"/>
                  <w:shd w:val="clear" w:color="auto" w:fill="auto"/>
                  <w:vAlign w:val="center"/>
                </w:tcPr>
                <w:p w14:paraId="4C80866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一、旱地</w:t>
                  </w:r>
                </w:p>
              </w:tc>
              <w:tc>
                <w:tcPr>
                  <w:tcW w:w="1644" w:type="dxa"/>
                  <w:shd w:val="clear" w:color="auto" w:fill="auto"/>
                  <w:vAlign w:val="center"/>
                </w:tcPr>
                <w:p w14:paraId="6D01A54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1、烤烟、玉米、辣椒等</w:t>
                  </w:r>
                </w:p>
              </w:tc>
            </w:tr>
            <w:tr w14:paraId="6D02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0783024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6A4E48E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378222C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0EB666E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二、水田</w:t>
                  </w:r>
                </w:p>
              </w:tc>
              <w:tc>
                <w:tcPr>
                  <w:tcW w:w="1644" w:type="dxa"/>
                  <w:shd w:val="clear" w:color="auto" w:fill="auto"/>
                  <w:vAlign w:val="center"/>
                </w:tcPr>
                <w:p w14:paraId="54DF411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2、水稻</w:t>
                  </w:r>
                </w:p>
              </w:tc>
            </w:tr>
            <w:tr w14:paraId="3AD8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6EAE700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69A5F7A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Ⅱ人工林</w:t>
                  </w:r>
                </w:p>
              </w:tc>
              <w:tc>
                <w:tcPr>
                  <w:tcW w:w="1644" w:type="dxa"/>
                  <w:shd w:val="clear" w:color="auto" w:fill="auto"/>
                  <w:vAlign w:val="center"/>
                </w:tcPr>
                <w:p w14:paraId="0F35871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w:t>
                  </w:r>
                </w:p>
              </w:tc>
              <w:tc>
                <w:tcPr>
                  <w:tcW w:w="1644" w:type="dxa"/>
                  <w:shd w:val="clear" w:color="auto" w:fill="auto"/>
                  <w:vAlign w:val="center"/>
                </w:tcPr>
                <w:p w14:paraId="63A83ED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三、蓝桉林</w:t>
                  </w:r>
                </w:p>
              </w:tc>
              <w:tc>
                <w:tcPr>
                  <w:tcW w:w="1644" w:type="dxa"/>
                  <w:shd w:val="clear" w:color="auto" w:fill="auto"/>
                  <w:vAlign w:val="center"/>
                </w:tcPr>
                <w:p w14:paraId="06AB291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3、蓝桉</w:t>
                  </w:r>
                </w:p>
              </w:tc>
            </w:tr>
            <w:tr w14:paraId="7275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3E796CB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3E8D2E4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4C4B860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285E933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四、直干桉林</w:t>
                  </w:r>
                </w:p>
              </w:tc>
              <w:tc>
                <w:tcPr>
                  <w:tcW w:w="1644" w:type="dxa"/>
                  <w:shd w:val="clear" w:color="auto" w:fill="auto"/>
                  <w:vAlign w:val="center"/>
                </w:tcPr>
                <w:p w14:paraId="6C252FE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4、直干桉</w:t>
                  </w:r>
                </w:p>
              </w:tc>
            </w:tr>
            <w:tr w14:paraId="5CE3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4E2CD1E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7468F45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22EBA0B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45F8CFC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五、圣诞树林</w:t>
                  </w:r>
                </w:p>
              </w:tc>
              <w:tc>
                <w:tcPr>
                  <w:tcW w:w="1644" w:type="dxa"/>
                  <w:shd w:val="clear" w:color="auto" w:fill="auto"/>
                  <w:vAlign w:val="center"/>
                </w:tcPr>
                <w:p w14:paraId="2EFC6F3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5、圣诞树</w:t>
                  </w:r>
                </w:p>
              </w:tc>
            </w:tr>
            <w:tr w14:paraId="0059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266AA76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78A876B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7164C06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69ABD0C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六、核桃林</w:t>
                  </w:r>
                </w:p>
              </w:tc>
              <w:tc>
                <w:tcPr>
                  <w:tcW w:w="1644" w:type="dxa"/>
                  <w:shd w:val="clear" w:color="auto" w:fill="auto"/>
                  <w:vAlign w:val="center"/>
                </w:tcPr>
                <w:p w14:paraId="186E751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6、核桃</w:t>
                  </w:r>
                </w:p>
              </w:tc>
            </w:tr>
            <w:tr w14:paraId="7EBC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071EF74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26D3AC3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0D3398F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5EDDB20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七、梨园</w:t>
                  </w:r>
                </w:p>
              </w:tc>
              <w:tc>
                <w:tcPr>
                  <w:tcW w:w="1644" w:type="dxa"/>
                  <w:shd w:val="clear" w:color="auto" w:fill="auto"/>
                  <w:vAlign w:val="center"/>
                </w:tcPr>
                <w:p w14:paraId="31F9620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7、梨</w:t>
                  </w:r>
                </w:p>
              </w:tc>
            </w:tr>
            <w:tr w14:paraId="1764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34DF067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3C41D13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Ⅲ竹林</w:t>
                  </w:r>
                </w:p>
              </w:tc>
              <w:tc>
                <w:tcPr>
                  <w:tcW w:w="1644" w:type="dxa"/>
                  <w:shd w:val="clear" w:color="auto" w:fill="auto"/>
                  <w:vAlign w:val="center"/>
                </w:tcPr>
                <w:p w14:paraId="365EE79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w:t>
                  </w:r>
                </w:p>
              </w:tc>
              <w:tc>
                <w:tcPr>
                  <w:tcW w:w="1644" w:type="dxa"/>
                  <w:shd w:val="clear" w:color="auto" w:fill="auto"/>
                  <w:vAlign w:val="center"/>
                </w:tcPr>
                <w:p w14:paraId="139A3D5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八、丛生杂竹林</w:t>
                  </w:r>
                </w:p>
              </w:tc>
              <w:tc>
                <w:tcPr>
                  <w:tcW w:w="1644" w:type="dxa"/>
                  <w:shd w:val="clear" w:color="auto" w:fill="auto"/>
                  <w:vAlign w:val="center"/>
                </w:tcPr>
                <w:p w14:paraId="652DE28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8、丛生杂竹</w:t>
                  </w:r>
                </w:p>
              </w:tc>
            </w:tr>
            <w:tr w14:paraId="2EB7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38A4E4C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175A680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Ⅳ水域</w:t>
                  </w:r>
                </w:p>
              </w:tc>
              <w:tc>
                <w:tcPr>
                  <w:tcW w:w="1644" w:type="dxa"/>
                  <w:shd w:val="clear" w:color="auto" w:fill="auto"/>
                  <w:vAlign w:val="center"/>
                </w:tcPr>
                <w:p w14:paraId="53D0CEF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w:t>
                  </w:r>
                </w:p>
              </w:tc>
              <w:tc>
                <w:tcPr>
                  <w:tcW w:w="1644" w:type="dxa"/>
                  <w:shd w:val="clear" w:color="auto" w:fill="auto"/>
                  <w:vAlign w:val="center"/>
                </w:tcPr>
                <w:p w14:paraId="072ACFC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九、水塘、水库、河流</w:t>
                  </w:r>
                </w:p>
              </w:tc>
              <w:tc>
                <w:tcPr>
                  <w:tcW w:w="1644" w:type="dxa"/>
                  <w:shd w:val="clear" w:color="auto" w:fill="auto"/>
                  <w:vAlign w:val="center"/>
                </w:tcPr>
                <w:p w14:paraId="4B0C7AB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w:t>
                  </w:r>
                </w:p>
              </w:tc>
            </w:tr>
            <w:tr w14:paraId="6F92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44" w:type="dxa"/>
                  <w:shd w:val="clear" w:color="auto" w:fill="auto"/>
                  <w:vAlign w:val="center"/>
                </w:tcPr>
                <w:p w14:paraId="25D4FEB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p>
              </w:tc>
              <w:tc>
                <w:tcPr>
                  <w:tcW w:w="1644" w:type="dxa"/>
                  <w:shd w:val="clear" w:color="auto" w:fill="auto"/>
                  <w:vAlign w:val="center"/>
                </w:tcPr>
                <w:p w14:paraId="64A1866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Ⅴ无植被地段</w:t>
                  </w:r>
                </w:p>
              </w:tc>
              <w:tc>
                <w:tcPr>
                  <w:tcW w:w="1644" w:type="dxa"/>
                  <w:shd w:val="clear" w:color="auto" w:fill="auto"/>
                  <w:vAlign w:val="center"/>
                </w:tcPr>
                <w:p w14:paraId="7C59331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w:t>
                  </w:r>
                </w:p>
              </w:tc>
              <w:tc>
                <w:tcPr>
                  <w:tcW w:w="1644" w:type="dxa"/>
                  <w:shd w:val="clear" w:color="auto" w:fill="auto"/>
                  <w:vAlign w:val="center"/>
                </w:tcPr>
                <w:p w14:paraId="4FF3A10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十、裸岩、工矿场地</w:t>
                  </w:r>
                </w:p>
              </w:tc>
              <w:tc>
                <w:tcPr>
                  <w:tcW w:w="1644" w:type="dxa"/>
                  <w:shd w:val="clear" w:color="auto" w:fill="auto"/>
                  <w:vAlign w:val="center"/>
                </w:tcPr>
                <w:p w14:paraId="22D21B9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pacing w:val="-5"/>
                      <w:kern w:val="2"/>
                      <w:sz w:val="21"/>
                      <w:szCs w:val="21"/>
                      <w:lang w:val="en-US" w:eastAsia="zh-CN" w:bidi="he-IL"/>
                    </w:rPr>
                  </w:pPr>
                  <w:r>
                    <w:rPr>
                      <w:rFonts w:hint="default" w:ascii="Times New Roman" w:hAnsi="Times New Roman" w:eastAsia="宋体" w:cs="Times New Roman"/>
                      <w:color w:val="auto"/>
                      <w:spacing w:val="-5"/>
                      <w:sz w:val="21"/>
                      <w:szCs w:val="21"/>
                      <w:lang w:val="en-US" w:eastAsia="zh-CN" w:bidi="he-IL"/>
                    </w:rPr>
                    <w:t>—</w:t>
                  </w:r>
                </w:p>
              </w:tc>
            </w:tr>
          </w:tbl>
          <w:p w14:paraId="01C6D4B2">
            <w:pPr>
              <w:pStyle w:val="21"/>
              <w:keepNext w:val="0"/>
              <w:keepLines w:val="0"/>
              <w:widowControl/>
              <w:suppressLineNumbers w:val="0"/>
              <w:shd w:val="clear" w:fill="FFFFFF"/>
              <w:spacing w:before="192" w:beforeAutospacing="0" w:after="192" w:afterAutospacing="0"/>
              <w:ind w:left="0" w:right="0" w:firstLine="0"/>
              <w:rPr>
                <w:rFonts w:hint="default" w:ascii="Times New Roman" w:hAnsi="Times New Roman" w:eastAsia="宋体" w:cs="Times New Roman"/>
                <w:i w:val="0"/>
                <w:iCs w:val="0"/>
                <w:caps w:val="0"/>
                <w:color w:val="0F1115"/>
                <w:spacing w:val="0"/>
                <w:sz w:val="19"/>
                <w:szCs w:val="19"/>
              </w:rPr>
            </w:pPr>
            <w:r>
              <w:rPr>
                <w:rFonts w:hint="default" w:ascii="Times New Roman" w:hAnsi="Times New Roman" w:eastAsia="宋体" w:cs="Times New Roman"/>
                <w:i w:val="0"/>
                <w:iCs w:val="0"/>
                <w:caps w:val="0"/>
                <w:color w:val="0F1115"/>
                <w:spacing w:val="0"/>
                <w:sz w:val="19"/>
                <w:szCs w:val="19"/>
                <w:shd w:val="clear" w:fill="FFFFFF"/>
              </w:rPr>
              <w:t>注：植被型：Ⅰ，Ⅱ，Ⅲ…；植被亚型：</w:t>
            </w:r>
            <w:r>
              <w:rPr>
                <w:rFonts w:hint="eastAsia" w:ascii="Times New Roman" w:hAnsi="Times New Roman" w:eastAsia="宋体" w:cs="Times New Roman"/>
                <w:i w:val="0"/>
                <w:iCs w:val="0"/>
                <w:caps w:val="0"/>
                <w:color w:val="0F1115"/>
                <w:spacing w:val="0"/>
                <w:sz w:val="19"/>
                <w:szCs w:val="19"/>
                <w:shd w:val="clear" w:fill="FFFFFF"/>
                <w:lang w:eastAsia="zh-CN"/>
              </w:rPr>
              <w:t>（</w:t>
            </w:r>
            <w:r>
              <w:rPr>
                <w:rFonts w:hint="default" w:ascii="Times New Roman" w:hAnsi="Times New Roman" w:eastAsia="宋体" w:cs="Times New Roman"/>
                <w:i w:val="0"/>
                <w:iCs w:val="0"/>
                <w:caps w:val="0"/>
                <w:color w:val="0F1115"/>
                <w:spacing w:val="0"/>
                <w:sz w:val="19"/>
                <w:szCs w:val="19"/>
                <w:shd w:val="clear" w:fill="FFFFFF"/>
              </w:rPr>
              <w:t>Ⅰ），</w:t>
            </w:r>
            <w:r>
              <w:rPr>
                <w:rFonts w:hint="eastAsia" w:ascii="Times New Roman" w:hAnsi="Times New Roman" w:eastAsia="宋体" w:cs="Times New Roman"/>
                <w:i w:val="0"/>
                <w:iCs w:val="0"/>
                <w:caps w:val="0"/>
                <w:color w:val="0F1115"/>
                <w:spacing w:val="0"/>
                <w:sz w:val="19"/>
                <w:szCs w:val="19"/>
                <w:shd w:val="clear" w:fill="FFFFFF"/>
                <w:lang w:eastAsia="zh-CN"/>
              </w:rPr>
              <w:t>（</w:t>
            </w:r>
            <w:r>
              <w:rPr>
                <w:rFonts w:hint="default" w:ascii="Times New Roman" w:hAnsi="Times New Roman" w:eastAsia="宋体" w:cs="Times New Roman"/>
                <w:i w:val="0"/>
                <w:iCs w:val="0"/>
                <w:caps w:val="0"/>
                <w:color w:val="0F1115"/>
                <w:spacing w:val="0"/>
                <w:sz w:val="19"/>
                <w:szCs w:val="19"/>
                <w:shd w:val="clear" w:fill="FFFFFF"/>
              </w:rPr>
              <w:t>Ⅱ），</w:t>
            </w:r>
            <w:r>
              <w:rPr>
                <w:rFonts w:hint="eastAsia" w:ascii="Times New Roman" w:hAnsi="Times New Roman" w:eastAsia="宋体" w:cs="Times New Roman"/>
                <w:i w:val="0"/>
                <w:iCs w:val="0"/>
                <w:caps w:val="0"/>
                <w:color w:val="0F1115"/>
                <w:spacing w:val="0"/>
                <w:sz w:val="19"/>
                <w:szCs w:val="19"/>
                <w:shd w:val="clear" w:fill="FFFFFF"/>
                <w:lang w:eastAsia="zh-CN"/>
              </w:rPr>
              <w:t>（</w:t>
            </w:r>
            <w:r>
              <w:rPr>
                <w:rFonts w:hint="default" w:ascii="Times New Roman" w:hAnsi="Times New Roman" w:eastAsia="宋体" w:cs="Times New Roman"/>
                <w:i w:val="0"/>
                <w:iCs w:val="0"/>
                <w:caps w:val="0"/>
                <w:color w:val="0F1115"/>
                <w:spacing w:val="0"/>
                <w:sz w:val="19"/>
                <w:szCs w:val="19"/>
                <w:shd w:val="clear" w:fill="FFFFFF"/>
              </w:rPr>
              <w:t>Ⅲ）…；群系：一，二，三…</w:t>
            </w:r>
          </w:p>
          <w:p w14:paraId="6337B53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3）评价范围植被类型汇总</w:t>
            </w:r>
          </w:p>
          <w:p w14:paraId="6410DA6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评价区域植被类型图参照《1</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1000000中国植被图》中植被分类体系，将评价范围内植被类型分为云南松林、华山松林、圣诞树林、柏木林、油杉林、蓝桉林、直干桉林、栎类林、樟木林、五蕊柳、丛生杂竹林、杂灌、梨</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果园）、农田作物等，结合区域高分遥感数据、DEM数据、地面调查数据等对评价范围的植被类型进行目视解译。根据植被类型图，评价区植被类型汇总见下表。</w:t>
            </w:r>
          </w:p>
          <w:p w14:paraId="7C5D58FB">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w:t>
            </w:r>
            <w:r>
              <w:rPr>
                <w:rFonts w:hint="eastAsia" w:ascii="Times New Roman" w:hAnsi="Times New Roman" w:eastAsia="宋体" w:cs="Times New Roman"/>
                <w:b/>
                <w:bCs/>
                <w:color w:val="auto"/>
                <w:sz w:val="24"/>
                <w:szCs w:val="24"/>
                <w:lang w:val="en-US" w:eastAsia="zh-CN"/>
              </w:rPr>
              <w:t xml:space="preserve">3-4    </w:t>
            </w:r>
            <w:r>
              <w:rPr>
                <w:rFonts w:hint="default" w:ascii="Times New Roman" w:hAnsi="Times New Roman" w:eastAsia="宋体" w:cs="Times New Roman"/>
                <w:b/>
                <w:bCs/>
                <w:color w:val="auto"/>
                <w:sz w:val="24"/>
                <w:szCs w:val="24"/>
                <w:lang w:val="en-US" w:eastAsia="zh-CN"/>
              </w:rPr>
              <w:t>评价范围植被类型汇总表</w:t>
            </w:r>
          </w:p>
          <w:tbl>
            <w:tblPr>
              <w:tblStyle w:val="27"/>
              <w:tblW w:w="82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4"/>
              <w:gridCol w:w="2734"/>
              <w:gridCol w:w="2734"/>
            </w:tblGrid>
            <w:tr w14:paraId="3E7A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17D57331">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植被类型</w:t>
                  </w:r>
                </w:p>
              </w:tc>
              <w:tc>
                <w:tcPr>
                  <w:tcW w:w="2734" w:type="dxa"/>
                  <w:shd w:val="clear" w:color="auto" w:fill="auto"/>
                  <w:vAlign w:val="center"/>
                </w:tcPr>
                <w:p w14:paraId="27228283">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面积</w:t>
                  </w:r>
                  <w:r>
                    <w:rPr>
                      <w:rFonts w:hint="eastAsia" w:ascii="Times New Roman" w:hAnsi="Times New Roman" w:eastAsia="宋体" w:cs="Times New Roman"/>
                      <w:b w:val="0"/>
                      <w:bCs w:val="0"/>
                      <w:kern w:val="0"/>
                      <w:sz w:val="21"/>
                      <w:szCs w:val="21"/>
                      <w:lang w:val="en-US" w:eastAsia="zh-CN" w:bidi="ar"/>
                    </w:rPr>
                    <w:t>（</w:t>
                  </w:r>
                  <w:r>
                    <w:rPr>
                      <w:rFonts w:hint="default" w:ascii="Times New Roman" w:hAnsi="Times New Roman" w:eastAsia="宋体" w:cs="Times New Roman"/>
                      <w:b w:val="0"/>
                      <w:bCs w:val="0"/>
                      <w:kern w:val="0"/>
                      <w:sz w:val="21"/>
                      <w:szCs w:val="21"/>
                      <w:lang w:val="en-US" w:eastAsia="zh-CN" w:bidi="ar"/>
                    </w:rPr>
                    <w:t>hm²）</w:t>
                  </w:r>
                </w:p>
              </w:tc>
              <w:tc>
                <w:tcPr>
                  <w:tcW w:w="2734" w:type="dxa"/>
                  <w:shd w:val="clear" w:color="auto" w:fill="auto"/>
                  <w:vAlign w:val="center"/>
                </w:tcPr>
                <w:p w14:paraId="201645A6">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占比</w:t>
                  </w:r>
                  <w:r>
                    <w:rPr>
                      <w:rFonts w:hint="eastAsia" w:ascii="Times New Roman" w:hAnsi="Times New Roman" w:eastAsia="宋体" w:cs="Times New Roman"/>
                      <w:b w:val="0"/>
                      <w:bCs w:val="0"/>
                      <w:kern w:val="0"/>
                      <w:sz w:val="21"/>
                      <w:szCs w:val="21"/>
                      <w:lang w:val="en-US" w:eastAsia="zh-CN" w:bidi="ar"/>
                    </w:rPr>
                    <w:t>（</w:t>
                  </w:r>
                  <w:r>
                    <w:rPr>
                      <w:rFonts w:hint="default" w:ascii="Times New Roman" w:hAnsi="Times New Roman" w:eastAsia="宋体" w:cs="Times New Roman"/>
                      <w:b w:val="0"/>
                      <w:bCs w:val="0"/>
                      <w:kern w:val="0"/>
                      <w:sz w:val="21"/>
                      <w:szCs w:val="21"/>
                      <w:lang w:val="en-US" w:eastAsia="zh-CN" w:bidi="ar"/>
                    </w:rPr>
                    <w:t>%）</w:t>
                  </w:r>
                </w:p>
              </w:tc>
            </w:tr>
            <w:tr w14:paraId="659E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0BB65F0E">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云南松林</w:t>
                  </w:r>
                </w:p>
              </w:tc>
              <w:tc>
                <w:tcPr>
                  <w:tcW w:w="2734" w:type="dxa"/>
                  <w:shd w:val="clear" w:color="auto" w:fill="auto"/>
                  <w:vAlign w:val="center"/>
                </w:tcPr>
                <w:p w14:paraId="04E44782">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22.28</w:t>
                  </w:r>
                </w:p>
              </w:tc>
              <w:tc>
                <w:tcPr>
                  <w:tcW w:w="2734" w:type="dxa"/>
                  <w:shd w:val="clear" w:color="auto" w:fill="auto"/>
                  <w:vAlign w:val="center"/>
                </w:tcPr>
                <w:p w14:paraId="72D2930C">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1.82</w:t>
                  </w:r>
                </w:p>
              </w:tc>
            </w:tr>
            <w:tr w14:paraId="03F4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2E2CB3F8">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华山松林</w:t>
                  </w:r>
                </w:p>
              </w:tc>
              <w:tc>
                <w:tcPr>
                  <w:tcW w:w="2734" w:type="dxa"/>
                  <w:shd w:val="clear" w:color="auto" w:fill="auto"/>
                  <w:vAlign w:val="center"/>
                </w:tcPr>
                <w:p w14:paraId="5E0D15FB">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2.64</w:t>
                  </w:r>
                </w:p>
              </w:tc>
              <w:tc>
                <w:tcPr>
                  <w:tcW w:w="2734" w:type="dxa"/>
                  <w:shd w:val="clear" w:color="auto" w:fill="auto"/>
                  <w:vAlign w:val="center"/>
                </w:tcPr>
                <w:p w14:paraId="6B6D3B4D">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0.22</w:t>
                  </w:r>
                </w:p>
              </w:tc>
            </w:tr>
            <w:tr w14:paraId="6259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68230AA6">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圣诞树林</w:t>
                  </w:r>
                </w:p>
              </w:tc>
              <w:tc>
                <w:tcPr>
                  <w:tcW w:w="2734" w:type="dxa"/>
                  <w:shd w:val="clear" w:color="auto" w:fill="auto"/>
                  <w:vAlign w:val="center"/>
                </w:tcPr>
                <w:p w14:paraId="21E3BF5C">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15.08</w:t>
                  </w:r>
                </w:p>
              </w:tc>
              <w:tc>
                <w:tcPr>
                  <w:tcW w:w="2734" w:type="dxa"/>
                  <w:shd w:val="clear" w:color="auto" w:fill="auto"/>
                  <w:vAlign w:val="center"/>
                </w:tcPr>
                <w:p w14:paraId="4E5938ED">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1.23</w:t>
                  </w:r>
                </w:p>
              </w:tc>
            </w:tr>
            <w:tr w14:paraId="39D5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560F42E1">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柏木林</w:t>
                  </w:r>
                </w:p>
              </w:tc>
              <w:tc>
                <w:tcPr>
                  <w:tcW w:w="2734" w:type="dxa"/>
                  <w:shd w:val="clear" w:color="auto" w:fill="auto"/>
                  <w:vAlign w:val="center"/>
                </w:tcPr>
                <w:p w14:paraId="5D871CD8">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3.65</w:t>
                  </w:r>
                </w:p>
              </w:tc>
              <w:tc>
                <w:tcPr>
                  <w:tcW w:w="2734" w:type="dxa"/>
                  <w:shd w:val="clear" w:color="auto" w:fill="auto"/>
                  <w:vAlign w:val="center"/>
                </w:tcPr>
                <w:p w14:paraId="6BB9AC71">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0.30</w:t>
                  </w:r>
                </w:p>
              </w:tc>
            </w:tr>
            <w:tr w14:paraId="6CE4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0A8636CB">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油杉林</w:t>
                  </w:r>
                </w:p>
              </w:tc>
              <w:tc>
                <w:tcPr>
                  <w:tcW w:w="2734" w:type="dxa"/>
                  <w:shd w:val="clear" w:color="auto" w:fill="auto"/>
                  <w:vAlign w:val="center"/>
                </w:tcPr>
                <w:p w14:paraId="7B52AE71">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54.29</w:t>
                  </w:r>
                </w:p>
              </w:tc>
              <w:tc>
                <w:tcPr>
                  <w:tcW w:w="2734" w:type="dxa"/>
                  <w:shd w:val="clear" w:color="auto" w:fill="auto"/>
                  <w:vAlign w:val="center"/>
                </w:tcPr>
                <w:p w14:paraId="332A662A">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4.43</w:t>
                  </w:r>
                </w:p>
              </w:tc>
            </w:tr>
            <w:tr w14:paraId="086B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7265EFF1">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蓝桉林</w:t>
                  </w:r>
                </w:p>
              </w:tc>
              <w:tc>
                <w:tcPr>
                  <w:tcW w:w="2734" w:type="dxa"/>
                  <w:shd w:val="clear" w:color="auto" w:fill="auto"/>
                  <w:vAlign w:val="center"/>
                </w:tcPr>
                <w:p w14:paraId="5E526F14">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64.83</w:t>
                  </w:r>
                </w:p>
              </w:tc>
              <w:tc>
                <w:tcPr>
                  <w:tcW w:w="2734" w:type="dxa"/>
                  <w:shd w:val="clear" w:color="auto" w:fill="auto"/>
                  <w:vAlign w:val="center"/>
                </w:tcPr>
                <w:p w14:paraId="25BEF124">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5.29</w:t>
                  </w:r>
                </w:p>
              </w:tc>
            </w:tr>
            <w:tr w14:paraId="0F24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24AA1632">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直干桉林</w:t>
                  </w:r>
                </w:p>
              </w:tc>
              <w:tc>
                <w:tcPr>
                  <w:tcW w:w="2734" w:type="dxa"/>
                  <w:shd w:val="clear" w:color="auto" w:fill="auto"/>
                  <w:vAlign w:val="center"/>
                </w:tcPr>
                <w:p w14:paraId="620EF86C">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5.82</w:t>
                  </w:r>
                </w:p>
              </w:tc>
              <w:tc>
                <w:tcPr>
                  <w:tcW w:w="2734" w:type="dxa"/>
                  <w:shd w:val="clear" w:color="auto" w:fill="auto"/>
                  <w:vAlign w:val="center"/>
                </w:tcPr>
                <w:p w14:paraId="377D2144">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0.48</w:t>
                  </w:r>
                </w:p>
              </w:tc>
            </w:tr>
            <w:tr w14:paraId="73E4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6505169E">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栎类林</w:t>
                  </w:r>
                </w:p>
              </w:tc>
              <w:tc>
                <w:tcPr>
                  <w:tcW w:w="2734" w:type="dxa"/>
                  <w:shd w:val="clear" w:color="auto" w:fill="auto"/>
                  <w:vAlign w:val="center"/>
                </w:tcPr>
                <w:p w14:paraId="449CB259">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5.13</w:t>
                  </w:r>
                </w:p>
              </w:tc>
              <w:tc>
                <w:tcPr>
                  <w:tcW w:w="2734" w:type="dxa"/>
                  <w:shd w:val="clear" w:color="auto" w:fill="auto"/>
                  <w:vAlign w:val="center"/>
                </w:tcPr>
                <w:p w14:paraId="5370727C">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0.42</w:t>
                  </w:r>
                </w:p>
              </w:tc>
            </w:tr>
            <w:tr w14:paraId="7EC8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4593E846">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樟木林</w:t>
                  </w:r>
                </w:p>
              </w:tc>
              <w:tc>
                <w:tcPr>
                  <w:tcW w:w="2734" w:type="dxa"/>
                  <w:shd w:val="clear" w:color="auto" w:fill="auto"/>
                  <w:vAlign w:val="center"/>
                </w:tcPr>
                <w:p w14:paraId="0474E173">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0.67</w:t>
                  </w:r>
                </w:p>
              </w:tc>
              <w:tc>
                <w:tcPr>
                  <w:tcW w:w="2734" w:type="dxa"/>
                  <w:shd w:val="clear" w:color="auto" w:fill="auto"/>
                  <w:vAlign w:val="center"/>
                </w:tcPr>
                <w:p w14:paraId="62155521">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0.05</w:t>
                  </w:r>
                </w:p>
              </w:tc>
            </w:tr>
            <w:tr w14:paraId="53F5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23045866">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五蕊柳</w:t>
                  </w:r>
                </w:p>
              </w:tc>
              <w:tc>
                <w:tcPr>
                  <w:tcW w:w="2734" w:type="dxa"/>
                  <w:shd w:val="clear" w:color="auto" w:fill="auto"/>
                  <w:vAlign w:val="center"/>
                </w:tcPr>
                <w:p w14:paraId="3FF3C5C2">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6.10</w:t>
                  </w:r>
                </w:p>
              </w:tc>
              <w:tc>
                <w:tcPr>
                  <w:tcW w:w="2734" w:type="dxa"/>
                  <w:shd w:val="clear" w:color="auto" w:fill="auto"/>
                  <w:vAlign w:val="center"/>
                </w:tcPr>
                <w:p w14:paraId="3682422C">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0.50</w:t>
                  </w:r>
                </w:p>
              </w:tc>
            </w:tr>
            <w:tr w14:paraId="3A8A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3A564823">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丛生杂竹林</w:t>
                  </w:r>
                </w:p>
              </w:tc>
              <w:tc>
                <w:tcPr>
                  <w:tcW w:w="2734" w:type="dxa"/>
                  <w:shd w:val="clear" w:color="auto" w:fill="auto"/>
                  <w:vAlign w:val="center"/>
                </w:tcPr>
                <w:p w14:paraId="28636B8B">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2.12</w:t>
                  </w:r>
                </w:p>
              </w:tc>
              <w:tc>
                <w:tcPr>
                  <w:tcW w:w="2734" w:type="dxa"/>
                  <w:shd w:val="clear" w:color="auto" w:fill="auto"/>
                  <w:vAlign w:val="center"/>
                </w:tcPr>
                <w:p w14:paraId="70729223">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0.17</w:t>
                  </w:r>
                </w:p>
              </w:tc>
            </w:tr>
            <w:tr w14:paraId="7464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70EDC1EE">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杂灌</w:t>
                  </w:r>
                </w:p>
              </w:tc>
              <w:tc>
                <w:tcPr>
                  <w:tcW w:w="2734" w:type="dxa"/>
                  <w:shd w:val="clear" w:color="auto" w:fill="auto"/>
                  <w:vAlign w:val="center"/>
                </w:tcPr>
                <w:p w14:paraId="63C410CC">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5.25</w:t>
                  </w:r>
                </w:p>
              </w:tc>
              <w:tc>
                <w:tcPr>
                  <w:tcW w:w="2734" w:type="dxa"/>
                  <w:shd w:val="clear" w:color="auto" w:fill="auto"/>
                  <w:vAlign w:val="center"/>
                </w:tcPr>
                <w:p w14:paraId="03D4E7C4">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0.43</w:t>
                  </w:r>
                </w:p>
              </w:tc>
            </w:tr>
            <w:tr w14:paraId="4AFA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30C32151">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梨</w:t>
                  </w:r>
                  <w:r>
                    <w:rPr>
                      <w:rFonts w:hint="eastAsia" w:ascii="Times New Roman" w:hAnsi="Times New Roman" w:eastAsia="宋体" w:cs="Times New Roman"/>
                      <w:b w:val="0"/>
                      <w:bCs w:val="0"/>
                      <w:kern w:val="0"/>
                      <w:sz w:val="21"/>
                      <w:szCs w:val="21"/>
                      <w:lang w:val="en-US" w:eastAsia="zh-CN" w:bidi="ar"/>
                    </w:rPr>
                    <w:t>（</w:t>
                  </w:r>
                  <w:r>
                    <w:rPr>
                      <w:rFonts w:hint="default" w:ascii="Times New Roman" w:hAnsi="Times New Roman" w:eastAsia="宋体" w:cs="Times New Roman"/>
                      <w:b w:val="0"/>
                      <w:bCs w:val="0"/>
                      <w:kern w:val="0"/>
                      <w:sz w:val="21"/>
                      <w:szCs w:val="21"/>
                      <w:lang w:val="en-US" w:eastAsia="zh-CN" w:bidi="ar"/>
                    </w:rPr>
                    <w:t>果园）</w:t>
                  </w:r>
                </w:p>
              </w:tc>
              <w:tc>
                <w:tcPr>
                  <w:tcW w:w="2734" w:type="dxa"/>
                  <w:shd w:val="clear" w:color="auto" w:fill="auto"/>
                  <w:vAlign w:val="center"/>
                </w:tcPr>
                <w:p w14:paraId="0D3ACA00">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17.86</w:t>
                  </w:r>
                </w:p>
              </w:tc>
              <w:tc>
                <w:tcPr>
                  <w:tcW w:w="2734" w:type="dxa"/>
                  <w:shd w:val="clear" w:color="auto" w:fill="auto"/>
                  <w:vAlign w:val="center"/>
                </w:tcPr>
                <w:p w14:paraId="33224217">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1.46</w:t>
                  </w:r>
                </w:p>
              </w:tc>
            </w:tr>
            <w:tr w14:paraId="05A4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7CB1C936">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农田作物</w:t>
                  </w:r>
                </w:p>
              </w:tc>
              <w:tc>
                <w:tcPr>
                  <w:tcW w:w="2734" w:type="dxa"/>
                  <w:shd w:val="clear" w:color="auto" w:fill="auto"/>
                  <w:vAlign w:val="center"/>
                </w:tcPr>
                <w:p w14:paraId="2635D32C">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785.58</w:t>
                  </w:r>
                </w:p>
              </w:tc>
              <w:tc>
                <w:tcPr>
                  <w:tcW w:w="2734" w:type="dxa"/>
                  <w:shd w:val="clear" w:color="auto" w:fill="auto"/>
                  <w:vAlign w:val="center"/>
                </w:tcPr>
                <w:p w14:paraId="1C1DBEAD">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64.14</w:t>
                  </w:r>
                </w:p>
              </w:tc>
            </w:tr>
            <w:tr w14:paraId="35C4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7D9B1A87">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水域</w:t>
                  </w:r>
                </w:p>
              </w:tc>
              <w:tc>
                <w:tcPr>
                  <w:tcW w:w="2734" w:type="dxa"/>
                  <w:shd w:val="clear" w:color="auto" w:fill="auto"/>
                  <w:vAlign w:val="center"/>
                </w:tcPr>
                <w:p w14:paraId="4644F617">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24.16</w:t>
                  </w:r>
                </w:p>
              </w:tc>
              <w:tc>
                <w:tcPr>
                  <w:tcW w:w="2734" w:type="dxa"/>
                  <w:shd w:val="clear" w:color="auto" w:fill="auto"/>
                  <w:vAlign w:val="center"/>
                </w:tcPr>
                <w:p w14:paraId="5FF45D20">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1.97</w:t>
                  </w:r>
                </w:p>
              </w:tc>
            </w:tr>
            <w:tr w14:paraId="71E0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233D57E1">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无植被地段</w:t>
                  </w:r>
                </w:p>
              </w:tc>
              <w:tc>
                <w:tcPr>
                  <w:tcW w:w="2734" w:type="dxa"/>
                  <w:shd w:val="clear" w:color="auto" w:fill="auto"/>
                  <w:vAlign w:val="center"/>
                </w:tcPr>
                <w:p w14:paraId="46763D34">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209.27</w:t>
                  </w:r>
                </w:p>
              </w:tc>
              <w:tc>
                <w:tcPr>
                  <w:tcW w:w="2734" w:type="dxa"/>
                  <w:shd w:val="clear" w:color="auto" w:fill="auto"/>
                  <w:vAlign w:val="center"/>
                </w:tcPr>
                <w:p w14:paraId="375BFED0">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17.09</w:t>
                  </w:r>
                </w:p>
              </w:tc>
            </w:tr>
            <w:tr w14:paraId="3161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4" w:type="dxa"/>
                  <w:shd w:val="clear" w:color="auto" w:fill="auto"/>
                  <w:vAlign w:val="center"/>
                </w:tcPr>
                <w:p w14:paraId="260D7881">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合计</w:t>
                  </w:r>
                </w:p>
              </w:tc>
              <w:tc>
                <w:tcPr>
                  <w:tcW w:w="2734" w:type="dxa"/>
                  <w:shd w:val="clear" w:color="auto" w:fill="auto"/>
                  <w:vAlign w:val="center"/>
                </w:tcPr>
                <w:p w14:paraId="0E3E04BD">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1224.73</w:t>
                  </w:r>
                </w:p>
              </w:tc>
              <w:tc>
                <w:tcPr>
                  <w:tcW w:w="2734" w:type="dxa"/>
                  <w:shd w:val="clear" w:color="auto" w:fill="auto"/>
                  <w:vAlign w:val="center"/>
                </w:tcPr>
                <w:p w14:paraId="66E3FE7C">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100.00</w:t>
                  </w:r>
                </w:p>
              </w:tc>
            </w:tr>
          </w:tbl>
          <w:p w14:paraId="51FEBFB3">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由上表可知，评价区植被以农田作物</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水稻、玉米、烤烟、辣椒等）占绝对优势</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64.14%），与评价区耕地占比高的特征一致。无植被地段占17.09%，主要为裸岩、工矿场地、道路等。各类林地</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云南松林、油杉林、蓝桉林、栎类林、圣诞树林等）面积合计约187.86 hm²，占15.34%。</w:t>
            </w:r>
          </w:p>
          <w:p w14:paraId="1D6DE976">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3.3.2.1</w:t>
            </w:r>
            <w:r>
              <w:rPr>
                <w:rFonts w:hint="default" w:ascii="Times New Roman" w:hAnsi="Times New Roman" w:eastAsia="宋体" w:cs="Times New Roman"/>
                <w:b/>
                <w:bCs/>
                <w:color w:val="auto"/>
                <w:sz w:val="24"/>
                <w:highlight w:val="none"/>
                <w:lang w:val="en-US" w:eastAsia="zh-CN"/>
              </w:rPr>
              <w:t>主要植被类型特征</w:t>
            </w:r>
          </w:p>
          <w:p w14:paraId="4E0BD4AF">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A. 暖温性针叶林</w:t>
            </w:r>
          </w:p>
          <w:p w14:paraId="3857FC48">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暖温性针叶林在云南主要分布于云南亚热带北部区域，以滇中高原为主体。评价区暖温性针叶林是原生地带性植被半湿润常绿阔叶林在长期人为活动影响下通过人工干预恢复后形成的半人工植被，主要分布于县街街道管线沿线区域。</w:t>
            </w:r>
          </w:p>
          <w:p w14:paraId="25E1596C">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①云南松林群系：占地面积22.28 hm²，分布于输水管沿线，海拔约1350—1550m。群落特征：乔木层郁闭度0.5—0.7，群落高度6—10m，层次较清晰；以次生针叶树为优势，混生少量阔叶树种，为原生植被破坏后自然恢复的过渡群落。伴生物种：乔木层有云南松、杉木、华山松、麻栎等；灌木层有马桑、棠梨、小果蔷薇等；草本层有扭黄茅、野菊、紫茎泽兰</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零星）等。生态功能：水土保持功能较强，为鸟类、小型啮齿类提供栖息环境。</w:t>
            </w:r>
          </w:p>
          <w:p w14:paraId="32E53C38">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②油杉林群系：占地面积54.29 hm²，主要分布于县街街道管线左侧区域。油杉为中国特有树种，在滇中地区分布较为广泛。群落结构相对简单，乔木层以油杉为优势种，伴生少量阔叶树种，林下植被稀疏。</w:t>
            </w:r>
          </w:p>
          <w:p w14:paraId="465D22B1">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③柏木林群系：占地面积3.65 hm²，零星分布于各管线沿线。柏木耐干旱瘠薄，在石灰岩山地分布较多，与安宁市喀斯特地貌分布相关。</w:t>
            </w:r>
          </w:p>
          <w:p w14:paraId="75E775D5">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B. 落叶阔叶林</w:t>
            </w:r>
          </w:p>
          <w:p w14:paraId="511E780C">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落叶阔叶林结构相对简单，通常</w:t>
            </w:r>
            <w:r>
              <w:rPr>
                <w:rFonts w:hint="eastAsia" w:ascii="Times New Roman" w:hAnsi="Times New Roman" w:eastAsia="宋体" w:cs="Times New Roman"/>
                <w:color w:val="auto"/>
                <w:sz w:val="24"/>
                <w:highlight w:val="none"/>
                <w:lang w:val="en-US" w:eastAsia="zh-CN"/>
              </w:rPr>
              <w:t>分为</w:t>
            </w:r>
            <w:r>
              <w:rPr>
                <w:rFonts w:hint="default" w:ascii="Times New Roman" w:hAnsi="Times New Roman" w:eastAsia="宋体" w:cs="Times New Roman"/>
                <w:color w:val="auto"/>
                <w:sz w:val="24"/>
                <w:highlight w:val="none"/>
                <w:lang w:val="en-US" w:eastAsia="zh-CN"/>
              </w:rPr>
              <w:t>乔木层、灌木层和草本层2—3层。评价区分布的落叶阔叶林主要为栎类林，是原生植被反复破坏后形成的次生类型。</w:t>
            </w:r>
          </w:p>
          <w:p w14:paraId="5BBAD70F">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栎类林群系：占地面积5.13 hm²，于提水管边缘零散分布，主要为灌木草丛，是季雨林反复破坏后形成的次生类型。群落特征：乔木层盖度约20%，高约10m，建群种麻栎、栓皮栎、青冈栎散生其中；灌木层盖度约8%，常见毛果算盘子、椴叶扁担杆等；草本层盖度高达95%，以大芒萁为主要建群种，伴生有蛇尾草、金发草、求米草等。生态功能：作为次生植被，在水土保持和生态恢复中扮演一定角色。</w:t>
            </w:r>
          </w:p>
          <w:p w14:paraId="791949DA">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C. 人工植被</w:t>
            </w:r>
          </w:p>
          <w:p w14:paraId="3FFADA78">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人工植被由于受人类生产活动的主导，植物种类主要为人工种植的农作物或经济树种，生物多样性较低，群落结构简单。</w:t>
            </w:r>
          </w:p>
          <w:p w14:paraId="162BF33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① 农田作物群系：占地面积785.58 hm²，是评价区面积最大的植被类型。主要分布于各管线沿线平缓区域，靠近村落区域。八街街道以水稻、烤烟、蔬菜种植为主；县街街道以水稻、玉米、麦类、豆类等为主。群落结构单一，以农作物为优势种，伴生少量杂草。生态功能：粮食生产、经济作物生产，为两栖类、鸟类提供觅食环境。</w:t>
            </w:r>
          </w:p>
          <w:p w14:paraId="49D24C5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② 蓝桉林群系：占地面积64.83 hm²，于提水管和输水管边缘零散分布，多为近年种植的速生林。群落特征：乔木层郁闭度0.7—0.9，人工纯林，群落结构单一，林下植被稀疏，盖度低于20%，土壤易板结。生态功能：速生用材，水土保持能力弱。</w:t>
            </w:r>
          </w:p>
          <w:p w14:paraId="267688AF">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③ 圣诞树林群系：占地面积15.08 hm²，主要分布于县街街道管线沿线。圣诞树为引入栽培的用材及观赏树种，多为人工成片种植。</w:t>
            </w:r>
          </w:p>
          <w:p w14:paraId="35F911FC">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④ 核桃林群系：占地面积4.57 hm²，为村民承包的经济林地，于输水管南北两侧片状分布。核桃产业是县街街道的重要产业之一。</w:t>
            </w:r>
          </w:p>
          <w:p w14:paraId="0CE03E05">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⑤ 梨园：占地面积17.86 hm²，主要分布于最南侧管线地块</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八街街道）及县街街道部分区域。八街街道红梨是安宁市特色农产品。</w:t>
            </w:r>
          </w:p>
          <w:p w14:paraId="7A4C0372">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⑥ 丛生杂竹林群系：占地面积2.12 hm²，分布于泵站地块，为丛生型小径竹类，多栽培于房前屋后或零星分布。</w:t>
            </w:r>
          </w:p>
          <w:p w14:paraId="5C677E0F">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D. 水域植被</w:t>
            </w:r>
          </w:p>
          <w:p w14:paraId="669EA48D">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水域面积24.16 hm²，包括河流、水库、坑塘及沟渠等。水域内有沉水植物和浮水植物，主要有眼子菜、黑藻、金鱼藻等沉水植物，以及浮萍、紫萍等浮水植物。水生植被覆盖率一般10%—30%。</w:t>
            </w:r>
          </w:p>
          <w:p w14:paraId="0B9600A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E. 无植被地段</w:t>
            </w:r>
          </w:p>
          <w:p w14:paraId="29875C83">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无植被地段占地面积209.27 hm²，分布于各管线沿线，主要为采矿用地、工业用地、公路、裸岩及村庄硬化场地。县街街道矿产资源丰富，采矿用地占比较高，无植被地段面积较大。</w:t>
            </w:r>
          </w:p>
          <w:p w14:paraId="34A45826">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3.3.2.2</w:t>
            </w:r>
            <w:r>
              <w:rPr>
                <w:rFonts w:hint="default" w:ascii="Times New Roman" w:hAnsi="Times New Roman" w:eastAsia="宋体" w:cs="Times New Roman"/>
                <w:b/>
                <w:bCs/>
                <w:color w:val="auto"/>
                <w:sz w:val="24"/>
                <w:highlight w:val="none"/>
                <w:lang w:val="en-US" w:eastAsia="zh-CN"/>
              </w:rPr>
              <w:t>植物种类组成</w:t>
            </w:r>
          </w:p>
          <w:p w14:paraId="1A2E50DE">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经现场调查、标本采集鉴定及历史资料核查，评价区范围内共记录维管植物约135种，分属65科、105属。其中蕨类植物8科10属12种，裸子植物4科4属6种，被子植物53科91属117种。蕨类植物主要有卷柏科、凤尾蕨科、金星蕨科等；裸子植物主要有松科、杉科、柏科等；被子植物主要有樟科、壳斗科、蔷薇科、豆科、禾本科、菊科等，其中禾本科、菊科、蔷薇科物种数量最多。</w:t>
            </w:r>
          </w:p>
          <w:p w14:paraId="572853F1">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植物群落以次生常绿阔叶林、暖温性针叶林、灌丛、灌草丛、经济林、农田植被为主，物种以广布性常见种占绝对优势。优势物种主要有云南松、滇青冈、刺栲、杉木、油杉、蓝桉、马桑、扭黄茅等。评价区植物群落结构较简单，处于区域中等水平，无大面积原生珍稀植物群落分布。</w:t>
            </w:r>
          </w:p>
          <w:p w14:paraId="21F8C389">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3.2.2.3</w:t>
            </w:r>
            <w:r>
              <w:rPr>
                <w:rFonts w:hint="default" w:ascii="Times New Roman" w:hAnsi="Times New Roman" w:eastAsia="宋体" w:cs="Times New Roman"/>
                <w:b/>
                <w:bCs/>
                <w:color w:val="auto"/>
                <w:sz w:val="24"/>
                <w:highlight w:val="none"/>
                <w:lang w:val="en-US" w:eastAsia="zh-CN"/>
              </w:rPr>
              <w:t>野生保护植物与特有物种</w:t>
            </w:r>
          </w:p>
          <w:p w14:paraId="43E5AFC5">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经全面现场踏勘、标本采集鉴定及走访安宁市林业和草原局核实，评价区内未发现国家级和省级重点保护野生植物，也未发现古树名木分布。经对照《中国生物多样性红色名录——高等植物卷</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2020）》，评价区内无极危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CR）、濒危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EN）、易危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VU）物种，均为无危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LC）物种。县街街道下元良村分布有珍稀二级保护植物黄杉林，但该区域不在本项目评价范围内。</w:t>
            </w:r>
          </w:p>
          <w:p w14:paraId="23A4E1EC">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3.3.3</w:t>
            </w:r>
            <w:r>
              <w:rPr>
                <w:rFonts w:hint="default" w:ascii="Times New Roman" w:hAnsi="Times New Roman" w:eastAsia="宋体" w:cs="Times New Roman"/>
                <w:b/>
                <w:bCs/>
                <w:color w:val="auto"/>
                <w:sz w:val="24"/>
                <w:highlight w:val="none"/>
                <w:lang w:val="en-US" w:eastAsia="zh-CN"/>
              </w:rPr>
              <w:t>动物资源现状调查</w:t>
            </w:r>
          </w:p>
          <w:p w14:paraId="5A6CA021">
            <w:pPr>
              <w:tabs>
                <w:tab w:val="left" w:pos="2395"/>
              </w:tabs>
              <w:spacing w:line="360" w:lineRule="auto"/>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3.3.3.1</w:t>
            </w:r>
            <w:r>
              <w:rPr>
                <w:rFonts w:hint="default" w:ascii="Times New Roman" w:hAnsi="Times New Roman" w:eastAsia="宋体" w:cs="Times New Roman"/>
                <w:color w:val="auto"/>
                <w:sz w:val="24"/>
                <w:highlight w:val="none"/>
                <w:lang w:val="en-US" w:eastAsia="zh-CN"/>
              </w:rPr>
              <w:t>动物地理区划</w:t>
            </w:r>
          </w:p>
          <w:p w14:paraId="53640BB6">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拟建项目所处地理位置在中国动物地理三级区划中属于东洋界——华南区——滇南山地亚区，但评价区地处滇中高原，长期受人为活动干扰，不是大型哺乳动物活动区域，区域内种群数量相对较多的是较适应人类活动的物种。</w:t>
            </w:r>
          </w:p>
          <w:p w14:paraId="157C42CD">
            <w:pPr>
              <w:tabs>
                <w:tab w:val="left" w:pos="2395"/>
              </w:tabs>
              <w:spacing w:line="360" w:lineRule="auto"/>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3.3.3.2</w:t>
            </w:r>
            <w:r>
              <w:rPr>
                <w:rFonts w:hint="default" w:ascii="Times New Roman" w:hAnsi="Times New Roman" w:eastAsia="宋体" w:cs="Times New Roman"/>
                <w:color w:val="auto"/>
                <w:sz w:val="24"/>
                <w:highlight w:val="none"/>
                <w:lang w:val="en-US" w:eastAsia="zh-CN"/>
              </w:rPr>
              <w:t>物种组成</w:t>
            </w:r>
          </w:p>
          <w:p w14:paraId="4597935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根据实地调查、访谈和查阅相关文献资料，评价范围内共记录陆生脊椎动物约60种，隶属4纲16目37科。其中哺乳纲6目10科约14种，鸟纲7目18科约28种，爬行纲2目5科约8种，两栖纲1目4科约6种。动物区系以东洋界种类占优势，与滇中高原动物地理区系特征一致。</w:t>
            </w:r>
          </w:p>
          <w:p w14:paraId="3DC4B798">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lang w:val="en-US" w:eastAsia="zh-CN"/>
              </w:rPr>
              <w:t>哺乳纲动物</w:t>
            </w:r>
          </w:p>
          <w:p w14:paraId="36CE189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哺乳纲动物共约14种，均为小型兽类，无大型兽类分布，主要分为啮齿类、食虫类、食肉类、翼手类、兔形类及偶蹄类，分布及活动特征如下：</w:t>
            </w:r>
          </w:p>
          <w:p w14:paraId="442FEBEE">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啮齿类：为评价区哺乳纲优势类群，共7种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黄胸鼠、小家鼠、社鼠、赤腹松鼠、隐纹花松鼠、豪猪），分布最广泛。其中黄胸鼠、小家鼠主要集中在村落及周边农田，活动频繁，与人类活动关联密切；社鼠、赤腹松鼠、隐纹花松鼠主要分布于县街街道管线沿线次生阔叶林、针叶林及灌草丛中，以植物果实、种子为食，活动时间主要集中在白天；豪猪分布于山地丘陵、林缘、灌丛及近农田区域，夜行性，数量稀少。</w:t>
            </w:r>
          </w:p>
          <w:p w14:paraId="4510F825">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食虫类：共2种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普通鼩鼱、灰麝鼩），分布于灌草丛、坡耕地边缘及林下阴湿处，活动隐蔽，以蚯蚓、昆虫等为食，均为零星分布。</w:t>
            </w:r>
          </w:p>
          <w:p w14:paraId="02622942">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食肉类：共3种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黄鼬、鼬獾、小灵猫），主要分布于评价区中段次生林地及灌草丛中，避开人类活动密集区域。黄鼬、鼬獾活动范围较广，偶尔出现在农田边缘觅食。小灵猫属国家一级重点保护野生动物，以鼠类、昆虫、蛙等为食，活动频率较低</w:t>
            </w:r>
            <w:r>
              <w:rPr>
                <w:rFonts w:hint="eastAsia" w:ascii="Times New Roman" w:hAnsi="Times New Roman" w:eastAsia="宋体" w:cs="Times New Roman"/>
                <w:color w:val="auto"/>
                <w:sz w:val="24"/>
                <w:highlight w:val="none"/>
                <w:lang w:val="en-US" w:eastAsia="zh-CN"/>
              </w:rPr>
              <w:t>，以</w:t>
            </w:r>
            <w:r>
              <w:rPr>
                <w:rFonts w:hint="default" w:ascii="Times New Roman" w:hAnsi="Times New Roman" w:eastAsia="宋体" w:cs="Times New Roman"/>
                <w:color w:val="auto"/>
                <w:sz w:val="24"/>
                <w:highlight w:val="none"/>
                <w:lang w:val="en-US" w:eastAsia="zh-CN"/>
              </w:rPr>
              <w:t>夜间活动为主。据当地林业部门反映，县街街道山林中野猪、麂子、狐狸和猴子数量有所增加。</w:t>
            </w:r>
          </w:p>
          <w:p w14:paraId="16E3115B">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翼手类：共3种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普通伏翼、东方蝙蝠、中菊头蝠），均为夜行性物种，主要栖息于村落屋檐、岩壁缝隙及喀斯特洞穴中，夜间外出觅食昆虫。普通伏翼、东方蝙蝠分布较广，村落周边及林下均有活动。</w:t>
            </w:r>
          </w:p>
          <w:p w14:paraId="7477218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兔形类：共1种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华南兔），分布于灌草丛、坡耕地边缘及林下阴湿处，以草本植物为食，数量稀少。</w:t>
            </w:r>
          </w:p>
          <w:p w14:paraId="7C6BE30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偶蹄类：共1种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野猪），为杂食性动物，以植物根茎、果实、种子、农作物为食，在县街街道山林区域偶有活动，活动频率较低，夜间活动为主。</w:t>
            </w:r>
          </w:p>
          <w:p w14:paraId="2022945A">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（2）</w:t>
            </w:r>
            <w:r>
              <w:rPr>
                <w:rFonts w:hint="default" w:ascii="Times New Roman" w:hAnsi="Times New Roman" w:eastAsia="宋体" w:cs="Times New Roman"/>
                <w:color w:val="auto"/>
                <w:sz w:val="24"/>
                <w:highlight w:val="none"/>
                <w:lang w:val="en-US" w:eastAsia="zh-CN"/>
              </w:rPr>
              <w:t>鸟纲动物</w:t>
            </w:r>
          </w:p>
          <w:p w14:paraId="0DA0177D">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鸟纲动物共约28种，为评价区陆生脊椎动物中物种数量最多的类群，涵盖鹳形目、鸽形目、鹃形目、鸮形目、佛法僧目、䴕形目、雀形目等7目，分布广泛，适应多种生境。</w:t>
            </w:r>
          </w:p>
          <w:p w14:paraId="43F07952">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鹳形目：共2种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白鹭、苍鹭），主要分布于八街街道和县街街道途经的小型水库、塘坝、灌溉沟渠等水域周边，以鱼类、水生昆虫为食，多集群活动</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3—5只），尤其是在水稻田及塘坝周边常见。</w:t>
            </w:r>
          </w:p>
          <w:p w14:paraId="0D928D3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鸽形目：共2种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山斑鸠、珠颈斑鸠），分布于农田、村落及道路旁，与人类活动关联密切，适应性强，普遍分布，活动频繁，主要以农作物种子、昆虫为食。</w:t>
            </w:r>
          </w:p>
          <w:p w14:paraId="1B13CEAA">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鹃形目：共2种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四声杜鹃、大杜鹃），分布于开阔林地、林缘及农田，主食昆虫，繁殖期鸣叫频繁，隐蔽性强。</w:t>
            </w:r>
          </w:p>
          <w:p w14:paraId="70374DE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䴕形目：共2种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大斑啄木鸟、灰头绿啄木鸟），栖息于次生阔叶林、针叶林及经济林，昼行，以树干昆虫、幼虫为食，活动范围稳定。</w:t>
            </w:r>
          </w:p>
          <w:p w14:paraId="6C53DBC5">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佛法僧目：共2种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普通翠鸟、白胸翡翠），沿溪流、塘坝、沟渠分布，近水栖息，以鱼类、甲壳类、昆虫为食，昼行。</w:t>
            </w:r>
          </w:p>
          <w:p w14:paraId="63EA626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鸮形目：共2种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领角鸮、斑头鸺鹠），均为国家二级重点保护野生动物，主要分布于评价区中段次生阔叶林及针叶林，夜间活动，以啮齿类、昆虫为食，种群数量较少，活动隐蔽。</w:t>
            </w:r>
          </w:p>
          <w:p w14:paraId="13C97251">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雀形目：共约16种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喜鹊、灰喜鹊、红嘴蓝鹊、大山雀、乌鸫、麻雀、白腰文鸟、金翅雀、黑枕黄鹂、红尾伯劳、棕背伯劳、黑卷尾、灰卷尾、白鹡鸰、黄鹡鸰、暗绿绣眼鸟等），主要分布于次生阔叶林、针叶林及经济林中，以植物果实、昆虫为食，活动时间以白天为主。麻雀、家燕为评价区优势种，广泛分布于村落及农田区域。据历史资料，安宁市曾有白鹇在八街等地出现的记录；安宁市八街街道还分布有蓝喉太阳鸟等美丽鸟类。</w:t>
            </w:r>
          </w:p>
          <w:p w14:paraId="569C2FBD">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lang w:val="en-US" w:eastAsia="zh-CN"/>
              </w:rPr>
              <w:t>爬行纲动物</w:t>
            </w:r>
          </w:p>
          <w:p w14:paraId="39069AC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爬行纲动物共约8种，主要为蜥蜴类、壁虎类及蛇类，分布与温度、湿度及生境隐蔽性密切相关。</w:t>
            </w:r>
          </w:p>
          <w:p w14:paraId="38C5386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壁虎类：共1种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无蹼壁虎），栖息于村落墙壁、石缝及灌草丛，夜行，以小型昆虫为食，在村落周边较常见。</w:t>
            </w:r>
          </w:p>
          <w:p w14:paraId="7CA31CF9">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蜥蜴类：共2种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丽纹龙蜥、石龙子）。丽纹龙蜥为中国特有物种，多栖息于山地林间、乔木枝干、灌木丛及林缘地带，呈零散分布；石龙子分布于灌草丛、田埂及岩壁周边，以昆虫为食，白天活动。</w:t>
            </w:r>
          </w:p>
          <w:p w14:paraId="53C3F069">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蛇类：共5种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紫灰锦蛇、黑眉锦蛇、赤链蛇、翠青蛇、舟山眼镜蛇），分布于林下、灌草丛、农田及水域周边，以啮齿类、两栖类为食。其中舟山眼镜蛇为国家“三有”保护动物，属易危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VU）物种，主要分布于灌草丛及林缘，隐蔽性强，本次调查仅见少量个体。</w:t>
            </w:r>
          </w:p>
          <w:p w14:paraId="467D1BF4">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lang w:val="en-US" w:eastAsia="zh-CN"/>
              </w:rPr>
              <w:t>两栖纲动物</w:t>
            </w:r>
          </w:p>
          <w:p w14:paraId="10D31A48">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两栖纲动物共约6种，均为无尾目蛙类及蟾蜍类，对水生生境依赖性强，主要分布于水域周边及潮湿环境中。</w:t>
            </w:r>
          </w:p>
          <w:p w14:paraId="06FC9A7E">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蟾蜍类：共2种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中华大蟾蜍、黑眶蟾蜍），分布于村落、农田及水域周边，适应性强，白天多隐藏在草丛、石块下，夜间外出觅食昆虫，繁殖期</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6—8月）活动频繁。</w:t>
            </w:r>
          </w:p>
          <w:p w14:paraId="7506C9F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蛙类：共4种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黑斑蛙、泽蛙、饰纹姬蛙、虎纹蛙等）。黑斑蛙、泽蛙主要分布于水田、沟渠、塘坝等水域周边，以水生昆虫、藻类为食，繁殖期集中在夏季，活动频率高；饰纹姬蛙主要分布于林下阴湿处及灌草丛中，活动隐蔽</w:t>
            </w:r>
            <w:r>
              <w:rPr>
                <w:rFonts w:hint="eastAsia" w:ascii="Times New Roman" w:hAnsi="Times New Roman" w:eastAsia="宋体" w:cs="Times New Roman"/>
                <w:color w:val="auto"/>
                <w:sz w:val="24"/>
                <w:highlight w:val="none"/>
                <w:lang w:val="en-US" w:eastAsia="zh-CN"/>
              </w:rPr>
              <w:t>，以</w:t>
            </w:r>
            <w:r>
              <w:rPr>
                <w:rFonts w:hint="default" w:ascii="Times New Roman" w:hAnsi="Times New Roman" w:eastAsia="宋体" w:cs="Times New Roman"/>
                <w:color w:val="auto"/>
                <w:sz w:val="24"/>
                <w:highlight w:val="none"/>
                <w:lang w:val="en-US" w:eastAsia="zh-CN"/>
              </w:rPr>
              <w:t>夜间活动为主。虎纹蛙为国家二级重点保护野生动物，属濒危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EN）物种，历史上有分布记录，但本次调查在评价区内未发现实体，不构成集中分布。</w:t>
            </w:r>
          </w:p>
          <w:p w14:paraId="0A4F3159">
            <w:pPr>
              <w:tabs>
                <w:tab w:val="left" w:pos="2395"/>
              </w:tabs>
              <w:spacing w:line="360" w:lineRule="auto"/>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3.3.3.3</w:t>
            </w:r>
            <w:r>
              <w:rPr>
                <w:rFonts w:hint="default" w:ascii="Times New Roman" w:hAnsi="Times New Roman" w:eastAsia="宋体" w:cs="Times New Roman"/>
                <w:color w:val="auto"/>
                <w:sz w:val="24"/>
                <w:highlight w:val="none"/>
                <w:lang w:val="en-US" w:eastAsia="zh-CN"/>
              </w:rPr>
              <w:t>野生珍稀濒危保护动物调查</w:t>
            </w:r>
          </w:p>
          <w:p w14:paraId="4D6C3BEF">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参照《国家重点保护野生动物名录》</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2021年版）、《云南省省级重点保护野生动物名录》</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1988年）、《濒危野生动植物种国际贸易公约附录物种名录》、《世界自然保护联盟</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IUCN）濒危物种红色名录》和《中国生物多样性红色名录——脊椎动物卷》，对评价区陆生脊椎动物进行分类核查，区域内保护物种、珍稀濒危物种分布情况具体如下：</w:t>
            </w:r>
          </w:p>
          <w:p w14:paraId="522E3619">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重点保护野生动物分布：对照《国家重点保护野生动物名录》</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2021年版）、《云南省省级重点保护野生动物名录》</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1988年），评价范围共记录国家一级重点保护野生动物1种：小灵猫；国家二级重点保护野生动物3种：虎纹蛙、领角鸮、斑头鸺鹠；未发现云南省省级重点保护野生动物。</w:t>
            </w:r>
          </w:p>
          <w:p w14:paraId="42E3C10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受威胁物种分布：对照《中国生物多样性红色名录——脊椎动物卷》，评价范围内受威胁物种共4种：濒危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EN）等级有虎纹蛙，易危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VU）等级有舟山眼镜蛇，近危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NT）等级有鼬獾、小灵猫。区域内保护种共6种，其中国家一级保护种1种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小灵猫），国家二级保护种3种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虎纹蛙、领角鸮、斑头鸺鹠），另有舟山眼镜蛇、鼬獾2种。区域内中国特有物种有丽纹龙蜥1种；其余陆生脊椎动物为无危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LC）物种。</w:t>
            </w:r>
          </w:p>
          <w:p w14:paraId="32DF3CB4">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各保护物种具体特征如下：</w:t>
            </w:r>
          </w:p>
          <w:p w14:paraId="2138701C">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小灵猫</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Viverricula indica</w:t>
            </w:r>
            <w:r>
              <w:rPr>
                <w:rFonts w:hint="default" w:ascii="Times New Roman" w:hAnsi="Times New Roman" w:eastAsia="宋体" w:cs="Times New Roman"/>
                <w:color w:val="auto"/>
                <w:sz w:val="24"/>
                <w:highlight w:val="none"/>
                <w:lang w:val="en-US" w:eastAsia="zh-CN"/>
              </w:rPr>
              <w:t>）：国家一级重点保护哺乳动物，IUCN红色名录列为近危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NT）物种。分布于评价区中段次生林地、灌草丛及林缘，夜行独居，远离人类活动区。评价区内零散分布，活动范围远离施工场地，受工程影响较小。</w:t>
            </w:r>
          </w:p>
          <w:p w14:paraId="5577A3F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虎纹蛙</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Hoplobatrachus chinensis</w:t>
            </w:r>
            <w:r>
              <w:rPr>
                <w:rFonts w:hint="default" w:ascii="Times New Roman" w:hAnsi="Times New Roman" w:eastAsia="宋体" w:cs="Times New Roman"/>
                <w:color w:val="auto"/>
                <w:sz w:val="24"/>
                <w:highlight w:val="none"/>
                <w:lang w:val="en-US" w:eastAsia="zh-CN"/>
              </w:rPr>
              <w:t>）：国家二级重点保护两栖动物，IUCN红色名录列为濒危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EN）物种。主要栖息于塘坝、水田、沼泽地，在区域内呈零星分布，未形成集中种群。本次调查未发现实体，活动区域远离工程临时占地，施工扰动影响极小。</w:t>
            </w:r>
          </w:p>
          <w:p w14:paraId="2B036553">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领角鸮</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Otus lettia</w:t>
            </w:r>
            <w:r>
              <w:rPr>
                <w:rFonts w:hint="default" w:ascii="Times New Roman" w:hAnsi="Times New Roman" w:eastAsia="宋体" w:cs="Times New Roman"/>
                <w:color w:val="auto"/>
                <w:sz w:val="24"/>
                <w:highlight w:val="none"/>
                <w:lang w:val="en-US" w:eastAsia="zh-CN"/>
              </w:rPr>
              <w:t>）：国家二级重点保护鸟类。栖息于评价区中段次生阔叶林，夜间活动，种群数量较少，分布区域远离施工场地，受工程影响较小。</w:t>
            </w:r>
          </w:p>
          <w:p w14:paraId="2AD25DB3">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斑头鸺鹠</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Glaucidium cuculoides</w:t>
            </w:r>
            <w:r>
              <w:rPr>
                <w:rFonts w:hint="default" w:ascii="Times New Roman" w:hAnsi="Times New Roman" w:eastAsia="宋体" w:cs="Times New Roman"/>
                <w:color w:val="auto"/>
                <w:sz w:val="24"/>
                <w:highlight w:val="none"/>
                <w:lang w:val="en-US" w:eastAsia="zh-CN"/>
              </w:rPr>
              <w:t>）：国家二级重点保护鸟类，IUCN红色名录列为无危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LC）物种。栖息于区域中段针叶林、阔叶林内，夜行性，活动隐蔽，种群数量较少，活动范围未涉及施工扰动区。</w:t>
            </w:r>
          </w:p>
          <w:p w14:paraId="1A7BBA4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舟山眼镜蛇</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Naja atra</w:t>
            </w:r>
            <w:r>
              <w:rPr>
                <w:rFonts w:hint="default" w:ascii="Times New Roman" w:hAnsi="Times New Roman" w:eastAsia="宋体" w:cs="Times New Roman"/>
                <w:color w:val="auto"/>
                <w:sz w:val="24"/>
                <w:highlight w:val="none"/>
                <w:lang w:val="en-US" w:eastAsia="zh-CN"/>
              </w:rPr>
              <w:t>）：易危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VU）物种。主要分布于灌草丛、林缘及农田边缘，隐蔽性强，昼行、晨昏活动。本次调查仅见少量个体，远离施工区，工程建设对其影响有限。</w:t>
            </w:r>
          </w:p>
          <w:p w14:paraId="64968FF9">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鼬獾</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Melogale moschata</w:t>
            </w:r>
            <w:r>
              <w:rPr>
                <w:rFonts w:hint="default" w:ascii="Times New Roman" w:hAnsi="Times New Roman" w:eastAsia="宋体" w:cs="Times New Roman"/>
                <w:color w:val="auto"/>
                <w:sz w:val="24"/>
                <w:highlight w:val="none"/>
                <w:lang w:val="en-US" w:eastAsia="zh-CN"/>
              </w:rPr>
              <w:t>）：近危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NT）物种。栖息于低山丘陵、森林、灌丛、农田及村落周边地带，偏好地势平缓、植被茂密、临近水源的区域。评价区内零散分布，工程对其影响较小。</w:t>
            </w:r>
          </w:p>
          <w:p w14:paraId="50B1194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丽纹龙蜥：中国特有爬行动物，树栖性强，昼行，喜日光浴，评价区内零星分布，无集中种群，不在工程施工扰动范围。</w:t>
            </w:r>
          </w:p>
          <w:p w14:paraId="1BC54B16">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3.3.4</w:t>
            </w:r>
            <w:r>
              <w:rPr>
                <w:rFonts w:hint="default" w:ascii="Times New Roman" w:hAnsi="Times New Roman" w:eastAsia="宋体" w:cs="Times New Roman"/>
                <w:b/>
                <w:bCs/>
                <w:color w:val="auto"/>
                <w:sz w:val="24"/>
                <w:highlight w:val="none"/>
                <w:lang w:val="en-US" w:eastAsia="zh-CN"/>
              </w:rPr>
              <w:t>水生生物调查</w:t>
            </w:r>
          </w:p>
          <w:p w14:paraId="212281E6">
            <w:pPr>
              <w:tabs>
                <w:tab w:val="left" w:pos="2395"/>
              </w:tabs>
              <w:spacing w:line="360" w:lineRule="auto"/>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3.3.4.1</w:t>
            </w:r>
            <w:r>
              <w:rPr>
                <w:rFonts w:hint="default" w:ascii="Times New Roman" w:hAnsi="Times New Roman" w:eastAsia="宋体" w:cs="Times New Roman"/>
                <w:color w:val="auto"/>
                <w:sz w:val="24"/>
                <w:highlight w:val="none"/>
                <w:lang w:val="en-US" w:eastAsia="zh-CN"/>
              </w:rPr>
              <w:t>水域概况</w:t>
            </w:r>
          </w:p>
          <w:p w14:paraId="28B933F1">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评价区水域总面积约24.16 hm²，占评价区总面积的1.97%。水域类型包括河流水面</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14.33 hm²）、水库水面</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6.66 hm²）、坑塘水面</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2.44 hm²）及沟渠</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0.73 hm²）。主要河流为鸣矣河、八街河、小漩河、招霸河等，属长江流域金沙江水系——螳螂江流域。八街河发源于八街街道南部山区，源头为地下暗河涌出的山泉，恒温恒量，水质优良。鸣矣河为螳螂江南部支流，是安宁市重要河流之一。主要库塘有车木河水库</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八街街道）、山后水库</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县街街道）等，均为农业灌溉用途，不具备饮用功能。</w:t>
            </w:r>
          </w:p>
          <w:p w14:paraId="6DC58764">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评价区河流属高原山区性河流，水流较急，水量季节性变化明显，枯水期水量较小。</w:t>
            </w:r>
          </w:p>
          <w:p w14:paraId="5E395FE5">
            <w:pPr>
              <w:tabs>
                <w:tab w:val="left" w:pos="2395"/>
              </w:tabs>
              <w:spacing w:line="360" w:lineRule="auto"/>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3.3.4.2</w:t>
            </w:r>
            <w:r>
              <w:rPr>
                <w:rFonts w:hint="default" w:ascii="Times New Roman" w:hAnsi="Times New Roman" w:eastAsia="宋体" w:cs="Times New Roman"/>
                <w:color w:val="auto"/>
                <w:sz w:val="24"/>
                <w:highlight w:val="none"/>
                <w:lang w:val="en-US" w:eastAsia="zh-CN"/>
              </w:rPr>
              <w:t>调查方法</w:t>
            </w:r>
          </w:p>
          <w:p w14:paraId="0A36D78D">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水生生物调查采用样线法、样点法、捕捞调查及资料收集相结合的方法。沿河流、库塘岸线设置调查断面，采集浮游生物、底栖动物及鱼类样品，结合《安宁市渔业资源调查报告》、《安宁市水利志》等历史资料，综合评估评价区水生生物资源现状。</w:t>
            </w:r>
          </w:p>
          <w:p w14:paraId="155869E7">
            <w:pPr>
              <w:tabs>
                <w:tab w:val="left" w:pos="2395"/>
              </w:tabs>
              <w:spacing w:line="360" w:lineRule="auto"/>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lang w:val="en-US" w:eastAsia="zh-CN"/>
              </w:rPr>
              <w:t>浮游植物</w:t>
            </w:r>
          </w:p>
          <w:p w14:paraId="5395EECF">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评价区共记录浮游植物约30种，以硅藻门和绿藻门为主。</w:t>
            </w:r>
          </w:p>
          <w:p w14:paraId="5E0B2CB1">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硅藻门</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Bacillariophyta</w:t>
            </w:r>
            <w:r>
              <w:rPr>
                <w:rFonts w:hint="default" w:ascii="Times New Roman" w:hAnsi="Times New Roman" w:eastAsia="宋体" w:cs="Times New Roman"/>
                <w:color w:val="auto"/>
                <w:sz w:val="24"/>
                <w:highlight w:val="none"/>
                <w:lang w:val="en-US" w:eastAsia="zh-CN"/>
              </w:rPr>
              <w:t>）：为优势类群，常见种类有舟形藻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Navicula sp.</w:t>
            </w:r>
            <w:r>
              <w:rPr>
                <w:rFonts w:hint="default" w:ascii="Times New Roman" w:hAnsi="Times New Roman" w:eastAsia="宋体" w:cs="Times New Roman"/>
                <w:color w:val="auto"/>
                <w:sz w:val="24"/>
                <w:highlight w:val="none"/>
                <w:lang w:val="en-US" w:eastAsia="zh-CN"/>
              </w:rPr>
              <w:t>）、羽纹藻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Pinnularia sp.</w:t>
            </w:r>
            <w:r>
              <w:rPr>
                <w:rFonts w:hint="default" w:ascii="Times New Roman" w:hAnsi="Times New Roman" w:eastAsia="宋体" w:cs="Times New Roman"/>
                <w:color w:val="auto"/>
                <w:sz w:val="24"/>
                <w:highlight w:val="none"/>
                <w:lang w:val="en-US" w:eastAsia="zh-CN"/>
              </w:rPr>
              <w:t>）、直链藻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Melosira sp.</w:t>
            </w:r>
            <w:r>
              <w:rPr>
                <w:rFonts w:hint="default" w:ascii="Times New Roman" w:hAnsi="Times New Roman" w:eastAsia="宋体" w:cs="Times New Roman"/>
                <w:color w:val="auto"/>
                <w:sz w:val="24"/>
                <w:highlight w:val="none"/>
                <w:lang w:val="en-US" w:eastAsia="zh-CN"/>
              </w:rPr>
              <w:t>）、针杆藻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Synedra sp.</w:t>
            </w:r>
            <w:r>
              <w:rPr>
                <w:rFonts w:hint="default" w:ascii="Times New Roman" w:hAnsi="Times New Roman" w:eastAsia="宋体" w:cs="Times New Roman"/>
                <w:color w:val="auto"/>
                <w:sz w:val="24"/>
                <w:highlight w:val="none"/>
                <w:lang w:val="en-US" w:eastAsia="zh-CN"/>
              </w:rPr>
              <w:t>）、脆杆藻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Fragilaria sp.</w:t>
            </w:r>
            <w:r>
              <w:rPr>
                <w:rFonts w:hint="default" w:ascii="Times New Roman" w:hAnsi="Times New Roman" w:eastAsia="宋体" w:cs="Times New Roman"/>
                <w:color w:val="auto"/>
                <w:sz w:val="24"/>
                <w:highlight w:val="none"/>
                <w:lang w:val="en-US" w:eastAsia="zh-CN"/>
              </w:rPr>
              <w:t>）等。河流段以硅藻占绝对优势，反映水质较好。</w:t>
            </w:r>
          </w:p>
          <w:p w14:paraId="3859C88A">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绿藻门</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Chlorophyta</w:t>
            </w:r>
            <w:r>
              <w:rPr>
                <w:rFonts w:hint="default" w:ascii="Times New Roman" w:hAnsi="Times New Roman" w:eastAsia="宋体" w:cs="Times New Roman"/>
                <w:color w:val="auto"/>
                <w:sz w:val="24"/>
                <w:highlight w:val="none"/>
                <w:lang w:val="en-US" w:eastAsia="zh-CN"/>
              </w:rPr>
              <w:t>）：常见种类有栅藻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Scenedesmus sp.</w:t>
            </w:r>
            <w:r>
              <w:rPr>
                <w:rFonts w:hint="default" w:ascii="Times New Roman" w:hAnsi="Times New Roman" w:eastAsia="宋体" w:cs="Times New Roman"/>
                <w:color w:val="auto"/>
                <w:sz w:val="24"/>
                <w:highlight w:val="none"/>
                <w:lang w:val="en-US" w:eastAsia="zh-CN"/>
              </w:rPr>
              <w:t>）、盘星藻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Pediastrum sp.</w:t>
            </w:r>
            <w:r>
              <w:rPr>
                <w:rFonts w:hint="default" w:ascii="Times New Roman" w:hAnsi="Times New Roman" w:eastAsia="宋体" w:cs="Times New Roman"/>
                <w:color w:val="auto"/>
                <w:sz w:val="24"/>
                <w:highlight w:val="none"/>
                <w:lang w:val="en-US" w:eastAsia="zh-CN"/>
              </w:rPr>
              <w:t>）、小球藻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Chlorella sp.</w:t>
            </w:r>
            <w:r>
              <w:rPr>
                <w:rFonts w:hint="default" w:ascii="Times New Roman" w:hAnsi="Times New Roman" w:eastAsia="宋体" w:cs="Times New Roman"/>
                <w:color w:val="auto"/>
                <w:sz w:val="24"/>
                <w:highlight w:val="none"/>
                <w:lang w:val="en-US" w:eastAsia="zh-CN"/>
              </w:rPr>
              <w:t>）、月牙藻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Selenastrum sp.</w:t>
            </w:r>
            <w:r>
              <w:rPr>
                <w:rFonts w:hint="default" w:ascii="Times New Roman" w:hAnsi="Times New Roman" w:eastAsia="宋体" w:cs="Times New Roman"/>
                <w:color w:val="auto"/>
                <w:sz w:val="24"/>
                <w:highlight w:val="none"/>
                <w:lang w:val="en-US" w:eastAsia="zh-CN"/>
              </w:rPr>
              <w:t>）、水绵</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Spirogyra sp.</w:t>
            </w:r>
            <w:r>
              <w:rPr>
                <w:rFonts w:hint="default" w:ascii="Times New Roman" w:hAnsi="Times New Roman" w:eastAsia="宋体" w:cs="Times New Roman"/>
                <w:color w:val="auto"/>
                <w:sz w:val="24"/>
                <w:highlight w:val="none"/>
                <w:lang w:val="en-US" w:eastAsia="zh-CN"/>
              </w:rPr>
              <w:t>）等。静水区域绿藻比例相对较高。</w:t>
            </w:r>
          </w:p>
          <w:p w14:paraId="23C8C64F">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蓝藻门</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Cyanophyta）</w:t>
            </w:r>
            <w:r>
              <w:rPr>
                <w:rFonts w:hint="default" w:ascii="Times New Roman" w:hAnsi="Times New Roman" w:eastAsia="宋体" w:cs="Times New Roman"/>
                <w:color w:val="auto"/>
                <w:sz w:val="24"/>
                <w:highlight w:val="none"/>
                <w:lang w:val="en-US" w:eastAsia="zh-CN"/>
              </w:rPr>
              <w:t>：常见种类有微囊藻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Microcystis sp.</w:t>
            </w:r>
            <w:r>
              <w:rPr>
                <w:rFonts w:hint="default" w:ascii="Times New Roman" w:hAnsi="Times New Roman" w:eastAsia="宋体" w:cs="Times New Roman"/>
                <w:color w:val="auto"/>
                <w:sz w:val="24"/>
                <w:highlight w:val="none"/>
                <w:lang w:val="en-US" w:eastAsia="zh-CN"/>
              </w:rPr>
              <w:t>）、颤藻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Oscillatoria sp.</w:t>
            </w:r>
            <w:r>
              <w:rPr>
                <w:rFonts w:hint="default" w:ascii="Times New Roman" w:hAnsi="Times New Roman" w:eastAsia="宋体" w:cs="Times New Roman"/>
                <w:color w:val="auto"/>
                <w:sz w:val="24"/>
                <w:highlight w:val="none"/>
                <w:lang w:val="en-US" w:eastAsia="zh-CN"/>
              </w:rPr>
              <w:t>）、鱼腥藻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Anabaena sp.</w:t>
            </w:r>
            <w:r>
              <w:rPr>
                <w:rFonts w:hint="default" w:ascii="Times New Roman" w:hAnsi="Times New Roman" w:eastAsia="宋体" w:cs="Times New Roman"/>
                <w:color w:val="auto"/>
                <w:sz w:val="24"/>
                <w:highlight w:val="none"/>
                <w:lang w:val="en-US" w:eastAsia="zh-CN"/>
              </w:rPr>
              <w:t>）等。受农业面源污染影响，局部水体夏季高温期蓝藻门数量有所增加。</w:t>
            </w:r>
          </w:p>
          <w:p w14:paraId="178FAD2B">
            <w:pPr>
              <w:tabs>
                <w:tab w:val="left" w:pos="2395"/>
              </w:tabs>
              <w:spacing w:line="360" w:lineRule="auto"/>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（2）</w:t>
            </w:r>
            <w:r>
              <w:rPr>
                <w:rFonts w:hint="default" w:ascii="Times New Roman" w:hAnsi="Times New Roman" w:eastAsia="宋体" w:cs="Times New Roman"/>
                <w:color w:val="auto"/>
                <w:sz w:val="24"/>
                <w:highlight w:val="none"/>
                <w:lang w:val="en-US" w:eastAsia="zh-CN"/>
              </w:rPr>
              <w:t>浮游动物</w:t>
            </w:r>
          </w:p>
          <w:p w14:paraId="70A76058">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评价区共记录浮游动物约20种，以原生动物和轮虫为主。</w:t>
            </w:r>
          </w:p>
          <w:p w14:paraId="454912C2">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原生动物</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Protozoa</w:t>
            </w:r>
            <w:r>
              <w:rPr>
                <w:rFonts w:hint="default" w:ascii="Times New Roman" w:hAnsi="Times New Roman" w:eastAsia="宋体" w:cs="Times New Roman"/>
                <w:color w:val="auto"/>
                <w:sz w:val="24"/>
                <w:highlight w:val="none"/>
                <w:lang w:val="en-US" w:eastAsia="zh-CN"/>
              </w:rPr>
              <w:t>）： 常见种类有钟虫</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Vorticella sp.</w:t>
            </w:r>
            <w:r>
              <w:rPr>
                <w:rFonts w:hint="default" w:ascii="Times New Roman" w:hAnsi="Times New Roman" w:eastAsia="宋体" w:cs="Times New Roman"/>
                <w:color w:val="auto"/>
                <w:sz w:val="24"/>
                <w:highlight w:val="none"/>
                <w:lang w:val="en-US" w:eastAsia="zh-CN"/>
              </w:rPr>
              <w:t>）、砂壳虫</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Difflugia sp.</w:t>
            </w:r>
            <w:r>
              <w:rPr>
                <w:rFonts w:hint="default" w:ascii="Times New Roman" w:hAnsi="Times New Roman" w:eastAsia="宋体" w:cs="Times New Roman"/>
                <w:color w:val="auto"/>
                <w:sz w:val="24"/>
                <w:highlight w:val="none"/>
                <w:lang w:val="en-US" w:eastAsia="zh-CN"/>
              </w:rPr>
              <w:t>）等。</w:t>
            </w:r>
          </w:p>
          <w:p w14:paraId="58B7338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轮虫类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Rotifera</w:t>
            </w:r>
            <w:r>
              <w:rPr>
                <w:rFonts w:hint="default" w:ascii="Times New Roman" w:hAnsi="Times New Roman" w:eastAsia="宋体" w:cs="Times New Roman"/>
                <w:color w:val="auto"/>
                <w:sz w:val="24"/>
                <w:highlight w:val="none"/>
                <w:lang w:val="en-US" w:eastAsia="zh-CN"/>
              </w:rPr>
              <w:t>）： 常见种类有臂尾轮虫</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Brachionus sp.</w:t>
            </w:r>
            <w:r>
              <w:rPr>
                <w:rFonts w:hint="default" w:ascii="Times New Roman" w:hAnsi="Times New Roman" w:eastAsia="宋体" w:cs="Times New Roman"/>
                <w:color w:val="auto"/>
                <w:sz w:val="24"/>
                <w:highlight w:val="none"/>
                <w:lang w:val="en-US" w:eastAsia="zh-CN"/>
              </w:rPr>
              <w:t>）、龟甲轮虫</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Keratella sp.</w:t>
            </w:r>
            <w:r>
              <w:rPr>
                <w:rFonts w:hint="default" w:ascii="Times New Roman" w:hAnsi="Times New Roman" w:eastAsia="宋体" w:cs="Times New Roman"/>
                <w:color w:val="auto"/>
                <w:sz w:val="24"/>
                <w:highlight w:val="none"/>
                <w:lang w:val="en-US" w:eastAsia="zh-CN"/>
              </w:rPr>
              <w:t>）、多肢轮虫</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Polyarthra sp.</w:t>
            </w:r>
            <w:r>
              <w:rPr>
                <w:rFonts w:hint="default" w:ascii="Times New Roman" w:hAnsi="Times New Roman" w:eastAsia="宋体" w:cs="Times New Roman"/>
                <w:color w:val="auto"/>
                <w:sz w:val="24"/>
                <w:highlight w:val="none"/>
                <w:lang w:val="en-US" w:eastAsia="zh-CN"/>
              </w:rPr>
              <w:t>）、晶囊轮虫</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Asplanchna sp.</w:t>
            </w:r>
            <w:r>
              <w:rPr>
                <w:rFonts w:hint="default" w:ascii="Times New Roman" w:hAnsi="Times New Roman" w:eastAsia="宋体" w:cs="Times New Roman"/>
                <w:color w:val="auto"/>
                <w:sz w:val="24"/>
                <w:highlight w:val="none"/>
                <w:lang w:val="en-US" w:eastAsia="zh-CN"/>
              </w:rPr>
              <w:t>）、三肢轮虫</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Filinia sp.</w:t>
            </w:r>
            <w:r>
              <w:rPr>
                <w:rFonts w:hint="default" w:ascii="Times New Roman" w:hAnsi="Times New Roman" w:eastAsia="宋体" w:cs="Times New Roman"/>
                <w:color w:val="auto"/>
                <w:sz w:val="24"/>
                <w:highlight w:val="none"/>
                <w:lang w:val="en-US" w:eastAsia="zh-CN"/>
              </w:rPr>
              <w:t>）等。</w:t>
            </w:r>
          </w:p>
          <w:p w14:paraId="1CA8BB6A">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枝角类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Cladocera</w:t>
            </w:r>
            <w:r>
              <w:rPr>
                <w:rFonts w:hint="default" w:ascii="Times New Roman" w:hAnsi="Times New Roman" w:eastAsia="宋体" w:cs="Times New Roman"/>
                <w:color w:val="auto"/>
                <w:sz w:val="24"/>
                <w:highlight w:val="none"/>
                <w:lang w:val="en-US" w:eastAsia="zh-CN"/>
              </w:rPr>
              <w:t>）： 常见种类有蚤状溞</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Daphnia pulex</w:t>
            </w:r>
            <w:r>
              <w:rPr>
                <w:rFonts w:hint="default" w:ascii="Times New Roman" w:hAnsi="Times New Roman" w:eastAsia="宋体" w:cs="Times New Roman"/>
                <w:color w:val="auto"/>
                <w:sz w:val="24"/>
                <w:highlight w:val="none"/>
                <w:lang w:val="en-US" w:eastAsia="zh-CN"/>
              </w:rPr>
              <w:t>）、大型溞</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Daphnia magna</w:t>
            </w:r>
            <w:r>
              <w:rPr>
                <w:rFonts w:hint="default" w:ascii="Times New Roman" w:hAnsi="Times New Roman" w:eastAsia="宋体" w:cs="Times New Roman"/>
                <w:color w:val="auto"/>
                <w:sz w:val="24"/>
                <w:highlight w:val="none"/>
                <w:lang w:val="en-US" w:eastAsia="zh-CN"/>
              </w:rPr>
              <w:t>）、隆线溞</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Daphnia carinata</w:t>
            </w:r>
            <w:r>
              <w:rPr>
                <w:rFonts w:hint="default" w:ascii="Times New Roman" w:hAnsi="Times New Roman" w:eastAsia="宋体" w:cs="Times New Roman"/>
                <w:color w:val="auto"/>
                <w:sz w:val="24"/>
                <w:highlight w:val="none"/>
                <w:lang w:val="en-US" w:eastAsia="zh-CN"/>
              </w:rPr>
              <w:t>）等。</w:t>
            </w:r>
          </w:p>
          <w:p w14:paraId="6A5D3E9C">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桡足类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Copepoda</w:t>
            </w:r>
            <w:r>
              <w:rPr>
                <w:rFonts w:hint="default" w:ascii="Times New Roman" w:hAnsi="Times New Roman" w:eastAsia="宋体" w:cs="Times New Roman"/>
                <w:color w:val="auto"/>
                <w:sz w:val="24"/>
                <w:highlight w:val="none"/>
                <w:lang w:val="en-US" w:eastAsia="zh-CN"/>
              </w:rPr>
              <w:t>）： 常见种类有剑水蚤</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Cyclops sp.</w:t>
            </w:r>
            <w:r>
              <w:rPr>
                <w:rFonts w:hint="default" w:ascii="Times New Roman" w:hAnsi="Times New Roman" w:eastAsia="宋体" w:cs="Times New Roman"/>
                <w:color w:val="auto"/>
                <w:sz w:val="24"/>
                <w:highlight w:val="none"/>
                <w:lang w:val="en-US" w:eastAsia="zh-CN"/>
              </w:rPr>
              <w:t>）、哲水蚤</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Calanus sp.</w:t>
            </w:r>
            <w:r>
              <w:rPr>
                <w:rFonts w:hint="default" w:ascii="Times New Roman" w:hAnsi="Times New Roman" w:eastAsia="宋体" w:cs="Times New Roman"/>
                <w:color w:val="auto"/>
                <w:sz w:val="24"/>
                <w:highlight w:val="none"/>
                <w:lang w:val="en-US" w:eastAsia="zh-CN"/>
              </w:rPr>
              <w:t>）等。</w:t>
            </w:r>
          </w:p>
          <w:p w14:paraId="6F49D393">
            <w:pPr>
              <w:tabs>
                <w:tab w:val="left" w:pos="2395"/>
              </w:tabs>
              <w:spacing w:line="360" w:lineRule="auto"/>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lang w:val="en-US" w:eastAsia="zh-CN"/>
              </w:rPr>
              <w:t>底栖动物</w:t>
            </w:r>
          </w:p>
          <w:p w14:paraId="1C4066B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评价区共记录底栖动物约18种，以水生昆虫幼虫和软体动物为主。</w:t>
            </w:r>
          </w:p>
          <w:p w14:paraId="5ED583CE">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水生昆虫幼虫：主要有摇蚊幼虫</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Chironomus sp.</w:t>
            </w:r>
            <w:r>
              <w:rPr>
                <w:rFonts w:hint="default" w:ascii="Times New Roman" w:hAnsi="Times New Roman" w:eastAsia="宋体" w:cs="Times New Roman"/>
                <w:color w:val="auto"/>
                <w:sz w:val="24"/>
                <w:highlight w:val="none"/>
                <w:lang w:val="en-US" w:eastAsia="zh-CN"/>
              </w:rPr>
              <w:t>）、蜻蜓稚虫、蜉蝣稚虫、石蛾幼虫等。河流段以蜉蝣稚虫等清洁种类为主；库塘静水区域以摇蚊幼虫、水蚯蚓等耐污种类为优势类群。</w:t>
            </w:r>
          </w:p>
          <w:p w14:paraId="27E23A6F">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软体动物</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Mollusca</w:t>
            </w:r>
            <w:r>
              <w:rPr>
                <w:rFonts w:hint="default" w:ascii="Times New Roman" w:hAnsi="Times New Roman" w:eastAsia="宋体" w:cs="Times New Roman"/>
                <w:color w:val="auto"/>
                <w:sz w:val="24"/>
                <w:highlight w:val="none"/>
                <w:lang w:val="en-US" w:eastAsia="zh-CN"/>
              </w:rPr>
              <w:t>）：主要有萝卜螺</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Radix sp.</w:t>
            </w:r>
            <w:r>
              <w:rPr>
                <w:rFonts w:hint="default" w:ascii="Times New Roman" w:hAnsi="Times New Roman" w:eastAsia="宋体" w:cs="Times New Roman"/>
                <w:color w:val="auto"/>
                <w:sz w:val="24"/>
                <w:highlight w:val="none"/>
                <w:lang w:val="en-US" w:eastAsia="zh-CN"/>
              </w:rPr>
              <w:t>）、膀胱螺</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Physa sp.</w:t>
            </w:r>
            <w:r>
              <w:rPr>
                <w:rFonts w:hint="default" w:ascii="Times New Roman" w:hAnsi="Times New Roman" w:eastAsia="宋体" w:cs="Times New Roman"/>
                <w:color w:val="auto"/>
                <w:sz w:val="24"/>
                <w:highlight w:val="none"/>
                <w:lang w:val="en-US" w:eastAsia="zh-CN"/>
              </w:rPr>
              <w:t>）、河蚬</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Corbicula fluminea</w:t>
            </w:r>
            <w:r>
              <w:rPr>
                <w:rFonts w:hint="default" w:ascii="Times New Roman" w:hAnsi="Times New Roman" w:eastAsia="宋体" w:cs="Times New Roman"/>
                <w:color w:val="auto"/>
                <w:sz w:val="24"/>
                <w:highlight w:val="none"/>
                <w:lang w:val="en-US" w:eastAsia="zh-CN"/>
              </w:rPr>
              <w:t>）、田螺</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Cipangopaludina sp.</w:t>
            </w:r>
            <w:r>
              <w:rPr>
                <w:rFonts w:hint="default" w:ascii="Times New Roman" w:hAnsi="Times New Roman" w:eastAsia="宋体" w:cs="Times New Roman"/>
                <w:color w:val="auto"/>
                <w:sz w:val="24"/>
                <w:highlight w:val="none"/>
                <w:lang w:val="en-US" w:eastAsia="zh-CN"/>
              </w:rPr>
              <w:t>）等。八街河源头水质清澈，螺类分布较多。</w:t>
            </w:r>
          </w:p>
          <w:p w14:paraId="01DB31E7">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甲壳类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Crustacea</w:t>
            </w:r>
            <w:r>
              <w:rPr>
                <w:rFonts w:hint="default" w:ascii="Times New Roman" w:hAnsi="Times New Roman" w:eastAsia="宋体" w:cs="Times New Roman"/>
                <w:color w:val="auto"/>
                <w:sz w:val="24"/>
                <w:highlight w:val="none"/>
                <w:lang w:val="en-US" w:eastAsia="zh-CN"/>
              </w:rPr>
              <w:t>）：主要有虾类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Macrobrachium sp.</w:t>
            </w:r>
            <w:r>
              <w:rPr>
                <w:rFonts w:hint="default" w:ascii="Times New Roman" w:hAnsi="Times New Roman" w:eastAsia="宋体" w:cs="Times New Roman"/>
                <w:color w:val="auto"/>
                <w:sz w:val="24"/>
                <w:highlight w:val="none"/>
                <w:lang w:val="en-US" w:eastAsia="zh-CN"/>
              </w:rPr>
              <w:t>）、蟹类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Sinopotamon sp.</w:t>
            </w:r>
            <w:r>
              <w:rPr>
                <w:rFonts w:hint="default" w:ascii="Times New Roman" w:hAnsi="Times New Roman" w:eastAsia="宋体" w:cs="Times New Roman"/>
                <w:color w:val="auto"/>
                <w:sz w:val="24"/>
                <w:highlight w:val="none"/>
                <w:lang w:val="en-US" w:eastAsia="zh-CN"/>
              </w:rPr>
              <w:t>）等，分布于水库及缓流河段。</w:t>
            </w:r>
          </w:p>
          <w:p w14:paraId="358DF71E">
            <w:pPr>
              <w:tabs>
                <w:tab w:val="left" w:pos="2395"/>
              </w:tabs>
              <w:spacing w:line="360" w:lineRule="auto"/>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lang w:val="en-US" w:eastAsia="zh-CN"/>
              </w:rPr>
              <w:t>鱼类</w:t>
            </w:r>
          </w:p>
          <w:p w14:paraId="7A20BA2E">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评价区共记录鱼类约15种，以鲤科</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Cyprinidae</w:t>
            </w:r>
            <w:r>
              <w:rPr>
                <w:rFonts w:hint="default" w:ascii="Times New Roman" w:hAnsi="Times New Roman" w:eastAsia="宋体" w:cs="Times New Roman"/>
                <w:color w:val="auto"/>
                <w:sz w:val="24"/>
                <w:highlight w:val="none"/>
                <w:lang w:val="en-US" w:eastAsia="zh-CN"/>
              </w:rPr>
              <w:t>）鱼类为主，为滇中高原常见广布种。常见种类如下：</w:t>
            </w:r>
          </w:p>
          <w:p w14:paraId="5523A6F6">
            <w:pPr>
              <w:tabs>
                <w:tab w:val="left" w:pos="2395"/>
              </w:tabs>
              <w:spacing w:line="360" w:lineRule="auto"/>
              <w:jc w:val="center"/>
              <w:rPr>
                <w:rFonts w:hint="eastAsia"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表3-5   评价区</w:t>
            </w:r>
            <w:r>
              <w:rPr>
                <w:rFonts w:hint="default" w:ascii="Times New Roman" w:hAnsi="Times New Roman" w:eastAsia="宋体" w:cs="Times New Roman"/>
                <w:b/>
                <w:bCs/>
                <w:color w:val="auto"/>
                <w:sz w:val="24"/>
                <w:highlight w:val="none"/>
                <w:lang w:val="en-US" w:eastAsia="zh-CN"/>
              </w:rPr>
              <w:t>常见</w:t>
            </w:r>
            <w:r>
              <w:rPr>
                <w:rFonts w:hint="eastAsia" w:ascii="Times New Roman" w:hAnsi="Times New Roman" w:eastAsia="宋体" w:cs="Times New Roman"/>
                <w:b/>
                <w:bCs/>
                <w:color w:val="auto"/>
                <w:sz w:val="24"/>
                <w:highlight w:val="none"/>
                <w:lang w:val="en-US" w:eastAsia="zh-CN"/>
              </w:rPr>
              <w:t>鱼类统计</w:t>
            </w:r>
          </w:p>
          <w:tbl>
            <w:tblPr>
              <w:tblStyle w:val="27"/>
              <w:tblW w:w="8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0"/>
              <w:gridCol w:w="2741"/>
              <w:gridCol w:w="2741"/>
            </w:tblGrid>
            <w:tr w14:paraId="7672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8" w:type="dxa"/>
                  <w:shd w:val="clear" w:color="auto" w:fill="auto"/>
                  <w:vAlign w:val="center"/>
                </w:tcPr>
                <w:p w14:paraId="575BF1C7">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中文名称</w:t>
                  </w:r>
                </w:p>
              </w:tc>
              <w:tc>
                <w:tcPr>
                  <w:tcW w:w="2738" w:type="dxa"/>
                  <w:shd w:val="clear" w:color="auto" w:fill="auto"/>
                  <w:vAlign w:val="center"/>
                </w:tcPr>
                <w:p w14:paraId="00BC37B6">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学名</w:t>
                  </w:r>
                </w:p>
              </w:tc>
              <w:tc>
                <w:tcPr>
                  <w:tcW w:w="2738" w:type="dxa"/>
                  <w:shd w:val="clear" w:color="auto" w:fill="auto"/>
                  <w:vAlign w:val="center"/>
                </w:tcPr>
                <w:p w14:paraId="1EC4CA09">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分布</w:t>
                  </w:r>
                </w:p>
              </w:tc>
            </w:tr>
            <w:tr w14:paraId="43DC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8" w:type="dxa"/>
                  <w:shd w:val="clear" w:color="auto" w:fill="auto"/>
                  <w:vAlign w:val="center"/>
                </w:tcPr>
                <w:p w14:paraId="7BD0F7CA">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鲫</w:t>
                  </w:r>
                </w:p>
              </w:tc>
              <w:tc>
                <w:tcPr>
                  <w:tcW w:w="2738" w:type="dxa"/>
                  <w:shd w:val="clear" w:color="auto" w:fill="auto"/>
                  <w:vAlign w:val="center"/>
                </w:tcPr>
                <w:p w14:paraId="3771AE87">
                  <w:pPr>
                    <w:keepNext w:val="0"/>
                    <w:keepLines w:val="0"/>
                    <w:widowControl/>
                    <w:suppressLineNumbers w:val="0"/>
                    <w:jc w:val="center"/>
                    <w:rPr>
                      <w:rFonts w:hint="eastAsia" w:ascii="Times New Roman" w:hAnsi="Times New Roman" w:eastAsia="宋体" w:cs="Times New Roman"/>
                      <w:b w:val="0"/>
                      <w:bCs w:val="0"/>
                      <w:i/>
                      <w:iCs/>
                      <w:kern w:val="2"/>
                      <w:sz w:val="21"/>
                      <w:szCs w:val="21"/>
                      <w:lang w:val="en-US" w:eastAsia="zh-CN" w:bidi="ar-SA"/>
                    </w:rPr>
                  </w:pPr>
                  <w:r>
                    <w:rPr>
                      <w:rFonts w:hint="default" w:ascii="Times New Roman" w:hAnsi="Times New Roman" w:eastAsia="宋体" w:cs="Times New Roman"/>
                      <w:b w:val="0"/>
                      <w:bCs w:val="0"/>
                      <w:i/>
                      <w:iCs/>
                      <w:kern w:val="0"/>
                      <w:sz w:val="21"/>
                      <w:szCs w:val="21"/>
                      <w:lang w:val="en-US" w:eastAsia="zh-CN" w:bidi="ar"/>
                    </w:rPr>
                    <w:t>Carassius auratus</w:t>
                  </w:r>
                </w:p>
              </w:tc>
              <w:tc>
                <w:tcPr>
                  <w:tcW w:w="2738" w:type="dxa"/>
                  <w:shd w:val="clear" w:color="auto" w:fill="auto"/>
                  <w:vAlign w:val="center"/>
                </w:tcPr>
                <w:p w14:paraId="1B4C7143">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广布于河流、库塘、水田</w:t>
                  </w:r>
                </w:p>
              </w:tc>
            </w:tr>
            <w:tr w14:paraId="594E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8" w:type="dxa"/>
                  <w:shd w:val="clear" w:color="auto" w:fill="auto"/>
                  <w:vAlign w:val="center"/>
                </w:tcPr>
                <w:p w14:paraId="3BDBFEA5">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鲤</w:t>
                  </w:r>
                </w:p>
              </w:tc>
              <w:tc>
                <w:tcPr>
                  <w:tcW w:w="2738" w:type="dxa"/>
                  <w:shd w:val="clear" w:color="auto" w:fill="auto"/>
                  <w:vAlign w:val="center"/>
                </w:tcPr>
                <w:p w14:paraId="304B86E0">
                  <w:pPr>
                    <w:keepNext w:val="0"/>
                    <w:keepLines w:val="0"/>
                    <w:widowControl/>
                    <w:suppressLineNumbers w:val="0"/>
                    <w:jc w:val="center"/>
                    <w:rPr>
                      <w:rFonts w:hint="eastAsia" w:ascii="Times New Roman" w:hAnsi="Times New Roman" w:eastAsia="宋体" w:cs="Times New Roman"/>
                      <w:b w:val="0"/>
                      <w:bCs w:val="0"/>
                      <w:i/>
                      <w:iCs/>
                      <w:kern w:val="2"/>
                      <w:sz w:val="21"/>
                      <w:szCs w:val="21"/>
                      <w:lang w:val="en-US" w:eastAsia="zh-CN" w:bidi="ar-SA"/>
                    </w:rPr>
                  </w:pPr>
                  <w:r>
                    <w:rPr>
                      <w:rFonts w:hint="default" w:ascii="Times New Roman" w:hAnsi="Times New Roman" w:eastAsia="宋体" w:cs="Times New Roman"/>
                      <w:b w:val="0"/>
                      <w:bCs w:val="0"/>
                      <w:i/>
                      <w:iCs/>
                      <w:kern w:val="0"/>
                      <w:sz w:val="21"/>
                      <w:szCs w:val="21"/>
                      <w:lang w:val="en-US" w:eastAsia="zh-CN" w:bidi="ar"/>
                    </w:rPr>
                    <w:t>Cyprinus carpio</w:t>
                  </w:r>
                </w:p>
              </w:tc>
              <w:tc>
                <w:tcPr>
                  <w:tcW w:w="2738" w:type="dxa"/>
                  <w:shd w:val="clear" w:color="auto" w:fill="auto"/>
                  <w:vAlign w:val="center"/>
                </w:tcPr>
                <w:p w14:paraId="31DABD1A">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广布于河流、库塘</w:t>
                  </w:r>
                </w:p>
              </w:tc>
            </w:tr>
            <w:tr w14:paraId="0742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8" w:type="dxa"/>
                  <w:shd w:val="clear" w:color="auto" w:fill="auto"/>
                  <w:vAlign w:val="center"/>
                </w:tcPr>
                <w:p w14:paraId="20502DEA">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草鱼</w:t>
                  </w:r>
                </w:p>
              </w:tc>
              <w:tc>
                <w:tcPr>
                  <w:tcW w:w="2738" w:type="dxa"/>
                  <w:shd w:val="clear" w:color="auto" w:fill="auto"/>
                  <w:vAlign w:val="center"/>
                </w:tcPr>
                <w:p w14:paraId="0F9AD6D6">
                  <w:pPr>
                    <w:keepNext w:val="0"/>
                    <w:keepLines w:val="0"/>
                    <w:widowControl/>
                    <w:suppressLineNumbers w:val="0"/>
                    <w:jc w:val="center"/>
                    <w:rPr>
                      <w:rFonts w:hint="eastAsia" w:ascii="Times New Roman" w:hAnsi="Times New Roman" w:eastAsia="宋体" w:cs="Times New Roman"/>
                      <w:b w:val="0"/>
                      <w:bCs w:val="0"/>
                      <w:i/>
                      <w:iCs/>
                      <w:kern w:val="2"/>
                      <w:sz w:val="21"/>
                      <w:szCs w:val="21"/>
                      <w:lang w:val="en-US" w:eastAsia="zh-CN" w:bidi="ar-SA"/>
                    </w:rPr>
                  </w:pPr>
                  <w:r>
                    <w:rPr>
                      <w:rFonts w:hint="default" w:ascii="Times New Roman" w:hAnsi="Times New Roman" w:eastAsia="宋体" w:cs="Times New Roman"/>
                      <w:b w:val="0"/>
                      <w:bCs w:val="0"/>
                      <w:i/>
                      <w:iCs/>
                      <w:kern w:val="0"/>
                      <w:sz w:val="21"/>
                      <w:szCs w:val="21"/>
                      <w:lang w:val="en-US" w:eastAsia="zh-CN" w:bidi="ar"/>
                    </w:rPr>
                    <w:t>Ctenopharyngodon idellus</w:t>
                  </w:r>
                </w:p>
              </w:tc>
              <w:tc>
                <w:tcPr>
                  <w:tcW w:w="2738" w:type="dxa"/>
                  <w:shd w:val="clear" w:color="auto" w:fill="auto"/>
                  <w:vAlign w:val="center"/>
                </w:tcPr>
                <w:p w14:paraId="2F623D0C">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水库、坑塘</w:t>
                  </w:r>
                  <w:r>
                    <w:rPr>
                      <w:rFonts w:hint="eastAsia" w:ascii="Times New Roman" w:hAnsi="Times New Roman" w:eastAsia="宋体" w:cs="Times New Roman"/>
                      <w:b w:val="0"/>
                      <w:bCs w:val="0"/>
                      <w:kern w:val="0"/>
                      <w:sz w:val="21"/>
                      <w:szCs w:val="21"/>
                      <w:lang w:val="en-US" w:eastAsia="zh-CN" w:bidi="ar"/>
                    </w:rPr>
                    <w:t>（</w:t>
                  </w:r>
                  <w:r>
                    <w:rPr>
                      <w:rFonts w:hint="default" w:ascii="Times New Roman" w:hAnsi="Times New Roman" w:eastAsia="宋体" w:cs="Times New Roman"/>
                      <w:b w:val="0"/>
                      <w:bCs w:val="0"/>
                      <w:kern w:val="0"/>
                      <w:sz w:val="21"/>
                      <w:szCs w:val="21"/>
                      <w:lang w:val="en-US" w:eastAsia="zh-CN" w:bidi="ar"/>
                    </w:rPr>
                    <w:t>人工养殖）</w:t>
                  </w:r>
                </w:p>
              </w:tc>
            </w:tr>
            <w:tr w14:paraId="3197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8" w:type="dxa"/>
                  <w:shd w:val="clear" w:color="auto" w:fill="auto"/>
                  <w:vAlign w:val="center"/>
                </w:tcPr>
                <w:p w14:paraId="5A7C44D0">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鲢</w:t>
                  </w:r>
                </w:p>
              </w:tc>
              <w:tc>
                <w:tcPr>
                  <w:tcW w:w="2738" w:type="dxa"/>
                  <w:shd w:val="clear" w:color="auto" w:fill="auto"/>
                  <w:vAlign w:val="center"/>
                </w:tcPr>
                <w:p w14:paraId="2D29D82B">
                  <w:pPr>
                    <w:keepNext w:val="0"/>
                    <w:keepLines w:val="0"/>
                    <w:widowControl/>
                    <w:suppressLineNumbers w:val="0"/>
                    <w:jc w:val="center"/>
                    <w:rPr>
                      <w:rFonts w:hint="eastAsia" w:ascii="Times New Roman" w:hAnsi="Times New Roman" w:eastAsia="宋体" w:cs="Times New Roman"/>
                      <w:b w:val="0"/>
                      <w:bCs w:val="0"/>
                      <w:i/>
                      <w:iCs/>
                      <w:kern w:val="2"/>
                      <w:sz w:val="21"/>
                      <w:szCs w:val="21"/>
                      <w:lang w:val="en-US" w:eastAsia="zh-CN" w:bidi="ar-SA"/>
                    </w:rPr>
                  </w:pPr>
                  <w:r>
                    <w:rPr>
                      <w:rFonts w:hint="default" w:ascii="Times New Roman" w:hAnsi="Times New Roman" w:eastAsia="宋体" w:cs="Times New Roman"/>
                      <w:b w:val="0"/>
                      <w:bCs w:val="0"/>
                      <w:i/>
                      <w:iCs/>
                      <w:kern w:val="0"/>
                      <w:sz w:val="21"/>
                      <w:szCs w:val="21"/>
                      <w:lang w:val="en-US" w:eastAsia="zh-CN" w:bidi="ar"/>
                    </w:rPr>
                    <w:t>Hypophthalmichthys molitrix</w:t>
                  </w:r>
                </w:p>
              </w:tc>
              <w:tc>
                <w:tcPr>
                  <w:tcW w:w="2738" w:type="dxa"/>
                  <w:shd w:val="clear" w:color="auto" w:fill="auto"/>
                  <w:vAlign w:val="center"/>
                </w:tcPr>
                <w:p w14:paraId="7D2F22C5">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水库</w:t>
                  </w:r>
                  <w:r>
                    <w:rPr>
                      <w:rFonts w:hint="eastAsia" w:ascii="Times New Roman" w:hAnsi="Times New Roman" w:eastAsia="宋体" w:cs="Times New Roman"/>
                      <w:b w:val="0"/>
                      <w:bCs w:val="0"/>
                      <w:kern w:val="0"/>
                      <w:sz w:val="21"/>
                      <w:szCs w:val="21"/>
                      <w:lang w:val="en-US" w:eastAsia="zh-CN" w:bidi="ar"/>
                    </w:rPr>
                    <w:t>（</w:t>
                  </w:r>
                  <w:r>
                    <w:rPr>
                      <w:rFonts w:hint="default" w:ascii="Times New Roman" w:hAnsi="Times New Roman" w:eastAsia="宋体" w:cs="Times New Roman"/>
                      <w:b w:val="0"/>
                      <w:bCs w:val="0"/>
                      <w:kern w:val="0"/>
                      <w:sz w:val="21"/>
                      <w:szCs w:val="21"/>
                      <w:lang w:val="en-US" w:eastAsia="zh-CN" w:bidi="ar"/>
                    </w:rPr>
                    <w:t>人工养殖）</w:t>
                  </w:r>
                </w:p>
              </w:tc>
            </w:tr>
            <w:tr w14:paraId="577B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8" w:type="dxa"/>
                  <w:shd w:val="clear" w:color="auto" w:fill="auto"/>
                  <w:vAlign w:val="center"/>
                </w:tcPr>
                <w:p w14:paraId="341FB94D">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鳙</w:t>
                  </w:r>
                </w:p>
              </w:tc>
              <w:tc>
                <w:tcPr>
                  <w:tcW w:w="2738" w:type="dxa"/>
                  <w:shd w:val="clear" w:color="auto" w:fill="auto"/>
                  <w:vAlign w:val="center"/>
                </w:tcPr>
                <w:p w14:paraId="3A099568">
                  <w:pPr>
                    <w:keepNext w:val="0"/>
                    <w:keepLines w:val="0"/>
                    <w:widowControl/>
                    <w:suppressLineNumbers w:val="0"/>
                    <w:jc w:val="center"/>
                    <w:rPr>
                      <w:rFonts w:hint="eastAsia" w:ascii="Times New Roman" w:hAnsi="Times New Roman" w:eastAsia="宋体" w:cs="Times New Roman"/>
                      <w:b w:val="0"/>
                      <w:bCs w:val="0"/>
                      <w:i/>
                      <w:iCs/>
                      <w:kern w:val="2"/>
                      <w:sz w:val="21"/>
                      <w:szCs w:val="21"/>
                      <w:lang w:val="en-US" w:eastAsia="zh-CN" w:bidi="ar-SA"/>
                    </w:rPr>
                  </w:pPr>
                  <w:r>
                    <w:rPr>
                      <w:rFonts w:hint="default" w:ascii="Times New Roman" w:hAnsi="Times New Roman" w:eastAsia="宋体" w:cs="Times New Roman"/>
                      <w:b w:val="0"/>
                      <w:bCs w:val="0"/>
                      <w:i/>
                      <w:iCs/>
                      <w:kern w:val="0"/>
                      <w:sz w:val="21"/>
                      <w:szCs w:val="21"/>
                      <w:lang w:val="en-US" w:eastAsia="zh-CN" w:bidi="ar"/>
                    </w:rPr>
                    <w:t>Aristichthys nobilis</w:t>
                  </w:r>
                </w:p>
              </w:tc>
              <w:tc>
                <w:tcPr>
                  <w:tcW w:w="2738" w:type="dxa"/>
                  <w:shd w:val="clear" w:color="auto" w:fill="auto"/>
                  <w:vAlign w:val="center"/>
                </w:tcPr>
                <w:p w14:paraId="5E3CFAFE">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水库</w:t>
                  </w:r>
                  <w:r>
                    <w:rPr>
                      <w:rFonts w:hint="eastAsia" w:ascii="Times New Roman" w:hAnsi="Times New Roman" w:eastAsia="宋体" w:cs="Times New Roman"/>
                      <w:b w:val="0"/>
                      <w:bCs w:val="0"/>
                      <w:kern w:val="0"/>
                      <w:sz w:val="21"/>
                      <w:szCs w:val="21"/>
                      <w:lang w:val="en-US" w:eastAsia="zh-CN" w:bidi="ar"/>
                    </w:rPr>
                    <w:t>（</w:t>
                  </w:r>
                  <w:r>
                    <w:rPr>
                      <w:rFonts w:hint="default" w:ascii="Times New Roman" w:hAnsi="Times New Roman" w:eastAsia="宋体" w:cs="Times New Roman"/>
                      <w:b w:val="0"/>
                      <w:bCs w:val="0"/>
                      <w:kern w:val="0"/>
                      <w:sz w:val="21"/>
                      <w:szCs w:val="21"/>
                      <w:lang w:val="en-US" w:eastAsia="zh-CN" w:bidi="ar"/>
                    </w:rPr>
                    <w:t>人工养殖）</w:t>
                  </w:r>
                </w:p>
              </w:tc>
            </w:tr>
            <w:tr w14:paraId="7544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8" w:type="dxa"/>
                  <w:shd w:val="clear" w:color="auto" w:fill="auto"/>
                  <w:vAlign w:val="center"/>
                </w:tcPr>
                <w:p w14:paraId="348B31EB">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麦穗鱼</w:t>
                  </w:r>
                </w:p>
              </w:tc>
              <w:tc>
                <w:tcPr>
                  <w:tcW w:w="2738" w:type="dxa"/>
                  <w:shd w:val="clear" w:color="auto" w:fill="auto"/>
                  <w:vAlign w:val="center"/>
                </w:tcPr>
                <w:p w14:paraId="09CE8BFC">
                  <w:pPr>
                    <w:keepNext w:val="0"/>
                    <w:keepLines w:val="0"/>
                    <w:widowControl/>
                    <w:suppressLineNumbers w:val="0"/>
                    <w:jc w:val="center"/>
                    <w:rPr>
                      <w:rFonts w:hint="eastAsia" w:ascii="Times New Roman" w:hAnsi="Times New Roman" w:eastAsia="宋体" w:cs="Times New Roman"/>
                      <w:b w:val="0"/>
                      <w:bCs w:val="0"/>
                      <w:i/>
                      <w:iCs/>
                      <w:kern w:val="2"/>
                      <w:sz w:val="21"/>
                      <w:szCs w:val="21"/>
                      <w:lang w:val="en-US" w:eastAsia="zh-CN" w:bidi="ar-SA"/>
                    </w:rPr>
                  </w:pPr>
                  <w:r>
                    <w:rPr>
                      <w:rFonts w:hint="default" w:ascii="Times New Roman" w:hAnsi="Times New Roman" w:eastAsia="宋体" w:cs="Times New Roman"/>
                      <w:b w:val="0"/>
                      <w:bCs w:val="0"/>
                      <w:i/>
                      <w:iCs/>
                      <w:kern w:val="0"/>
                      <w:sz w:val="21"/>
                      <w:szCs w:val="21"/>
                      <w:lang w:val="en-US" w:eastAsia="zh-CN" w:bidi="ar"/>
                    </w:rPr>
                    <w:t>Pseudorasbora parva</w:t>
                  </w:r>
                </w:p>
              </w:tc>
              <w:tc>
                <w:tcPr>
                  <w:tcW w:w="2738" w:type="dxa"/>
                  <w:shd w:val="clear" w:color="auto" w:fill="auto"/>
                  <w:vAlign w:val="center"/>
                </w:tcPr>
                <w:p w14:paraId="12E0FEF6">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河流、沟渠、水田</w:t>
                  </w:r>
                </w:p>
              </w:tc>
            </w:tr>
            <w:tr w14:paraId="016D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8" w:type="dxa"/>
                  <w:shd w:val="clear" w:color="auto" w:fill="auto"/>
                  <w:vAlign w:val="center"/>
                </w:tcPr>
                <w:p w14:paraId="4761A71D">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泥鳅</w:t>
                  </w:r>
                </w:p>
              </w:tc>
              <w:tc>
                <w:tcPr>
                  <w:tcW w:w="2738" w:type="dxa"/>
                  <w:shd w:val="clear" w:color="auto" w:fill="auto"/>
                  <w:vAlign w:val="center"/>
                </w:tcPr>
                <w:p w14:paraId="3A93603D">
                  <w:pPr>
                    <w:keepNext w:val="0"/>
                    <w:keepLines w:val="0"/>
                    <w:widowControl/>
                    <w:suppressLineNumbers w:val="0"/>
                    <w:jc w:val="center"/>
                    <w:rPr>
                      <w:rFonts w:hint="eastAsia" w:ascii="Times New Roman" w:hAnsi="Times New Roman" w:eastAsia="宋体" w:cs="Times New Roman"/>
                      <w:b w:val="0"/>
                      <w:bCs w:val="0"/>
                      <w:i/>
                      <w:iCs/>
                      <w:kern w:val="2"/>
                      <w:sz w:val="21"/>
                      <w:szCs w:val="21"/>
                      <w:lang w:val="en-US" w:eastAsia="zh-CN" w:bidi="ar-SA"/>
                    </w:rPr>
                  </w:pPr>
                  <w:r>
                    <w:rPr>
                      <w:rFonts w:hint="default" w:ascii="Times New Roman" w:hAnsi="Times New Roman" w:eastAsia="宋体" w:cs="Times New Roman"/>
                      <w:b w:val="0"/>
                      <w:bCs w:val="0"/>
                      <w:i/>
                      <w:iCs/>
                      <w:kern w:val="0"/>
                      <w:sz w:val="21"/>
                      <w:szCs w:val="21"/>
                      <w:lang w:val="en-US" w:eastAsia="zh-CN" w:bidi="ar"/>
                    </w:rPr>
                    <w:t>Misgurnus anguillicaudatus</w:t>
                  </w:r>
                </w:p>
              </w:tc>
              <w:tc>
                <w:tcPr>
                  <w:tcW w:w="2738" w:type="dxa"/>
                  <w:shd w:val="clear" w:color="auto" w:fill="auto"/>
                  <w:vAlign w:val="center"/>
                </w:tcPr>
                <w:p w14:paraId="483C8D7E">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水田、沟渠、静水河段</w:t>
                  </w:r>
                </w:p>
              </w:tc>
            </w:tr>
            <w:tr w14:paraId="0BC3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8" w:type="dxa"/>
                  <w:shd w:val="clear" w:color="auto" w:fill="auto"/>
                  <w:vAlign w:val="center"/>
                </w:tcPr>
                <w:p w14:paraId="1F4892B7">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黄鳝</w:t>
                  </w:r>
                </w:p>
              </w:tc>
              <w:tc>
                <w:tcPr>
                  <w:tcW w:w="2738" w:type="dxa"/>
                  <w:shd w:val="clear" w:color="auto" w:fill="auto"/>
                  <w:vAlign w:val="center"/>
                </w:tcPr>
                <w:p w14:paraId="0A6E57F1">
                  <w:pPr>
                    <w:keepNext w:val="0"/>
                    <w:keepLines w:val="0"/>
                    <w:widowControl/>
                    <w:suppressLineNumbers w:val="0"/>
                    <w:jc w:val="center"/>
                    <w:rPr>
                      <w:rFonts w:hint="eastAsia" w:ascii="Times New Roman" w:hAnsi="Times New Roman" w:eastAsia="宋体" w:cs="Times New Roman"/>
                      <w:b w:val="0"/>
                      <w:bCs w:val="0"/>
                      <w:i/>
                      <w:iCs/>
                      <w:kern w:val="2"/>
                      <w:sz w:val="21"/>
                      <w:szCs w:val="21"/>
                      <w:lang w:val="en-US" w:eastAsia="zh-CN" w:bidi="ar-SA"/>
                    </w:rPr>
                  </w:pPr>
                  <w:r>
                    <w:rPr>
                      <w:rFonts w:hint="default" w:ascii="Times New Roman" w:hAnsi="Times New Roman" w:eastAsia="宋体" w:cs="Times New Roman"/>
                      <w:b w:val="0"/>
                      <w:bCs w:val="0"/>
                      <w:i/>
                      <w:iCs/>
                      <w:kern w:val="0"/>
                      <w:sz w:val="21"/>
                      <w:szCs w:val="21"/>
                      <w:lang w:val="en-US" w:eastAsia="zh-CN" w:bidi="ar"/>
                    </w:rPr>
                    <w:t>Monopterus albus</w:t>
                  </w:r>
                </w:p>
              </w:tc>
              <w:tc>
                <w:tcPr>
                  <w:tcW w:w="2738" w:type="dxa"/>
                  <w:shd w:val="clear" w:color="auto" w:fill="auto"/>
                  <w:vAlign w:val="center"/>
                </w:tcPr>
                <w:p w14:paraId="1B344062">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水田、沟渠</w:t>
                  </w:r>
                </w:p>
              </w:tc>
            </w:tr>
            <w:tr w14:paraId="2FCA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38" w:type="dxa"/>
                  <w:shd w:val="clear" w:color="auto" w:fill="auto"/>
                  <w:vAlign w:val="center"/>
                </w:tcPr>
                <w:p w14:paraId="028EA285">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乌鳢</w:t>
                  </w:r>
                </w:p>
              </w:tc>
              <w:tc>
                <w:tcPr>
                  <w:tcW w:w="2738" w:type="dxa"/>
                  <w:shd w:val="clear" w:color="auto" w:fill="auto"/>
                  <w:vAlign w:val="center"/>
                </w:tcPr>
                <w:p w14:paraId="7C9C16AF">
                  <w:pPr>
                    <w:keepNext w:val="0"/>
                    <w:keepLines w:val="0"/>
                    <w:widowControl/>
                    <w:suppressLineNumbers w:val="0"/>
                    <w:jc w:val="center"/>
                    <w:rPr>
                      <w:rFonts w:hint="eastAsia" w:ascii="Times New Roman" w:hAnsi="Times New Roman" w:eastAsia="宋体" w:cs="Times New Roman"/>
                      <w:b w:val="0"/>
                      <w:bCs w:val="0"/>
                      <w:i/>
                      <w:iCs/>
                      <w:kern w:val="2"/>
                      <w:sz w:val="21"/>
                      <w:szCs w:val="21"/>
                      <w:lang w:val="en-US" w:eastAsia="zh-CN" w:bidi="ar-SA"/>
                    </w:rPr>
                  </w:pPr>
                  <w:r>
                    <w:rPr>
                      <w:rFonts w:hint="default" w:ascii="Times New Roman" w:hAnsi="Times New Roman" w:eastAsia="宋体" w:cs="Times New Roman"/>
                      <w:b w:val="0"/>
                      <w:bCs w:val="0"/>
                      <w:i/>
                      <w:iCs/>
                      <w:kern w:val="0"/>
                      <w:sz w:val="21"/>
                      <w:szCs w:val="21"/>
                      <w:lang w:val="en-US" w:eastAsia="zh-CN" w:bidi="ar"/>
                    </w:rPr>
                    <w:t>Channa argus</w:t>
                  </w:r>
                </w:p>
              </w:tc>
              <w:tc>
                <w:tcPr>
                  <w:tcW w:w="2738" w:type="dxa"/>
                  <w:shd w:val="clear" w:color="auto" w:fill="auto"/>
                  <w:vAlign w:val="center"/>
                </w:tcPr>
                <w:p w14:paraId="1C318613">
                  <w:pPr>
                    <w:keepNext w:val="0"/>
                    <w:keepLines w:val="0"/>
                    <w:widowControl/>
                    <w:suppressLineNumbers w:val="0"/>
                    <w:jc w:val="center"/>
                    <w:rPr>
                      <w:rFonts w:hint="eastAsia"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库塘、缓流河段</w:t>
                  </w:r>
                </w:p>
              </w:tc>
            </w:tr>
          </w:tbl>
          <w:p w14:paraId="25406E6C">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八街街道稻田养鱼历史悠久，稻花鱼</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稻田养殖的鲤鱼和鲫鱼）是当地特色，养殖模式为水稻与鱼类共生，具有生态农业示范意义。</w:t>
            </w:r>
          </w:p>
          <w:p w14:paraId="4A70078A">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历史特有种记录：鸣矣河历史上曾记录到金线鲃属</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Sinocyclocheilus</w:t>
            </w:r>
            <w:r>
              <w:rPr>
                <w:rFonts w:hint="default" w:ascii="Times New Roman" w:hAnsi="Times New Roman" w:eastAsia="宋体" w:cs="Times New Roman"/>
                <w:color w:val="auto"/>
                <w:sz w:val="24"/>
                <w:highlight w:val="none"/>
                <w:lang w:val="en-US" w:eastAsia="zh-CN"/>
              </w:rPr>
              <w:t>）特有鱼类——伍氏金线鲃</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Sinocyclocheilus wui</w:t>
            </w:r>
            <w:r>
              <w:rPr>
                <w:rFonts w:hint="default" w:ascii="Times New Roman" w:hAnsi="Times New Roman" w:eastAsia="宋体" w:cs="Times New Roman"/>
                <w:color w:val="auto"/>
                <w:sz w:val="24"/>
                <w:highlight w:val="none"/>
                <w:lang w:val="en-US" w:eastAsia="zh-CN"/>
              </w:rPr>
              <w:t>），为1997年在鸣矣河采集到的标本，属中国特有鲤科鱼类，仅1尾标本记录。本次调查期间未采集到该物种实体，种群现状不明，不构成集中分布区。</w:t>
            </w:r>
          </w:p>
          <w:p w14:paraId="07847043">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3.3.4.3</w:t>
            </w:r>
            <w:r>
              <w:rPr>
                <w:rFonts w:hint="default" w:ascii="Times New Roman" w:hAnsi="Times New Roman" w:eastAsia="宋体" w:cs="Times New Roman"/>
                <w:b/>
                <w:bCs/>
                <w:color w:val="auto"/>
                <w:sz w:val="24"/>
                <w:highlight w:val="none"/>
                <w:lang w:val="en-US" w:eastAsia="zh-CN"/>
              </w:rPr>
              <w:t>水生维管束植物</w:t>
            </w:r>
          </w:p>
          <w:p w14:paraId="48BE6391">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水生维管束植物种类较丰富，主要类型如下：</w:t>
            </w:r>
          </w:p>
          <w:p w14:paraId="4E6344A5">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挺水植物：芦苇</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Phragmites australis）</w:t>
            </w:r>
            <w:r>
              <w:rPr>
                <w:rFonts w:hint="default" w:ascii="Times New Roman" w:hAnsi="Times New Roman" w:eastAsia="宋体" w:cs="Times New Roman"/>
                <w:color w:val="auto"/>
                <w:sz w:val="24"/>
                <w:highlight w:val="none"/>
                <w:lang w:val="en-US" w:eastAsia="zh-CN"/>
              </w:rPr>
              <w:t>、香蒲</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Typha orientalis</w:t>
            </w:r>
            <w:r>
              <w:rPr>
                <w:rFonts w:hint="default" w:ascii="Times New Roman" w:hAnsi="Times New Roman" w:eastAsia="宋体" w:cs="Times New Roman"/>
                <w:color w:val="auto"/>
                <w:sz w:val="24"/>
                <w:highlight w:val="none"/>
                <w:lang w:val="en-US" w:eastAsia="zh-CN"/>
              </w:rPr>
              <w:t>）、水葱</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Scirpus validus</w:t>
            </w:r>
            <w:r>
              <w:rPr>
                <w:rFonts w:hint="default" w:ascii="Times New Roman" w:hAnsi="Times New Roman" w:eastAsia="宋体" w:cs="Times New Roman"/>
                <w:color w:val="auto"/>
                <w:sz w:val="24"/>
                <w:highlight w:val="none"/>
                <w:lang w:val="en-US" w:eastAsia="zh-CN"/>
              </w:rPr>
              <w:t>）等，主要分布于库岸带及河岸浅水区。</w:t>
            </w:r>
          </w:p>
          <w:p w14:paraId="7A88B411">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沉水植物：眼子菜</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Potamogeton sp.</w:t>
            </w:r>
            <w:r>
              <w:rPr>
                <w:rFonts w:hint="default" w:ascii="Times New Roman" w:hAnsi="Times New Roman" w:eastAsia="宋体" w:cs="Times New Roman"/>
                <w:color w:val="auto"/>
                <w:sz w:val="24"/>
                <w:highlight w:val="none"/>
                <w:lang w:val="en-US" w:eastAsia="zh-CN"/>
              </w:rPr>
              <w:t>）、黑藻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Hydrilla verticillata</w:t>
            </w:r>
            <w:r>
              <w:rPr>
                <w:rFonts w:hint="default" w:ascii="Times New Roman" w:hAnsi="Times New Roman" w:eastAsia="宋体" w:cs="Times New Roman"/>
                <w:color w:val="auto"/>
                <w:sz w:val="24"/>
                <w:highlight w:val="none"/>
                <w:lang w:val="en-US" w:eastAsia="zh-CN"/>
              </w:rPr>
              <w:t>）、金鱼藻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Ceratophyllum demersum</w:t>
            </w:r>
            <w:r>
              <w:rPr>
                <w:rFonts w:hint="default" w:ascii="Times New Roman" w:hAnsi="Times New Roman" w:eastAsia="宋体" w:cs="Times New Roman"/>
                <w:color w:val="auto"/>
                <w:sz w:val="24"/>
                <w:highlight w:val="none"/>
                <w:lang w:val="en-US" w:eastAsia="zh-CN"/>
              </w:rPr>
              <w:t>）、苦草</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Vallisneria natans</w:t>
            </w:r>
            <w:r>
              <w:rPr>
                <w:rFonts w:hint="default" w:ascii="Times New Roman" w:hAnsi="Times New Roman" w:eastAsia="宋体" w:cs="Times New Roman"/>
                <w:color w:val="auto"/>
                <w:sz w:val="24"/>
                <w:highlight w:val="none"/>
                <w:lang w:val="en-US" w:eastAsia="zh-CN"/>
              </w:rPr>
              <w:t>）等。八街河源头“泉水清澈见底、水中青荇招摇”，以眼子菜、黑藻为优势种。</w:t>
            </w:r>
          </w:p>
          <w:p w14:paraId="7CFA95BF">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浮水植物：浮萍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Lemna minor</w:t>
            </w:r>
            <w:r>
              <w:rPr>
                <w:rFonts w:hint="default" w:ascii="Times New Roman" w:hAnsi="Times New Roman" w:eastAsia="宋体" w:cs="Times New Roman"/>
                <w:color w:val="auto"/>
                <w:sz w:val="24"/>
                <w:highlight w:val="none"/>
                <w:lang w:val="en-US" w:eastAsia="zh-CN"/>
              </w:rPr>
              <w:t>）、紫萍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Spirodela polyrhiza</w:t>
            </w:r>
            <w:r>
              <w:rPr>
                <w:rFonts w:hint="default" w:ascii="Times New Roman" w:hAnsi="Times New Roman" w:eastAsia="宋体" w:cs="Times New Roman"/>
                <w:color w:val="auto"/>
                <w:sz w:val="24"/>
                <w:highlight w:val="none"/>
                <w:lang w:val="en-US" w:eastAsia="zh-CN"/>
              </w:rPr>
              <w:t>）、槐叶萍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i/>
                <w:iCs/>
                <w:color w:val="auto"/>
                <w:sz w:val="24"/>
                <w:highlight w:val="none"/>
                <w:lang w:val="en-US" w:eastAsia="zh-CN"/>
              </w:rPr>
              <w:t>Salvinia natans</w:t>
            </w:r>
            <w:r>
              <w:rPr>
                <w:rFonts w:hint="default" w:ascii="Times New Roman" w:hAnsi="Times New Roman" w:eastAsia="宋体" w:cs="Times New Roman"/>
                <w:color w:val="auto"/>
                <w:sz w:val="24"/>
                <w:highlight w:val="none"/>
                <w:lang w:val="en-US" w:eastAsia="zh-CN"/>
              </w:rPr>
              <w:t>）等，主要分布于静水水体及缓流区域。</w:t>
            </w:r>
          </w:p>
          <w:p w14:paraId="2BE9839F">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3.3.4.4</w:t>
            </w:r>
            <w:r>
              <w:rPr>
                <w:rFonts w:hint="default" w:ascii="Times New Roman" w:hAnsi="Times New Roman" w:eastAsia="宋体" w:cs="Times New Roman"/>
                <w:b/>
                <w:bCs/>
                <w:color w:val="auto"/>
                <w:sz w:val="24"/>
                <w:highlight w:val="none"/>
                <w:lang w:val="en-US" w:eastAsia="zh-CN"/>
              </w:rPr>
              <w:t>珍稀保护水生生物</w:t>
            </w:r>
          </w:p>
          <w:p w14:paraId="2E24F870">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经全面调查及资料核查，评价范围内未发现国家级和云南省重点保护水生生物，未发现重要水生生物的自然产卵场、索饵场、越冬场和洄游通道。鸣矣河历史上记录的金线鲃属鱼类属偶见记录，种群现状不明，不构成集中分布区。</w:t>
            </w:r>
          </w:p>
          <w:p w14:paraId="3CB1A332">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3.3.5</w:t>
            </w:r>
            <w:r>
              <w:rPr>
                <w:rFonts w:hint="default" w:ascii="Times New Roman" w:hAnsi="Times New Roman" w:eastAsia="宋体" w:cs="Times New Roman"/>
                <w:b/>
                <w:bCs/>
                <w:color w:val="auto"/>
                <w:sz w:val="24"/>
                <w:highlight w:val="none"/>
                <w:lang w:val="en-US" w:eastAsia="zh-CN"/>
              </w:rPr>
              <w:t>生态系统类型现状</w:t>
            </w:r>
          </w:p>
          <w:p w14:paraId="36B3568D">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评价区域生态系统类型调查按照《全国生态状况调查评估技术规范——生态系统遥感解译与野外核查》</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HJ 1166-2021）要求，基于评价区域高空间分辨率遥感影像以及野外核查点位照片，将评价范围内生态系统分为森林生态系统、农田生态系统、城镇生态系统等三大类，经过人机交互遥感解译、野外核查和精度验证。根据生态系统分布现状，评价区生态系统分布见下表。</w:t>
            </w:r>
          </w:p>
          <w:p w14:paraId="4B958FE7">
            <w:pPr>
              <w:tabs>
                <w:tab w:val="left" w:pos="2395"/>
              </w:tabs>
              <w:spacing w:line="360" w:lineRule="auto"/>
              <w:jc w:val="center"/>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表</w:t>
            </w:r>
            <w:r>
              <w:rPr>
                <w:rFonts w:hint="eastAsia" w:ascii="Times New Roman" w:hAnsi="Times New Roman" w:eastAsia="宋体" w:cs="Times New Roman"/>
                <w:b/>
                <w:bCs/>
                <w:color w:val="auto"/>
                <w:sz w:val="24"/>
                <w:highlight w:val="none"/>
                <w:lang w:val="en-US" w:eastAsia="zh-CN"/>
              </w:rPr>
              <w:t xml:space="preserve">3-6    </w:t>
            </w:r>
            <w:r>
              <w:rPr>
                <w:rFonts w:hint="default" w:ascii="Times New Roman" w:hAnsi="Times New Roman" w:eastAsia="宋体" w:cs="Times New Roman"/>
                <w:b/>
                <w:bCs/>
                <w:color w:val="auto"/>
                <w:sz w:val="24"/>
                <w:highlight w:val="none"/>
                <w:lang w:val="en-US" w:eastAsia="zh-CN"/>
              </w:rPr>
              <w:t>评价范围生态系统面积统计表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5"/>
              <w:gridCol w:w="2175"/>
              <w:gridCol w:w="2056"/>
              <w:gridCol w:w="2056"/>
            </w:tblGrid>
            <w:tr w14:paraId="5E32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10" w:type="dxa"/>
                  <w:gridSpan w:val="2"/>
                  <w:shd w:val="clear" w:color="auto" w:fill="auto"/>
                  <w:vAlign w:val="center"/>
                </w:tcPr>
                <w:p w14:paraId="6C09C020">
                  <w:pPr>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生态系统分类</w:t>
                  </w:r>
                </w:p>
              </w:tc>
              <w:tc>
                <w:tcPr>
                  <w:tcW w:w="2056" w:type="dxa"/>
                  <w:vMerge w:val="restart"/>
                  <w:shd w:val="clear" w:color="auto" w:fill="auto"/>
                  <w:vAlign w:val="center"/>
                </w:tcPr>
                <w:p w14:paraId="1771A655">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面积</w:t>
                  </w:r>
                  <w:r>
                    <w:rPr>
                      <w:rFonts w:hint="eastAsia" w:ascii="Times New Roman" w:hAnsi="Times New Roman" w:eastAsia="宋体" w:cs="Times New Roman"/>
                      <w:b w:val="0"/>
                      <w:bCs w:val="0"/>
                      <w:kern w:val="0"/>
                      <w:sz w:val="21"/>
                      <w:szCs w:val="21"/>
                      <w:lang w:val="en-US" w:eastAsia="zh-CN" w:bidi="ar"/>
                    </w:rPr>
                    <w:t>（</w:t>
                  </w:r>
                  <w:r>
                    <w:rPr>
                      <w:rFonts w:hint="default" w:ascii="Times New Roman" w:hAnsi="Times New Roman" w:eastAsia="宋体" w:cs="Times New Roman"/>
                      <w:b w:val="0"/>
                      <w:bCs w:val="0"/>
                      <w:kern w:val="0"/>
                      <w:sz w:val="21"/>
                      <w:szCs w:val="21"/>
                      <w:lang w:val="en-US" w:eastAsia="zh-CN" w:bidi="ar"/>
                    </w:rPr>
                    <w:t>hm²）</w:t>
                  </w:r>
                </w:p>
                <w:p w14:paraId="058DD2BF">
                  <w:pPr>
                    <w:tabs>
                      <w:tab w:val="left" w:pos="2395"/>
                    </w:tabs>
                    <w:spacing w:line="360" w:lineRule="auto"/>
                    <w:jc w:val="center"/>
                    <w:rPr>
                      <w:rFonts w:hint="default" w:ascii="Times New Roman" w:hAnsi="Times New Roman" w:eastAsia="宋体" w:cs="Times New Roman"/>
                      <w:b/>
                      <w:bCs/>
                      <w:color w:val="auto"/>
                      <w:sz w:val="24"/>
                      <w:highlight w:val="none"/>
                      <w:vertAlign w:val="baseline"/>
                      <w:lang w:val="en-US" w:eastAsia="zh-CN"/>
                    </w:rPr>
                  </w:pPr>
                </w:p>
              </w:tc>
              <w:tc>
                <w:tcPr>
                  <w:tcW w:w="2056" w:type="dxa"/>
                  <w:vMerge w:val="restart"/>
                  <w:shd w:val="clear" w:color="auto" w:fill="auto"/>
                  <w:vAlign w:val="center"/>
                </w:tcPr>
                <w:p w14:paraId="0EEFB0E3">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占比</w:t>
                  </w:r>
                  <w:r>
                    <w:rPr>
                      <w:rFonts w:hint="eastAsia" w:ascii="Times New Roman" w:hAnsi="Times New Roman" w:eastAsia="宋体" w:cs="Times New Roman"/>
                      <w:b w:val="0"/>
                      <w:bCs w:val="0"/>
                      <w:kern w:val="0"/>
                      <w:sz w:val="21"/>
                      <w:szCs w:val="21"/>
                      <w:lang w:val="en-US" w:eastAsia="zh-CN" w:bidi="ar"/>
                    </w:rPr>
                    <w:t>（</w:t>
                  </w:r>
                  <w:r>
                    <w:rPr>
                      <w:rFonts w:hint="default" w:ascii="Times New Roman" w:hAnsi="Times New Roman" w:eastAsia="宋体" w:cs="Times New Roman"/>
                      <w:b w:val="0"/>
                      <w:bCs w:val="0"/>
                      <w:kern w:val="0"/>
                      <w:sz w:val="21"/>
                      <w:szCs w:val="21"/>
                      <w:lang w:val="en-US" w:eastAsia="zh-CN" w:bidi="ar"/>
                    </w:rPr>
                    <w:t>%）</w:t>
                  </w:r>
                </w:p>
                <w:p w14:paraId="2F85EE7D">
                  <w:pPr>
                    <w:tabs>
                      <w:tab w:val="left" w:pos="2395"/>
                    </w:tabs>
                    <w:spacing w:line="360" w:lineRule="auto"/>
                    <w:jc w:val="center"/>
                    <w:rPr>
                      <w:rFonts w:hint="default" w:ascii="Times New Roman" w:hAnsi="Times New Roman" w:eastAsia="宋体" w:cs="Times New Roman"/>
                      <w:b/>
                      <w:bCs/>
                      <w:color w:val="auto"/>
                      <w:sz w:val="24"/>
                      <w:highlight w:val="none"/>
                      <w:vertAlign w:val="baseline"/>
                      <w:lang w:val="en-US" w:eastAsia="zh-CN"/>
                    </w:rPr>
                  </w:pPr>
                </w:p>
              </w:tc>
            </w:tr>
            <w:tr w14:paraId="4486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35" w:type="dxa"/>
                  <w:shd w:val="clear" w:color="auto" w:fill="auto"/>
                  <w:vAlign w:val="center"/>
                </w:tcPr>
                <w:p w14:paraId="1C37F3FA">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一级类</w:t>
                  </w:r>
                </w:p>
              </w:tc>
              <w:tc>
                <w:tcPr>
                  <w:tcW w:w="2175" w:type="dxa"/>
                  <w:shd w:val="clear" w:color="auto" w:fill="auto"/>
                  <w:vAlign w:val="center"/>
                </w:tcPr>
                <w:p w14:paraId="6A46248B">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二级类</w:t>
                  </w:r>
                </w:p>
              </w:tc>
              <w:tc>
                <w:tcPr>
                  <w:tcW w:w="2056" w:type="dxa"/>
                  <w:vMerge w:val="continue"/>
                </w:tcPr>
                <w:p w14:paraId="69F99A26">
                  <w:pPr>
                    <w:tabs>
                      <w:tab w:val="left" w:pos="2395"/>
                    </w:tabs>
                    <w:spacing w:line="360" w:lineRule="auto"/>
                    <w:jc w:val="center"/>
                    <w:rPr>
                      <w:rFonts w:hint="default" w:ascii="Times New Roman" w:hAnsi="Times New Roman" w:eastAsia="宋体" w:cs="Times New Roman"/>
                      <w:b/>
                      <w:bCs/>
                      <w:color w:val="auto"/>
                      <w:sz w:val="24"/>
                      <w:highlight w:val="none"/>
                      <w:vertAlign w:val="baseline"/>
                      <w:lang w:val="en-US" w:eastAsia="zh-CN"/>
                    </w:rPr>
                  </w:pPr>
                </w:p>
              </w:tc>
              <w:tc>
                <w:tcPr>
                  <w:tcW w:w="2056" w:type="dxa"/>
                  <w:vMerge w:val="continue"/>
                </w:tcPr>
                <w:p w14:paraId="2A8F4CBF">
                  <w:pPr>
                    <w:tabs>
                      <w:tab w:val="left" w:pos="2395"/>
                    </w:tabs>
                    <w:spacing w:line="360" w:lineRule="auto"/>
                    <w:jc w:val="center"/>
                    <w:rPr>
                      <w:rFonts w:hint="default" w:ascii="Times New Roman" w:hAnsi="Times New Roman" w:eastAsia="宋体" w:cs="Times New Roman"/>
                      <w:b/>
                      <w:bCs/>
                      <w:color w:val="auto"/>
                      <w:sz w:val="24"/>
                      <w:highlight w:val="none"/>
                      <w:vertAlign w:val="baseline"/>
                      <w:lang w:val="en-US" w:eastAsia="zh-CN"/>
                    </w:rPr>
                  </w:pPr>
                </w:p>
              </w:tc>
            </w:tr>
            <w:tr w14:paraId="388E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35" w:type="dxa"/>
                  <w:vMerge w:val="restart"/>
                  <w:shd w:val="clear" w:color="auto" w:fill="auto"/>
                  <w:vAlign w:val="center"/>
                </w:tcPr>
                <w:p w14:paraId="719A0FF6">
                  <w:pPr>
                    <w:keepNext w:val="0"/>
                    <w:keepLines w:val="0"/>
                    <w:widowControl/>
                    <w:suppressLineNumbers w:val="0"/>
                    <w:jc w:val="center"/>
                    <w:rPr>
                      <w:rFonts w:hint="default" w:ascii="Times New Roman" w:hAnsi="Times New Roman" w:eastAsia="宋体" w:cs="Times New Roman"/>
                      <w:b/>
                      <w:bCs/>
                      <w:color w:val="auto"/>
                      <w:sz w:val="24"/>
                      <w:highlight w:val="none"/>
                      <w:vertAlign w:val="baseline"/>
                      <w:lang w:val="en-US" w:eastAsia="zh-CN"/>
                    </w:rPr>
                  </w:pPr>
                  <w:r>
                    <w:rPr>
                      <w:rFonts w:hint="default" w:ascii="Times New Roman" w:hAnsi="Times New Roman" w:eastAsia="宋体" w:cs="Times New Roman"/>
                      <w:b w:val="0"/>
                      <w:bCs w:val="0"/>
                      <w:kern w:val="0"/>
                      <w:sz w:val="21"/>
                      <w:szCs w:val="21"/>
                      <w:lang w:val="en-US" w:eastAsia="zh-CN" w:bidi="ar"/>
                    </w:rPr>
                    <w:t>1森林生态系统</w:t>
                  </w:r>
                </w:p>
              </w:tc>
              <w:tc>
                <w:tcPr>
                  <w:tcW w:w="2175" w:type="dxa"/>
                  <w:shd w:val="clear" w:color="auto" w:fill="auto"/>
                  <w:vAlign w:val="center"/>
                </w:tcPr>
                <w:p w14:paraId="614272EC">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11阔叶林生态系统</w:t>
                  </w:r>
                </w:p>
              </w:tc>
              <w:tc>
                <w:tcPr>
                  <w:tcW w:w="2056" w:type="dxa"/>
                  <w:shd w:val="clear" w:color="auto" w:fill="auto"/>
                  <w:vAlign w:val="center"/>
                </w:tcPr>
                <w:p w14:paraId="6A7CBCDC">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122.53</w:t>
                  </w:r>
                </w:p>
              </w:tc>
              <w:tc>
                <w:tcPr>
                  <w:tcW w:w="2056" w:type="dxa"/>
                  <w:shd w:val="clear" w:color="auto" w:fill="auto"/>
                  <w:vAlign w:val="center"/>
                </w:tcPr>
                <w:p w14:paraId="2457E289">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10.00</w:t>
                  </w:r>
                </w:p>
              </w:tc>
            </w:tr>
            <w:tr w14:paraId="7EB1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35" w:type="dxa"/>
                  <w:vMerge w:val="continue"/>
                </w:tcPr>
                <w:p w14:paraId="686A3BC8">
                  <w:pPr>
                    <w:tabs>
                      <w:tab w:val="left" w:pos="2395"/>
                    </w:tabs>
                    <w:spacing w:line="360" w:lineRule="auto"/>
                    <w:jc w:val="center"/>
                    <w:rPr>
                      <w:rFonts w:hint="default" w:ascii="Times New Roman" w:hAnsi="Times New Roman" w:eastAsia="宋体" w:cs="Times New Roman"/>
                      <w:b/>
                      <w:bCs/>
                      <w:color w:val="auto"/>
                      <w:sz w:val="24"/>
                      <w:highlight w:val="none"/>
                      <w:vertAlign w:val="baseline"/>
                      <w:lang w:val="en-US" w:eastAsia="zh-CN"/>
                    </w:rPr>
                  </w:pPr>
                </w:p>
              </w:tc>
              <w:tc>
                <w:tcPr>
                  <w:tcW w:w="2175" w:type="dxa"/>
                  <w:shd w:val="clear" w:color="auto" w:fill="auto"/>
                  <w:vAlign w:val="center"/>
                </w:tcPr>
                <w:p w14:paraId="730CC071">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12针叶林生态系统</w:t>
                  </w:r>
                </w:p>
              </w:tc>
              <w:tc>
                <w:tcPr>
                  <w:tcW w:w="2056" w:type="dxa"/>
                  <w:shd w:val="clear" w:color="auto" w:fill="auto"/>
                  <w:vAlign w:val="center"/>
                </w:tcPr>
                <w:p w14:paraId="18D982A3">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107.12</w:t>
                  </w:r>
                </w:p>
              </w:tc>
              <w:tc>
                <w:tcPr>
                  <w:tcW w:w="2056" w:type="dxa"/>
                  <w:shd w:val="clear" w:color="auto" w:fill="auto"/>
                  <w:vAlign w:val="center"/>
                </w:tcPr>
                <w:p w14:paraId="367C398A">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8.75</w:t>
                  </w:r>
                </w:p>
              </w:tc>
            </w:tr>
            <w:tr w14:paraId="33C3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35" w:type="dxa"/>
                  <w:shd w:val="clear" w:color="auto" w:fill="auto"/>
                  <w:vAlign w:val="center"/>
                </w:tcPr>
                <w:p w14:paraId="5BBAE3A7">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5农田生态系统</w:t>
                  </w:r>
                </w:p>
              </w:tc>
              <w:tc>
                <w:tcPr>
                  <w:tcW w:w="2175" w:type="dxa"/>
                  <w:shd w:val="clear" w:color="auto" w:fill="auto"/>
                  <w:vAlign w:val="center"/>
                </w:tcPr>
                <w:p w14:paraId="63B48144">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51耕地生态系统</w:t>
                  </w:r>
                </w:p>
              </w:tc>
              <w:tc>
                <w:tcPr>
                  <w:tcW w:w="2056" w:type="dxa"/>
                  <w:shd w:val="clear" w:color="auto" w:fill="auto"/>
                  <w:vAlign w:val="center"/>
                </w:tcPr>
                <w:p w14:paraId="5F7C0B65">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785.58</w:t>
                  </w:r>
                </w:p>
              </w:tc>
              <w:tc>
                <w:tcPr>
                  <w:tcW w:w="2056" w:type="dxa"/>
                  <w:shd w:val="clear" w:color="auto" w:fill="auto"/>
                  <w:vAlign w:val="center"/>
                </w:tcPr>
                <w:p w14:paraId="760FB758">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64.14</w:t>
                  </w:r>
                </w:p>
              </w:tc>
            </w:tr>
            <w:tr w14:paraId="3B51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35" w:type="dxa"/>
                  <w:vMerge w:val="restart"/>
                  <w:shd w:val="clear" w:color="auto" w:fill="auto"/>
                  <w:vAlign w:val="center"/>
                </w:tcPr>
                <w:p w14:paraId="033CF1EA">
                  <w:pPr>
                    <w:keepNext w:val="0"/>
                    <w:keepLines w:val="0"/>
                    <w:widowControl/>
                    <w:suppressLineNumbers w:val="0"/>
                    <w:jc w:val="center"/>
                    <w:rPr>
                      <w:rFonts w:hint="default" w:ascii="Times New Roman" w:hAnsi="Times New Roman" w:eastAsia="宋体" w:cs="Times New Roman"/>
                      <w:b/>
                      <w:bCs/>
                      <w:color w:val="auto"/>
                      <w:sz w:val="24"/>
                      <w:highlight w:val="none"/>
                      <w:vertAlign w:val="baseline"/>
                      <w:lang w:val="en-US" w:eastAsia="zh-CN"/>
                    </w:rPr>
                  </w:pPr>
                  <w:r>
                    <w:rPr>
                      <w:rFonts w:hint="default" w:ascii="Times New Roman" w:hAnsi="Times New Roman" w:eastAsia="宋体" w:cs="Times New Roman"/>
                      <w:b w:val="0"/>
                      <w:bCs w:val="0"/>
                      <w:kern w:val="0"/>
                      <w:sz w:val="21"/>
                      <w:szCs w:val="21"/>
                      <w:lang w:val="en-US" w:eastAsia="zh-CN" w:bidi="ar"/>
                    </w:rPr>
                    <w:t>6城镇生态系统</w:t>
                  </w:r>
                </w:p>
              </w:tc>
              <w:tc>
                <w:tcPr>
                  <w:tcW w:w="2175" w:type="dxa"/>
                  <w:shd w:val="clear" w:color="auto" w:fill="auto"/>
                  <w:vAlign w:val="center"/>
                </w:tcPr>
                <w:p w14:paraId="59A48ECD">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61居住地生态系统</w:t>
                  </w:r>
                </w:p>
              </w:tc>
              <w:tc>
                <w:tcPr>
                  <w:tcW w:w="2056" w:type="dxa"/>
                  <w:shd w:val="clear" w:color="auto" w:fill="auto"/>
                  <w:vAlign w:val="center"/>
                </w:tcPr>
                <w:p w14:paraId="4055A4B0">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87.44</w:t>
                  </w:r>
                </w:p>
              </w:tc>
              <w:tc>
                <w:tcPr>
                  <w:tcW w:w="2056" w:type="dxa"/>
                  <w:shd w:val="clear" w:color="auto" w:fill="auto"/>
                  <w:vAlign w:val="center"/>
                </w:tcPr>
                <w:p w14:paraId="2E0776DE">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7.14</w:t>
                  </w:r>
                </w:p>
              </w:tc>
            </w:tr>
            <w:tr w14:paraId="6D0A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35" w:type="dxa"/>
                  <w:vMerge w:val="continue"/>
                </w:tcPr>
                <w:p w14:paraId="32DD5EB7">
                  <w:pPr>
                    <w:tabs>
                      <w:tab w:val="left" w:pos="2395"/>
                    </w:tabs>
                    <w:spacing w:line="360" w:lineRule="auto"/>
                    <w:jc w:val="center"/>
                    <w:rPr>
                      <w:rFonts w:hint="default" w:ascii="Times New Roman" w:hAnsi="Times New Roman" w:eastAsia="宋体" w:cs="Times New Roman"/>
                      <w:b/>
                      <w:bCs/>
                      <w:color w:val="auto"/>
                      <w:sz w:val="24"/>
                      <w:highlight w:val="none"/>
                      <w:vertAlign w:val="baseline"/>
                      <w:lang w:val="en-US" w:eastAsia="zh-CN"/>
                    </w:rPr>
                  </w:pPr>
                </w:p>
              </w:tc>
              <w:tc>
                <w:tcPr>
                  <w:tcW w:w="2175" w:type="dxa"/>
                  <w:shd w:val="clear" w:color="auto" w:fill="auto"/>
                  <w:vAlign w:val="center"/>
                </w:tcPr>
                <w:p w14:paraId="13A906E3">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63工矿交通生态系统</w:t>
                  </w:r>
                </w:p>
              </w:tc>
              <w:tc>
                <w:tcPr>
                  <w:tcW w:w="2056" w:type="dxa"/>
                  <w:shd w:val="clear" w:color="auto" w:fill="auto"/>
                  <w:vAlign w:val="center"/>
                </w:tcPr>
                <w:p w14:paraId="4019FEF2">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119.59</w:t>
                  </w:r>
                </w:p>
              </w:tc>
              <w:tc>
                <w:tcPr>
                  <w:tcW w:w="2056" w:type="dxa"/>
                  <w:shd w:val="clear" w:color="auto" w:fill="auto"/>
                  <w:vAlign w:val="center"/>
                </w:tcPr>
                <w:p w14:paraId="24CC2763">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9.76</w:t>
                  </w:r>
                </w:p>
              </w:tc>
            </w:tr>
            <w:tr w14:paraId="7C4A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35" w:type="dxa"/>
                  <w:shd w:val="clear" w:color="auto" w:fill="auto"/>
                  <w:vAlign w:val="center"/>
                </w:tcPr>
                <w:p w14:paraId="09AEB393">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合计</w:t>
                  </w:r>
                </w:p>
              </w:tc>
              <w:tc>
                <w:tcPr>
                  <w:tcW w:w="2175" w:type="dxa"/>
                  <w:shd w:val="clear" w:color="auto" w:fill="auto"/>
                  <w:vAlign w:val="center"/>
                </w:tcPr>
                <w:p w14:paraId="2C65C263">
                  <w:pPr>
                    <w:jc w:val="center"/>
                    <w:rPr>
                      <w:rFonts w:hint="default" w:ascii="Times New Roman" w:hAnsi="Times New Roman" w:eastAsia="宋体" w:cs="Times New Roman"/>
                      <w:b w:val="0"/>
                      <w:bCs w:val="0"/>
                      <w:kern w:val="2"/>
                      <w:sz w:val="21"/>
                      <w:szCs w:val="21"/>
                      <w:lang w:val="en-US" w:eastAsia="zh-CN" w:bidi="ar-SA"/>
                    </w:rPr>
                  </w:pPr>
                </w:p>
              </w:tc>
              <w:tc>
                <w:tcPr>
                  <w:tcW w:w="2056" w:type="dxa"/>
                  <w:shd w:val="clear" w:color="auto" w:fill="auto"/>
                  <w:vAlign w:val="center"/>
                </w:tcPr>
                <w:p w14:paraId="02BE7B74">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1224.73</w:t>
                  </w:r>
                </w:p>
              </w:tc>
              <w:tc>
                <w:tcPr>
                  <w:tcW w:w="2056" w:type="dxa"/>
                  <w:shd w:val="clear" w:color="auto" w:fill="auto"/>
                  <w:vAlign w:val="center"/>
                </w:tcPr>
                <w:p w14:paraId="364F5300">
                  <w:pPr>
                    <w:keepNext w:val="0"/>
                    <w:keepLines w:val="0"/>
                    <w:widowControl/>
                    <w:suppressLineNumbers w:val="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0"/>
                      <w:sz w:val="21"/>
                      <w:szCs w:val="21"/>
                      <w:lang w:val="en-US" w:eastAsia="zh-CN" w:bidi="ar"/>
                    </w:rPr>
                    <w:t>100.00</w:t>
                  </w:r>
                </w:p>
              </w:tc>
            </w:tr>
          </w:tbl>
          <w:p w14:paraId="7F59FD66">
            <w:pPr>
              <w:pStyle w:val="21"/>
              <w:keepNext w:val="0"/>
              <w:keepLines w:val="0"/>
              <w:widowControl/>
              <w:suppressLineNumbers w:val="0"/>
              <w:shd w:val="clear" w:fill="FFFFFF"/>
              <w:spacing w:before="192" w:beforeAutospacing="0" w:after="192" w:afterAutospacing="0"/>
              <w:ind w:left="0" w:right="0" w:firstLine="0"/>
              <w:rPr>
                <w:rFonts w:hint="default" w:ascii="Times New Roman" w:hAnsi="Times New Roman" w:eastAsia="宋体" w:cs="Times New Roman"/>
                <w:i w:val="0"/>
                <w:iCs w:val="0"/>
                <w:caps w:val="0"/>
                <w:color w:val="0F1115"/>
                <w:spacing w:val="0"/>
                <w:sz w:val="19"/>
                <w:szCs w:val="19"/>
              </w:rPr>
            </w:pPr>
            <w:r>
              <w:rPr>
                <w:rFonts w:hint="default" w:ascii="Times New Roman" w:hAnsi="Times New Roman" w:eastAsia="宋体" w:cs="Times New Roman"/>
                <w:i w:val="0"/>
                <w:iCs w:val="0"/>
                <w:caps w:val="0"/>
                <w:color w:val="0F1115"/>
                <w:spacing w:val="0"/>
                <w:sz w:val="19"/>
                <w:szCs w:val="19"/>
                <w:shd w:val="clear" w:fill="FFFFFF"/>
              </w:rPr>
              <w:t>注：阔叶林含蓝桉林、栎类林、核桃林、圣诞树林、梨园、杂灌等；针叶林含云南松林、华山松林、柏木林、油杉林等；农田生态系统以耕地为主；城镇生态系统含居住地</w:t>
            </w:r>
            <w:r>
              <w:rPr>
                <w:rFonts w:hint="eastAsia" w:ascii="Times New Roman" w:hAnsi="Times New Roman" w:eastAsia="宋体" w:cs="Times New Roman"/>
                <w:i w:val="0"/>
                <w:iCs w:val="0"/>
                <w:caps w:val="0"/>
                <w:color w:val="0F1115"/>
                <w:spacing w:val="0"/>
                <w:sz w:val="19"/>
                <w:szCs w:val="19"/>
                <w:shd w:val="clear" w:fill="FFFFFF"/>
                <w:lang w:eastAsia="zh-CN"/>
              </w:rPr>
              <w:t>（</w:t>
            </w:r>
            <w:r>
              <w:rPr>
                <w:rFonts w:hint="default" w:ascii="Times New Roman" w:hAnsi="Times New Roman" w:eastAsia="宋体" w:cs="Times New Roman"/>
                <w:i w:val="0"/>
                <w:iCs w:val="0"/>
                <w:caps w:val="0"/>
                <w:color w:val="0F1115"/>
                <w:spacing w:val="0"/>
                <w:sz w:val="19"/>
                <w:szCs w:val="19"/>
                <w:shd w:val="clear" w:fill="FFFFFF"/>
              </w:rPr>
              <w:t>农村宅基地）及工矿交通</w:t>
            </w:r>
            <w:r>
              <w:rPr>
                <w:rFonts w:hint="eastAsia" w:ascii="Times New Roman" w:hAnsi="Times New Roman" w:eastAsia="宋体" w:cs="Times New Roman"/>
                <w:i w:val="0"/>
                <w:iCs w:val="0"/>
                <w:caps w:val="0"/>
                <w:color w:val="0F1115"/>
                <w:spacing w:val="0"/>
                <w:sz w:val="19"/>
                <w:szCs w:val="19"/>
                <w:shd w:val="clear" w:fill="FFFFFF"/>
                <w:lang w:eastAsia="zh-CN"/>
              </w:rPr>
              <w:t>（</w:t>
            </w:r>
            <w:r>
              <w:rPr>
                <w:rFonts w:hint="default" w:ascii="Times New Roman" w:hAnsi="Times New Roman" w:eastAsia="宋体" w:cs="Times New Roman"/>
                <w:i w:val="0"/>
                <w:iCs w:val="0"/>
                <w:caps w:val="0"/>
                <w:color w:val="0F1115"/>
                <w:spacing w:val="0"/>
                <w:sz w:val="19"/>
                <w:szCs w:val="19"/>
                <w:shd w:val="clear" w:fill="FFFFFF"/>
              </w:rPr>
              <w:t>工矿仓储用地、交通运输用地等）。</w:t>
            </w:r>
          </w:p>
          <w:p w14:paraId="2D3A179D">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评价范围内生态系统以农田生态系统占主导地位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64.14%），与八街街道纯农业乡镇和县街街道农业为主的产业结构一致；森林生态系统</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含针叶林和阔叶林）占18.75%，主要分布于县街街道多山区域；城镇生态系统</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含居住地和工矿交通）占16.90%，其中县街街道工矿用地占比较高。</w:t>
            </w:r>
          </w:p>
          <w:p w14:paraId="0054E011">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3.3.6</w:t>
            </w:r>
            <w:r>
              <w:rPr>
                <w:rFonts w:hint="default" w:ascii="Times New Roman" w:hAnsi="Times New Roman" w:eastAsia="宋体" w:cs="Times New Roman"/>
                <w:b/>
                <w:bCs/>
                <w:color w:val="auto"/>
                <w:sz w:val="24"/>
                <w:highlight w:val="none"/>
                <w:lang w:val="en-US" w:eastAsia="zh-CN"/>
              </w:rPr>
              <w:t>生态敏感区现状</w:t>
            </w:r>
          </w:p>
          <w:p w14:paraId="15A5FC02">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评价范围不涉及国家公园、自然保护区、自然公园、世界自然遗产、生态保护红线、饮用水水源保护区等生态环境敏感区，也不涉及重要水生生物的自然产卵场、索饵场、越冬场和洄游通道。八街街道为安宁市南部水资源保护区，但本项目评价区不涉及饮用水水源地核心区域。</w:t>
            </w:r>
          </w:p>
          <w:p w14:paraId="41C89632">
            <w:pPr>
              <w:tabs>
                <w:tab w:val="left" w:pos="2395"/>
              </w:tabs>
              <w:spacing w:line="360" w:lineRule="auto"/>
              <w:jc w:val="left"/>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3.3.7</w:t>
            </w:r>
            <w:r>
              <w:rPr>
                <w:rFonts w:hint="default" w:ascii="Times New Roman" w:hAnsi="Times New Roman" w:eastAsia="宋体" w:cs="Times New Roman"/>
                <w:b/>
                <w:bCs/>
                <w:color w:val="auto"/>
                <w:sz w:val="24"/>
                <w:highlight w:val="none"/>
                <w:lang w:val="en-US" w:eastAsia="zh-CN"/>
              </w:rPr>
              <w:t>综合评价</w:t>
            </w:r>
          </w:p>
          <w:p w14:paraId="3A6CB125">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安宁市八街街道、县街街道项目评价区总面积1224.73 hm²，评价区地处滇中高原北亚热带低纬高原季风气候区。土地利用以耕地</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水浇地）为主</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64.14%），林地占15.34%，工矿仓储用地占6.84%。植被类型以农田作物占绝对优势</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64.14%），林地以云南松林、油杉林、蓝桉林等为主。</w:t>
            </w:r>
          </w:p>
          <w:p w14:paraId="3DD6C235">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评价区内未发现国家级和省级重点保护野生植物及古树名木；记录陆生脊椎动物约60种，其中国家一级重点保护野生动物1种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小灵猫）、国家二级重点保护野生动物3种</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虎纹蛙、领角鸮、斑头鸺鹠），受威胁物种4种。水域面积24.16 hm²，以河流水面为主，鱼类约15种，未发现集中产卵场、索饵场、越冬场和洄游通道。评价区不涉及生态保护红线、自然保护区、饮用水水源保护区等敏感区。</w:t>
            </w:r>
          </w:p>
          <w:p w14:paraId="1A1F61CE">
            <w:pPr>
              <w:tabs>
                <w:tab w:val="left" w:pos="2395"/>
              </w:tabs>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区域生态环境质量总体一般，生态系统以农田生态系统为主，森林生态系统呈斑块状分布，生物多样性处于区域中等水平。</w:t>
            </w:r>
          </w:p>
          <w:p w14:paraId="6F4CEC5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bCs w:val="0"/>
                <w:color w:val="auto"/>
                <w:sz w:val="24"/>
                <w:szCs w:val="24"/>
                <w:lang w:eastAsia="zh-CN"/>
              </w:rPr>
            </w:pPr>
            <w:r>
              <w:rPr>
                <w:rFonts w:hint="eastAsia" w:ascii="Times New Roman" w:hAnsi="Times New Roman" w:eastAsia="TimesNewRomanPS-BoldMT" w:cs="Times New Roman"/>
                <w:b/>
                <w:bCs w:val="0"/>
                <w:color w:val="auto"/>
                <w:sz w:val="24"/>
                <w:szCs w:val="24"/>
                <w:lang w:val="en-US" w:eastAsia="zh-CN"/>
              </w:rPr>
              <w:t>4</w:t>
            </w:r>
            <w:r>
              <w:rPr>
                <w:rFonts w:hint="default" w:ascii="Times New Roman" w:hAnsi="Times New Roman" w:eastAsia="TimesNewRomanPS-BoldMT" w:cs="Times New Roman"/>
                <w:b/>
                <w:bCs w:val="0"/>
                <w:color w:val="auto"/>
                <w:sz w:val="24"/>
                <w:szCs w:val="24"/>
                <w:lang w:eastAsia="zh-CN"/>
              </w:rPr>
              <w:t>、环境质量现状</w:t>
            </w:r>
          </w:p>
          <w:p w14:paraId="4A54FAF7">
            <w:pPr>
              <w:numPr>
                <w:ilvl w:val="0"/>
                <w:numId w:val="0"/>
              </w:numPr>
              <w:adjustRightInd w:val="0"/>
              <w:snapToGrid w:val="0"/>
              <w:spacing w:line="360" w:lineRule="auto"/>
              <w:jc w:val="both"/>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4.1</w:t>
            </w:r>
            <w:r>
              <w:rPr>
                <w:rFonts w:hint="default" w:ascii="Times New Roman" w:hAnsi="Times New Roman" w:eastAsia="宋体" w:cs="Times New Roman"/>
                <w:b/>
                <w:bCs/>
                <w:color w:val="auto"/>
                <w:sz w:val="24"/>
                <w:szCs w:val="24"/>
                <w:lang w:val="en-US" w:eastAsia="zh-CN"/>
              </w:rPr>
              <w:t>环境空气质量现状</w:t>
            </w:r>
          </w:p>
          <w:p w14:paraId="3F49408E">
            <w:pPr>
              <w:tabs>
                <w:tab w:val="left" w:pos="2395"/>
              </w:tabs>
              <w:spacing w:line="360" w:lineRule="auto"/>
              <w:ind w:firstLine="482" w:firstLineChars="200"/>
              <w:jc w:val="left"/>
              <w:rPr>
                <w:rFonts w:hint="default" w:ascii="Times New Roman" w:hAnsi="Times New Roman" w:eastAsia="宋体" w:cs="Times New Roman"/>
                <w:color w:val="auto"/>
                <w:sz w:val="24"/>
                <w:szCs w:val="24"/>
                <w:lang w:val="en-US" w:eastAsia="zh-CN"/>
              </w:rPr>
            </w:pPr>
            <w:r>
              <w:rPr>
                <w:rFonts w:hint="eastAsia"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1</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达标区判定</w:t>
            </w:r>
          </w:p>
          <w:p w14:paraId="2D8D1F6D">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拟建项目位于</w:t>
            </w:r>
            <w:r>
              <w:rPr>
                <w:rFonts w:hint="default" w:ascii="Times New Roman" w:hAnsi="Times New Roman" w:eastAsia="宋体" w:cs="Times New Roman"/>
                <w:color w:val="auto"/>
                <w:sz w:val="24"/>
                <w:szCs w:val="24"/>
                <w:highlight w:val="none"/>
                <w:lang w:val="en-US" w:eastAsia="zh-CN"/>
              </w:rPr>
              <w:t>安宁市</w:t>
            </w:r>
            <w:r>
              <w:rPr>
                <w:rFonts w:hint="eastAsia" w:cs="Times New Roman"/>
                <w:color w:val="auto"/>
                <w:sz w:val="24"/>
                <w:szCs w:val="24"/>
                <w:highlight w:val="none"/>
                <w:lang w:val="en-US" w:eastAsia="zh-CN"/>
              </w:rPr>
              <w:t>县街街道办事处、八街街道办事处</w:t>
            </w:r>
            <w:r>
              <w:rPr>
                <w:rFonts w:hint="default" w:ascii="Times New Roman" w:hAnsi="Times New Roman" w:eastAsia="宋体" w:cs="Times New Roman"/>
                <w:color w:val="auto"/>
                <w:sz w:val="24"/>
                <w:szCs w:val="24"/>
                <w:highlight w:val="none"/>
                <w:lang w:val="en-US" w:eastAsia="zh-CN"/>
              </w:rPr>
              <w:t>等区域，项目所</w:t>
            </w:r>
            <w:r>
              <w:rPr>
                <w:rFonts w:hint="default" w:ascii="Times New Roman" w:hAnsi="Times New Roman" w:eastAsia="宋体" w:cs="Times New Roman"/>
                <w:color w:val="auto"/>
                <w:sz w:val="24"/>
                <w:szCs w:val="24"/>
                <w:lang w:val="en-US" w:eastAsia="zh-CN"/>
              </w:rPr>
              <w:t>在区域为二类功能区，执行《环境空气质量标准》</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GB3095-20</w:t>
            </w:r>
            <w:r>
              <w:rPr>
                <w:rFonts w:hint="eastAsia" w:cs="Times New Roman"/>
                <w:color w:val="auto"/>
                <w:sz w:val="24"/>
                <w:szCs w:val="24"/>
                <w:lang w:val="en-US" w:eastAsia="zh-CN"/>
              </w:rPr>
              <w:t>26</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过渡阶段</w:t>
            </w:r>
            <w:r>
              <w:rPr>
                <w:rFonts w:hint="default" w:ascii="Times New Roman" w:hAnsi="Times New Roman" w:eastAsia="宋体" w:cs="Times New Roman"/>
                <w:color w:val="auto"/>
                <w:sz w:val="24"/>
                <w:szCs w:val="24"/>
                <w:lang w:val="en-US" w:eastAsia="zh-CN"/>
              </w:rPr>
              <w:t>二级标准。</w:t>
            </w:r>
          </w:p>
          <w:p w14:paraId="0517057F">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根据《昆明市人民政府关于2025年度环境状况和环境保护目标完成情况的报告》，</w:t>
            </w:r>
            <w:r>
              <w:rPr>
                <w:rFonts w:hint="eastAsia" w:ascii="Times New Roman" w:hAnsi="Times New Roman" w:eastAsia="宋体" w:cs="Times New Roman"/>
                <w:color w:val="auto"/>
                <w:sz w:val="24"/>
                <w:szCs w:val="24"/>
                <w:lang w:val="en-US" w:eastAsia="zh-CN"/>
              </w:rPr>
              <w:t>昆明市</w:t>
            </w:r>
            <w:r>
              <w:rPr>
                <w:rFonts w:hint="eastAsia" w:cs="Times New Roman"/>
                <w:color w:val="auto"/>
                <w:sz w:val="24"/>
                <w:szCs w:val="24"/>
                <w:lang w:val="en-US" w:eastAsia="zh-CN"/>
              </w:rPr>
              <w:t>全市</w:t>
            </w:r>
            <w:r>
              <w:rPr>
                <w:rFonts w:hint="default" w:ascii="Times New Roman" w:hAnsi="Times New Roman" w:eastAsia="宋体" w:cs="Times New Roman"/>
                <w:color w:val="auto"/>
                <w:sz w:val="24"/>
                <w:szCs w:val="24"/>
                <w:lang w:val="en-US" w:eastAsia="zh-CN"/>
              </w:rPr>
              <w:t>全年优级天数239 天，优良天数合计 363 天，优良天数比例 99.2%；空气质量综合指数同比改善 2.32%，PM₂.₅年均浓度 20μg/m³，较 “十四五” 初期 23μg/m³ 持续下降；SO₂、NO₂、CO、PM₁₀年均浓度稳定达标，臭氧污染防控成效显著，无重度污染天气。项目所在区域环境空气质量能够达到《环境空气质量标准》</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GB3095-20</w:t>
            </w:r>
            <w:r>
              <w:rPr>
                <w:rFonts w:hint="eastAsia" w:cs="Times New Roman"/>
                <w:color w:val="auto"/>
                <w:sz w:val="24"/>
                <w:szCs w:val="24"/>
                <w:lang w:val="en-US" w:eastAsia="zh-CN"/>
              </w:rPr>
              <w:t>26</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过渡阶段</w:t>
            </w:r>
            <w:r>
              <w:rPr>
                <w:rFonts w:hint="default" w:ascii="Times New Roman" w:hAnsi="Times New Roman" w:eastAsia="宋体" w:cs="Times New Roman"/>
                <w:color w:val="auto"/>
                <w:sz w:val="24"/>
                <w:szCs w:val="24"/>
                <w:lang w:val="en-US" w:eastAsia="zh-CN"/>
              </w:rPr>
              <w:t>二级标准要求，属于达标区。</w:t>
            </w:r>
          </w:p>
          <w:p w14:paraId="10A17FF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特征污染物</w:t>
            </w:r>
          </w:p>
          <w:p w14:paraId="380A53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根据区域现有污染源情况及项目排放污染物，本次评价委托</w:t>
            </w:r>
            <w:r>
              <w:rPr>
                <w:rFonts w:hint="eastAsia" w:cs="Times New Roman"/>
                <w:color w:val="auto"/>
                <w:sz w:val="24"/>
                <w:szCs w:val="24"/>
                <w:lang w:val="en-US" w:eastAsia="zh-CN"/>
              </w:rPr>
              <w:t>云南天倪检测有限公司</w:t>
            </w:r>
            <w:r>
              <w:rPr>
                <w:rFonts w:hint="default" w:ascii="Times New Roman" w:hAnsi="Times New Roman" w:eastAsia="宋体" w:cs="Times New Roman"/>
                <w:color w:val="auto"/>
                <w:sz w:val="24"/>
                <w:szCs w:val="24"/>
              </w:rPr>
              <w:t>于</w:t>
            </w:r>
            <w:r>
              <w:rPr>
                <w:rFonts w:hint="eastAsia" w:cs="Times New Roman"/>
                <w:color w:val="auto"/>
                <w:sz w:val="24"/>
                <w:szCs w:val="24"/>
                <w:lang w:eastAsia="zh-CN"/>
              </w:rPr>
              <w:t>2026年6月27日至6月29日</w:t>
            </w:r>
            <w:r>
              <w:rPr>
                <w:rFonts w:hint="default" w:ascii="Times New Roman" w:hAnsi="Times New Roman" w:eastAsia="宋体" w:cs="Times New Roman"/>
                <w:color w:val="auto"/>
                <w:sz w:val="24"/>
                <w:szCs w:val="24"/>
              </w:rPr>
              <w:t>对</w:t>
            </w:r>
            <w:r>
              <w:rPr>
                <w:rFonts w:hint="default" w:ascii="Times New Roman" w:hAnsi="Times New Roman" w:eastAsia="宋体" w:cs="Times New Roman"/>
                <w:color w:val="auto"/>
                <w:sz w:val="24"/>
                <w:szCs w:val="24"/>
                <w:lang w:val="en-US" w:eastAsia="zh-CN"/>
              </w:rPr>
              <w:t>拟建项目</w:t>
            </w:r>
            <w:r>
              <w:rPr>
                <w:rFonts w:hint="default" w:ascii="Times New Roman" w:hAnsi="Times New Roman" w:eastAsia="宋体" w:cs="Times New Roman"/>
                <w:color w:val="auto"/>
                <w:sz w:val="24"/>
                <w:szCs w:val="24"/>
              </w:rPr>
              <w:t>评价区域范围的环境空气环境质量</w:t>
            </w:r>
            <w:r>
              <w:rPr>
                <w:rFonts w:hint="eastAsia" w:cs="Times New Roman"/>
                <w:color w:val="auto"/>
                <w:sz w:val="24"/>
                <w:szCs w:val="24"/>
                <w:lang w:eastAsia="zh-CN"/>
              </w:rPr>
              <w:t>（</w:t>
            </w:r>
            <w:r>
              <w:rPr>
                <w:rFonts w:hint="default" w:ascii="Times New Roman" w:hAnsi="Times New Roman" w:eastAsia="宋体" w:cs="Times New Roman"/>
                <w:color w:val="auto"/>
                <w:sz w:val="24"/>
                <w:szCs w:val="24"/>
                <w:lang w:val="en-US" w:eastAsia="zh-CN"/>
              </w:rPr>
              <w:t>TSP</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现状进行了补充监测。</w:t>
            </w:r>
            <w:r>
              <w:rPr>
                <w:rFonts w:hint="default" w:ascii="Times New Roman" w:hAnsi="Times New Roman" w:eastAsia="宋体" w:cs="Times New Roman"/>
                <w:color w:val="auto"/>
                <w:sz w:val="24"/>
                <w:szCs w:val="24"/>
                <w:lang w:val="en-US" w:eastAsia="zh-CN"/>
              </w:rPr>
              <w:t>根据建设项目建设地点、管线走向等，分别在</w:t>
            </w:r>
            <w:r>
              <w:rPr>
                <w:rFonts w:hint="eastAsia" w:cs="Times New Roman"/>
                <w:bCs/>
                <w:color w:val="auto"/>
                <w:sz w:val="24"/>
                <w:szCs w:val="24"/>
                <w:lang w:val="en-US" w:eastAsia="zh-CN"/>
              </w:rPr>
              <w:t>上西元村、中所村</w:t>
            </w:r>
            <w:r>
              <w:rPr>
                <w:rFonts w:hint="default" w:ascii="Times New Roman" w:hAnsi="Times New Roman" w:eastAsia="宋体" w:cs="Times New Roman"/>
                <w:color w:val="auto"/>
                <w:sz w:val="24"/>
                <w:szCs w:val="24"/>
                <w:lang w:val="en-US" w:eastAsia="zh-CN"/>
              </w:rPr>
              <w:t>共计设置了</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个监测点。</w:t>
            </w:r>
          </w:p>
          <w:p w14:paraId="1666120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大气环境质量现状补充监测结果见</w:t>
            </w:r>
            <w:r>
              <w:rPr>
                <w:rFonts w:hint="eastAsia" w:cs="Times New Roman"/>
                <w:color w:val="auto"/>
                <w:sz w:val="24"/>
                <w:szCs w:val="24"/>
                <w:lang w:val="en-US" w:eastAsia="zh-CN"/>
              </w:rPr>
              <w:t>下</w:t>
            </w:r>
            <w:r>
              <w:rPr>
                <w:rFonts w:hint="default" w:ascii="Times New Roman" w:hAnsi="Times New Roman" w:eastAsia="宋体" w:cs="Times New Roman"/>
                <w:color w:val="auto"/>
                <w:sz w:val="24"/>
                <w:szCs w:val="24"/>
              </w:rPr>
              <w:t>表。</w:t>
            </w:r>
          </w:p>
          <w:p w14:paraId="00D354A9">
            <w:pPr>
              <w:widowControl/>
              <w:spacing w:line="360" w:lineRule="auto"/>
              <w:ind w:firstLine="361" w:firstLineChars="150"/>
              <w:jc w:val="center"/>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rPr>
              <w:t>表</w:t>
            </w:r>
            <w:r>
              <w:rPr>
                <w:rFonts w:hint="default" w:ascii="Times New Roman" w:hAnsi="Times New Roman" w:eastAsia="宋体" w:cs="Times New Roman"/>
                <w:b/>
                <w:color w:val="auto"/>
                <w:kern w:val="0"/>
                <w:sz w:val="24"/>
                <w:szCs w:val="24"/>
                <w:lang w:val="en-US" w:eastAsia="zh-CN"/>
              </w:rPr>
              <w:t>3</w:t>
            </w:r>
            <w:r>
              <w:rPr>
                <w:rFonts w:hint="default" w:ascii="Times New Roman" w:hAnsi="Times New Roman" w:eastAsia="宋体" w:cs="Times New Roman"/>
                <w:b/>
                <w:color w:val="auto"/>
                <w:kern w:val="0"/>
                <w:sz w:val="24"/>
                <w:szCs w:val="24"/>
              </w:rPr>
              <w:t>-</w:t>
            </w:r>
            <w:r>
              <w:rPr>
                <w:rFonts w:hint="eastAsia" w:cs="Times New Roman"/>
                <w:b/>
                <w:color w:val="auto"/>
                <w:kern w:val="0"/>
                <w:sz w:val="24"/>
                <w:szCs w:val="24"/>
                <w:lang w:val="en-US" w:eastAsia="zh-CN"/>
              </w:rPr>
              <w:t>7</w:t>
            </w:r>
            <w:r>
              <w:rPr>
                <w:rFonts w:hint="default" w:ascii="Times New Roman" w:hAnsi="Times New Roman" w:eastAsia="宋体" w:cs="Times New Roman"/>
                <w:b/>
                <w:color w:val="auto"/>
                <w:kern w:val="0"/>
                <w:sz w:val="24"/>
                <w:szCs w:val="24"/>
                <w:lang w:val="en-US" w:eastAsia="zh-CN"/>
              </w:rPr>
              <w:t xml:space="preserve">    </w:t>
            </w:r>
            <w:r>
              <w:rPr>
                <w:rFonts w:hint="default" w:ascii="Times New Roman" w:hAnsi="Times New Roman" w:eastAsia="宋体" w:cs="Times New Roman"/>
                <w:b/>
                <w:color w:val="auto"/>
                <w:kern w:val="0"/>
                <w:sz w:val="24"/>
                <w:szCs w:val="24"/>
              </w:rPr>
              <w:t>大气环境质量现状检测结果一览表</w:t>
            </w:r>
            <w:r>
              <w:rPr>
                <w:rFonts w:hint="eastAsia" w:cs="Times New Roman"/>
                <w:b/>
                <w:color w:val="auto"/>
                <w:kern w:val="0"/>
                <w:sz w:val="24"/>
                <w:szCs w:val="24"/>
                <w:lang w:eastAsia="zh-CN"/>
              </w:rPr>
              <w:t>（</w:t>
            </w:r>
            <w:r>
              <w:rPr>
                <w:rFonts w:hint="default" w:ascii="Times New Roman" w:hAnsi="Times New Roman" w:eastAsia="宋体" w:cs="Times New Roman"/>
                <w:b/>
                <w:color w:val="auto"/>
                <w:kern w:val="0"/>
                <w:sz w:val="24"/>
                <w:szCs w:val="24"/>
              </w:rPr>
              <w:t>单位：mg/m</w:t>
            </w:r>
            <w:r>
              <w:rPr>
                <w:rFonts w:hint="default" w:ascii="Times New Roman" w:hAnsi="Times New Roman" w:eastAsia="宋体" w:cs="Times New Roman"/>
                <w:b/>
                <w:color w:val="auto"/>
                <w:kern w:val="0"/>
                <w:sz w:val="24"/>
                <w:szCs w:val="24"/>
                <w:vertAlign w:val="superscript"/>
              </w:rPr>
              <w:t>3</w:t>
            </w:r>
            <w:r>
              <w:rPr>
                <w:rFonts w:hint="default" w:ascii="Times New Roman" w:hAnsi="Times New Roman" w:eastAsia="宋体" w:cs="Times New Roman"/>
                <w:b/>
                <w:color w:val="auto"/>
                <w:kern w:val="0"/>
                <w:sz w:val="24"/>
                <w:szCs w:val="24"/>
              </w:rPr>
              <w:t>）</w:t>
            </w:r>
          </w:p>
          <w:tbl>
            <w:tblPr>
              <w:tblStyle w:val="26"/>
              <w:tblW w:w="79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1311"/>
              <w:gridCol w:w="1683"/>
              <w:gridCol w:w="2046"/>
              <w:gridCol w:w="1687"/>
            </w:tblGrid>
            <w:tr w14:paraId="1F3F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1258" w:type="dxa"/>
                  <w:noWrap w:val="0"/>
                  <w:vAlign w:val="center"/>
                </w:tcPr>
                <w:p w14:paraId="1E43FB45">
                  <w:pPr>
                    <w:ind w:left="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检测点位</w:t>
                  </w:r>
                </w:p>
              </w:tc>
              <w:tc>
                <w:tcPr>
                  <w:tcW w:w="2994" w:type="dxa"/>
                  <w:gridSpan w:val="2"/>
                  <w:noWrap w:val="0"/>
                  <w:vAlign w:val="center"/>
                </w:tcPr>
                <w:p w14:paraId="0531EB8B">
                  <w:pPr>
                    <w:ind w:left="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lang w:eastAsia="zh-CN"/>
                    </w:rPr>
                    <w:t>采样</w:t>
                  </w:r>
                  <w:r>
                    <w:rPr>
                      <w:rFonts w:hint="default" w:ascii="Times New Roman" w:hAnsi="Times New Roman" w:cs="Times New Roman"/>
                      <w:bCs/>
                      <w:color w:val="auto"/>
                      <w:sz w:val="21"/>
                      <w:szCs w:val="21"/>
                    </w:rPr>
                    <w:t>时间</w:t>
                  </w:r>
                </w:p>
              </w:tc>
              <w:tc>
                <w:tcPr>
                  <w:tcW w:w="2046" w:type="dxa"/>
                  <w:noWrap w:val="0"/>
                  <w:vAlign w:val="center"/>
                </w:tcPr>
                <w:p w14:paraId="5CA8838F">
                  <w:pPr>
                    <w:ind w:left="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样品编号</w:t>
                  </w:r>
                </w:p>
              </w:tc>
              <w:tc>
                <w:tcPr>
                  <w:tcW w:w="1687" w:type="dxa"/>
                  <w:noWrap w:val="0"/>
                  <w:vAlign w:val="center"/>
                </w:tcPr>
                <w:p w14:paraId="5F5FA6D5">
                  <w:pPr>
                    <w:ind w:left="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lang w:val="en-US" w:eastAsia="zh-CN"/>
                    </w:rPr>
                    <w:t>TSP</w:t>
                  </w:r>
                  <w:r>
                    <w:rPr>
                      <w:rFonts w:hint="eastAsia" w:cs="Times New Roman"/>
                      <w:bCs/>
                      <w:color w:val="auto"/>
                      <w:sz w:val="21"/>
                      <w:szCs w:val="21"/>
                      <w:lang w:eastAsia="zh-CN"/>
                    </w:rPr>
                    <w:t>（</w:t>
                  </w:r>
                  <w:r>
                    <w:rPr>
                      <w:rFonts w:hint="default" w:ascii="Times New Roman" w:hAnsi="Times New Roman" w:cs="Times New Roman"/>
                      <w:bCs/>
                      <w:color w:val="auto"/>
                      <w:sz w:val="21"/>
                      <w:szCs w:val="21"/>
                    </w:rPr>
                    <w:t>mg/m</w:t>
                  </w:r>
                  <w:r>
                    <w:rPr>
                      <w:rFonts w:hint="default" w:ascii="Times New Roman" w:hAnsi="Times New Roman" w:cs="Times New Roman"/>
                      <w:bCs/>
                      <w:color w:val="auto"/>
                      <w:sz w:val="21"/>
                      <w:szCs w:val="21"/>
                      <w:vertAlign w:val="superscript"/>
                    </w:rPr>
                    <w:t>3</w:t>
                  </w:r>
                  <w:r>
                    <w:rPr>
                      <w:rFonts w:hint="default" w:ascii="Times New Roman" w:hAnsi="Times New Roman" w:cs="Times New Roman"/>
                      <w:bCs/>
                      <w:color w:val="auto"/>
                      <w:sz w:val="21"/>
                      <w:szCs w:val="21"/>
                    </w:rPr>
                    <w:t>）</w:t>
                  </w:r>
                </w:p>
              </w:tc>
            </w:tr>
            <w:tr w14:paraId="2F2C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58" w:type="dxa"/>
                  <w:vMerge w:val="restart"/>
                  <w:noWrap w:val="0"/>
                  <w:vAlign w:val="center"/>
                </w:tcPr>
                <w:p w14:paraId="15935406">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迤马湾村</w:t>
                  </w:r>
                </w:p>
              </w:tc>
              <w:tc>
                <w:tcPr>
                  <w:tcW w:w="1311" w:type="dxa"/>
                  <w:noWrap w:val="0"/>
                  <w:vAlign w:val="center"/>
                </w:tcPr>
                <w:p w14:paraId="5947A5C5">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202</w:t>
                  </w:r>
                  <w:r>
                    <w:rPr>
                      <w:rFonts w:hint="eastAsia" w:cs="Times New Roman"/>
                      <w:bCs/>
                      <w:color w:val="auto"/>
                      <w:sz w:val="21"/>
                      <w:szCs w:val="21"/>
                      <w:lang w:val="en-US" w:eastAsia="zh-CN"/>
                    </w:rPr>
                    <w:t>6.6.27</w:t>
                  </w:r>
                </w:p>
              </w:tc>
              <w:tc>
                <w:tcPr>
                  <w:tcW w:w="1683" w:type="dxa"/>
                  <w:noWrap w:val="0"/>
                  <w:vAlign w:val="center"/>
                </w:tcPr>
                <w:p w14:paraId="7DBB2B19">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default" w:ascii="Times New Roman" w:hAnsi="Times New Roman" w:eastAsia="宋体" w:cs="Times New Roman"/>
                      <w:bCs/>
                      <w:color w:val="auto"/>
                      <w:sz w:val="21"/>
                      <w:szCs w:val="21"/>
                      <w:lang w:val="en-US" w:eastAsia="zh-CN"/>
                    </w:rPr>
                    <w:t>00</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00～24</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w:t>
                  </w:r>
                </w:p>
              </w:tc>
              <w:tc>
                <w:tcPr>
                  <w:tcW w:w="2046" w:type="dxa"/>
                  <w:noWrap w:val="0"/>
                  <w:vAlign w:val="center"/>
                </w:tcPr>
                <w:p w14:paraId="3B118EDE">
                  <w:pPr>
                    <w:widowControl w:val="0"/>
                    <w:spacing w:line="240" w:lineRule="auto"/>
                    <w:ind w:left="0" w:leftChars="0"/>
                    <w:jc w:val="center"/>
                    <w:rPr>
                      <w:rFonts w:hint="default" w:ascii="Times New Roman" w:hAnsi="Times New Roman" w:cs="Times New Roman"/>
                      <w:color w:val="auto"/>
                      <w:spacing w:val="-5"/>
                      <w:sz w:val="21"/>
                      <w:szCs w:val="21"/>
                      <w:lang w:val="en-US" w:eastAsia="zh-CN" w:bidi="he-IL"/>
                    </w:rPr>
                  </w:pPr>
                  <w:r>
                    <w:rPr>
                      <w:rFonts w:hint="eastAsia" w:cs="Times New Roman"/>
                      <w:color w:val="auto"/>
                      <w:sz w:val="21"/>
                      <w:szCs w:val="21"/>
                      <w:lang w:val="en-US" w:eastAsia="zh-CN"/>
                    </w:rPr>
                    <w:t>H1-1-1</w:t>
                  </w:r>
                </w:p>
              </w:tc>
              <w:tc>
                <w:tcPr>
                  <w:tcW w:w="1687" w:type="dxa"/>
                  <w:noWrap w:val="0"/>
                  <w:vAlign w:val="center"/>
                </w:tcPr>
                <w:p w14:paraId="39871B47">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0.1</w:t>
                  </w:r>
                  <w:r>
                    <w:rPr>
                      <w:rFonts w:hint="eastAsia" w:cs="Times New Roman"/>
                      <w:bCs/>
                      <w:color w:val="auto"/>
                      <w:sz w:val="21"/>
                      <w:szCs w:val="21"/>
                      <w:lang w:val="en-US" w:eastAsia="zh-CN"/>
                    </w:rPr>
                    <w:t>12</w:t>
                  </w:r>
                </w:p>
              </w:tc>
            </w:tr>
            <w:tr w14:paraId="3B34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58" w:type="dxa"/>
                  <w:vMerge w:val="continue"/>
                  <w:noWrap w:val="0"/>
                  <w:vAlign w:val="center"/>
                </w:tcPr>
                <w:p w14:paraId="5A179023">
                  <w:pPr>
                    <w:ind w:left="0"/>
                    <w:jc w:val="center"/>
                    <w:rPr>
                      <w:rFonts w:hint="default" w:ascii="Times New Roman" w:hAnsi="Times New Roman" w:cs="Times New Roman"/>
                      <w:bCs/>
                      <w:color w:val="auto"/>
                      <w:sz w:val="21"/>
                      <w:szCs w:val="21"/>
                    </w:rPr>
                  </w:pPr>
                </w:p>
              </w:tc>
              <w:tc>
                <w:tcPr>
                  <w:tcW w:w="1311" w:type="dxa"/>
                  <w:noWrap w:val="0"/>
                  <w:vAlign w:val="center"/>
                </w:tcPr>
                <w:p w14:paraId="1979B311">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202</w:t>
                  </w:r>
                  <w:r>
                    <w:rPr>
                      <w:rFonts w:hint="eastAsia" w:cs="Times New Roman"/>
                      <w:bCs/>
                      <w:color w:val="auto"/>
                      <w:sz w:val="21"/>
                      <w:szCs w:val="21"/>
                      <w:lang w:val="en-US" w:eastAsia="zh-CN"/>
                    </w:rPr>
                    <w:t>6.6.28</w:t>
                  </w:r>
                </w:p>
              </w:tc>
              <w:tc>
                <w:tcPr>
                  <w:tcW w:w="1683" w:type="dxa"/>
                  <w:noWrap w:val="0"/>
                  <w:vAlign w:val="center"/>
                </w:tcPr>
                <w:p w14:paraId="0ACB50EF">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default" w:ascii="Times New Roman" w:hAnsi="Times New Roman" w:eastAsia="宋体" w:cs="Times New Roman"/>
                      <w:bCs/>
                      <w:color w:val="auto"/>
                      <w:sz w:val="21"/>
                      <w:szCs w:val="21"/>
                      <w:lang w:val="en-US" w:eastAsia="zh-CN"/>
                    </w:rPr>
                    <w:t>00</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00～24</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w:t>
                  </w:r>
                </w:p>
              </w:tc>
              <w:tc>
                <w:tcPr>
                  <w:tcW w:w="2046" w:type="dxa"/>
                  <w:noWrap w:val="0"/>
                  <w:vAlign w:val="center"/>
                </w:tcPr>
                <w:p w14:paraId="35456692">
                  <w:pPr>
                    <w:widowControl w:val="0"/>
                    <w:spacing w:line="240" w:lineRule="auto"/>
                    <w:ind w:left="0" w:leftChars="0"/>
                    <w:jc w:val="center"/>
                    <w:rPr>
                      <w:rFonts w:hint="default" w:ascii="Times New Roman" w:hAnsi="Times New Roman" w:cs="Times New Roman"/>
                      <w:color w:val="auto"/>
                      <w:spacing w:val="-5"/>
                      <w:sz w:val="21"/>
                      <w:szCs w:val="21"/>
                      <w:lang w:val="en-US" w:eastAsia="zh-CN" w:bidi="he-IL"/>
                    </w:rPr>
                  </w:pPr>
                  <w:r>
                    <w:rPr>
                      <w:rFonts w:hint="eastAsia" w:cs="Times New Roman"/>
                      <w:color w:val="auto"/>
                      <w:sz w:val="21"/>
                      <w:szCs w:val="21"/>
                      <w:lang w:val="en-US" w:eastAsia="zh-CN"/>
                    </w:rPr>
                    <w:t>H1-2-1</w:t>
                  </w:r>
                </w:p>
              </w:tc>
              <w:tc>
                <w:tcPr>
                  <w:tcW w:w="1687" w:type="dxa"/>
                  <w:noWrap w:val="0"/>
                  <w:vAlign w:val="center"/>
                </w:tcPr>
                <w:p w14:paraId="4AFD652C">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0.1</w:t>
                  </w:r>
                  <w:r>
                    <w:rPr>
                      <w:rFonts w:hint="eastAsia" w:cs="Times New Roman"/>
                      <w:bCs/>
                      <w:color w:val="auto"/>
                      <w:sz w:val="21"/>
                      <w:szCs w:val="21"/>
                      <w:lang w:val="en-US" w:eastAsia="zh-CN"/>
                    </w:rPr>
                    <w:t>16</w:t>
                  </w:r>
                </w:p>
              </w:tc>
            </w:tr>
            <w:tr w14:paraId="2EDE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58" w:type="dxa"/>
                  <w:vMerge w:val="continue"/>
                  <w:noWrap w:val="0"/>
                  <w:vAlign w:val="center"/>
                </w:tcPr>
                <w:p w14:paraId="7D469F33">
                  <w:pPr>
                    <w:ind w:left="0"/>
                    <w:jc w:val="center"/>
                    <w:rPr>
                      <w:rFonts w:hint="default" w:ascii="Times New Roman" w:hAnsi="Times New Roman" w:cs="Times New Roman"/>
                      <w:bCs/>
                      <w:color w:val="auto"/>
                      <w:sz w:val="21"/>
                      <w:szCs w:val="21"/>
                    </w:rPr>
                  </w:pPr>
                </w:p>
              </w:tc>
              <w:tc>
                <w:tcPr>
                  <w:tcW w:w="1311" w:type="dxa"/>
                  <w:noWrap w:val="0"/>
                  <w:vAlign w:val="center"/>
                </w:tcPr>
                <w:p w14:paraId="3EA43B84">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202</w:t>
                  </w:r>
                  <w:r>
                    <w:rPr>
                      <w:rFonts w:hint="eastAsia" w:cs="Times New Roman"/>
                      <w:bCs/>
                      <w:color w:val="auto"/>
                      <w:sz w:val="21"/>
                      <w:szCs w:val="21"/>
                      <w:lang w:val="en-US" w:eastAsia="zh-CN"/>
                    </w:rPr>
                    <w:t>6.6.29</w:t>
                  </w:r>
                </w:p>
              </w:tc>
              <w:tc>
                <w:tcPr>
                  <w:tcW w:w="1683" w:type="dxa"/>
                  <w:noWrap w:val="0"/>
                  <w:vAlign w:val="center"/>
                </w:tcPr>
                <w:p w14:paraId="17721308">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default" w:ascii="Times New Roman" w:hAnsi="Times New Roman" w:eastAsia="宋体" w:cs="Times New Roman"/>
                      <w:bCs/>
                      <w:color w:val="auto"/>
                      <w:sz w:val="21"/>
                      <w:szCs w:val="21"/>
                      <w:lang w:val="en-US" w:eastAsia="zh-CN"/>
                    </w:rPr>
                    <w:t>00</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00～24</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w:t>
                  </w:r>
                </w:p>
              </w:tc>
              <w:tc>
                <w:tcPr>
                  <w:tcW w:w="2046" w:type="dxa"/>
                  <w:noWrap w:val="0"/>
                  <w:vAlign w:val="center"/>
                </w:tcPr>
                <w:p w14:paraId="2854692E">
                  <w:pPr>
                    <w:widowControl w:val="0"/>
                    <w:spacing w:line="240" w:lineRule="auto"/>
                    <w:ind w:left="0" w:leftChars="0"/>
                    <w:jc w:val="center"/>
                    <w:rPr>
                      <w:rFonts w:hint="default" w:ascii="Times New Roman" w:hAnsi="Times New Roman" w:cs="Times New Roman"/>
                      <w:color w:val="auto"/>
                      <w:spacing w:val="-5"/>
                      <w:sz w:val="21"/>
                      <w:szCs w:val="21"/>
                      <w:lang w:val="en-US" w:eastAsia="zh-CN" w:bidi="he-IL"/>
                    </w:rPr>
                  </w:pPr>
                  <w:r>
                    <w:rPr>
                      <w:rFonts w:hint="eastAsia" w:cs="Times New Roman"/>
                      <w:color w:val="auto"/>
                      <w:sz w:val="21"/>
                      <w:szCs w:val="21"/>
                      <w:lang w:val="en-US" w:eastAsia="zh-CN"/>
                    </w:rPr>
                    <w:t>H1-3-1</w:t>
                  </w:r>
                </w:p>
              </w:tc>
              <w:tc>
                <w:tcPr>
                  <w:tcW w:w="1687" w:type="dxa"/>
                  <w:noWrap w:val="0"/>
                  <w:vAlign w:val="center"/>
                </w:tcPr>
                <w:p w14:paraId="58A52DE3">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0.1</w:t>
                  </w:r>
                  <w:r>
                    <w:rPr>
                      <w:rFonts w:hint="eastAsia" w:cs="Times New Roman"/>
                      <w:bCs/>
                      <w:color w:val="auto"/>
                      <w:sz w:val="21"/>
                      <w:szCs w:val="21"/>
                      <w:lang w:val="en-US" w:eastAsia="zh-CN"/>
                    </w:rPr>
                    <w:t>11</w:t>
                  </w:r>
                </w:p>
              </w:tc>
            </w:tr>
            <w:tr w14:paraId="24FF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58" w:type="dxa"/>
                  <w:vMerge w:val="restart"/>
                  <w:noWrap w:val="0"/>
                  <w:vAlign w:val="center"/>
                </w:tcPr>
                <w:p w14:paraId="45B1500A">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color w:val="auto"/>
                    </w:rPr>
                    <w:t>读</w:t>
                  </w:r>
                  <w:r>
                    <w:rPr>
                      <w:rFonts w:hint="default" w:ascii="Times New Roman" w:hAnsi="Times New Roman" w:eastAsia="宋体" w:cs="Times New Roman"/>
                      <w:bCs/>
                      <w:color w:val="auto"/>
                      <w:sz w:val="21"/>
                      <w:szCs w:val="21"/>
                      <w:lang w:val="en-US" w:eastAsia="zh-CN"/>
                    </w:rPr>
                    <w:t>书铺村</w:t>
                  </w:r>
                </w:p>
              </w:tc>
              <w:tc>
                <w:tcPr>
                  <w:tcW w:w="1311" w:type="dxa"/>
                  <w:noWrap w:val="0"/>
                  <w:vAlign w:val="center"/>
                </w:tcPr>
                <w:p w14:paraId="38942A8F">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default" w:ascii="Times New Roman" w:hAnsi="Times New Roman" w:eastAsia="宋体" w:cs="Times New Roman"/>
                      <w:bCs/>
                      <w:color w:val="auto"/>
                      <w:sz w:val="21"/>
                      <w:szCs w:val="21"/>
                      <w:lang w:val="en-US" w:eastAsia="zh-CN"/>
                    </w:rPr>
                    <w:t>202</w:t>
                  </w:r>
                  <w:r>
                    <w:rPr>
                      <w:rFonts w:hint="eastAsia" w:cs="Times New Roman"/>
                      <w:bCs/>
                      <w:color w:val="auto"/>
                      <w:sz w:val="21"/>
                      <w:szCs w:val="21"/>
                      <w:lang w:val="en-US" w:eastAsia="zh-CN"/>
                    </w:rPr>
                    <w:t>6.6.27</w:t>
                  </w:r>
                </w:p>
              </w:tc>
              <w:tc>
                <w:tcPr>
                  <w:tcW w:w="1683" w:type="dxa"/>
                  <w:noWrap w:val="0"/>
                  <w:vAlign w:val="center"/>
                </w:tcPr>
                <w:p w14:paraId="09938DC3">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default" w:ascii="Times New Roman" w:hAnsi="Times New Roman" w:eastAsia="宋体" w:cs="Times New Roman"/>
                      <w:bCs/>
                      <w:color w:val="auto"/>
                      <w:sz w:val="21"/>
                      <w:szCs w:val="21"/>
                      <w:lang w:val="en-US" w:eastAsia="zh-CN"/>
                    </w:rPr>
                    <w:t>00</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00～24</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w:t>
                  </w:r>
                </w:p>
              </w:tc>
              <w:tc>
                <w:tcPr>
                  <w:tcW w:w="2046" w:type="dxa"/>
                  <w:noWrap w:val="0"/>
                  <w:vAlign w:val="center"/>
                </w:tcPr>
                <w:p w14:paraId="4FAAAC66">
                  <w:pPr>
                    <w:widowControl w:val="0"/>
                    <w:spacing w:line="240" w:lineRule="auto"/>
                    <w:ind w:left="0" w:leftChars="0"/>
                    <w:jc w:val="center"/>
                    <w:rPr>
                      <w:rFonts w:hint="default" w:ascii="Times New Roman" w:hAnsi="Times New Roman" w:cs="Times New Roman"/>
                      <w:color w:val="auto"/>
                      <w:spacing w:val="-5"/>
                      <w:sz w:val="21"/>
                      <w:szCs w:val="21"/>
                      <w:lang w:val="en-US" w:eastAsia="zh-CN" w:bidi="he-IL"/>
                    </w:rPr>
                  </w:pPr>
                  <w:r>
                    <w:rPr>
                      <w:rFonts w:hint="eastAsia" w:cs="Times New Roman"/>
                      <w:color w:val="auto"/>
                      <w:sz w:val="21"/>
                      <w:szCs w:val="21"/>
                      <w:lang w:val="en-US" w:eastAsia="zh-CN"/>
                    </w:rPr>
                    <w:t>H2-1-1</w:t>
                  </w:r>
                </w:p>
              </w:tc>
              <w:tc>
                <w:tcPr>
                  <w:tcW w:w="1687" w:type="dxa"/>
                  <w:noWrap w:val="0"/>
                  <w:vAlign w:val="center"/>
                </w:tcPr>
                <w:p w14:paraId="33914094">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0.1</w:t>
                  </w:r>
                  <w:r>
                    <w:rPr>
                      <w:rFonts w:hint="eastAsia" w:cs="Times New Roman"/>
                      <w:bCs/>
                      <w:color w:val="auto"/>
                      <w:sz w:val="21"/>
                      <w:szCs w:val="21"/>
                      <w:lang w:val="en-US" w:eastAsia="zh-CN"/>
                    </w:rPr>
                    <w:t>19</w:t>
                  </w:r>
                </w:p>
              </w:tc>
            </w:tr>
            <w:tr w14:paraId="6692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58" w:type="dxa"/>
                  <w:vMerge w:val="continue"/>
                  <w:noWrap w:val="0"/>
                  <w:vAlign w:val="center"/>
                </w:tcPr>
                <w:p w14:paraId="415D039E">
                  <w:pPr>
                    <w:ind w:left="0"/>
                    <w:jc w:val="center"/>
                    <w:rPr>
                      <w:rFonts w:hint="default" w:ascii="Times New Roman" w:hAnsi="Times New Roman" w:eastAsia="宋体" w:cs="Times New Roman"/>
                      <w:bCs/>
                      <w:color w:val="auto"/>
                      <w:sz w:val="21"/>
                      <w:szCs w:val="21"/>
                      <w:lang w:val="en-US" w:eastAsia="zh-CN"/>
                    </w:rPr>
                  </w:pPr>
                </w:p>
              </w:tc>
              <w:tc>
                <w:tcPr>
                  <w:tcW w:w="1311" w:type="dxa"/>
                  <w:noWrap w:val="0"/>
                  <w:vAlign w:val="center"/>
                </w:tcPr>
                <w:p w14:paraId="4BB94C48">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default" w:ascii="Times New Roman" w:hAnsi="Times New Roman" w:eastAsia="宋体" w:cs="Times New Roman"/>
                      <w:bCs/>
                      <w:color w:val="auto"/>
                      <w:sz w:val="21"/>
                      <w:szCs w:val="21"/>
                      <w:lang w:val="en-US" w:eastAsia="zh-CN"/>
                    </w:rPr>
                    <w:t>202</w:t>
                  </w:r>
                  <w:r>
                    <w:rPr>
                      <w:rFonts w:hint="eastAsia" w:cs="Times New Roman"/>
                      <w:bCs/>
                      <w:color w:val="auto"/>
                      <w:sz w:val="21"/>
                      <w:szCs w:val="21"/>
                      <w:lang w:val="en-US" w:eastAsia="zh-CN"/>
                    </w:rPr>
                    <w:t>6.6.28</w:t>
                  </w:r>
                </w:p>
              </w:tc>
              <w:tc>
                <w:tcPr>
                  <w:tcW w:w="1683" w:type="dxa"/>
                  <w:noWrap w:val="0"/>
                  <w:vAlign w:val="center"/>
                </w:tcPr>
                <w:p w14:paraId="1CFC5104">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default" w:ascii="Times New Roman" w:hAnsi="Times New Roman" w:eastAsia="宋体" w:cs="Times New Roman"/>
                      <w:bCs/>
                      <w:color w:val="auto"/>
                      <w:sz w:val="21"/>
                      <w:szCs w:val="21"/>
                      <w:lang w:val="en-US" w:eastAsia="zh-CN"/>
                    </w:rPr>
                    <w:t>00</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00～24</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w:t>
                  </w:r>
                </w:p>
              </w:tc>
              <w:tc>
                <w:tcPr>
                  <w:tcW w:w="2046" w:type="dxa"/>
                  <w:noWrap w:val="0"/>
                  <w:vAlign w:val="center"/>
                </w:tcPr>
                <w:p w14:paraId="4507532F">
                  <w:pPr>
                    <w:widowControl w:val="0"/>
                    <w:spacing w:line="240" w:lineRule="auto"/>
                    <w:ind w:left="0" w:leftChars="0"/>
                    <w:jc w:val="center"/>
                    <w:rPr>
                      <w:rFonts w:hint="default" w:ascii="Times New Roman" w:hAnsi="Times New Roman" w:cs="Times New Roman"/>
                      <w:color w:val="auto"/>
                      <w:spacing w:val="-5"/>
                      <w:sz w:val="21"/>
                      <w:szCs w:val="21"/>
                      <w:lang w:val="en-US" w:eastAsia="zh-CN" w:bidi="he-IL"/>
                    </w:rPr>
                  </w:pPr>
                  <w:r>
                    <w:rPr>
                      <w:rFonts w:hint="eastAsia" w:cs="Times New Roman"/>
                      <w:color w:val="auto"/>
                      <w:sz w:val="21"/>
                      <w:szCs w:val="21"/>
                      <w:lang w:val="en-US" w:eastAsia="zh-CN"/>
                    </w:rPr>
                    <w:t>H2-2-1</w:t>
                  </w:r>
                </w:p>
              </w:tc>
              <w:tc>
                <w:tcPr>
                  <w:tcW w:w="1687" w:type="dxa"/>
                  <w:noWrap w:val="0"/>
                  <w:vAlign w:val="center"/>
                </w:tcPr>
                <w:p w14:paraId="186C3E8A">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0.1</w:t>
                  </w:r>
                  <w:r>
                    <w:rPr>
                      <w:rFonts w:hint="eastAsia" w:cs="Times New Roman"/>
                      <w:bCs/>
                      <w:color w:val="auto"/>
                      <w:sz w:val="21"/>
                      <w:szCs w:val="21"/>
                      <w:lang w:val="en-US" w:eastAsia="zh-CN"/>
                    </w:rPr>
                    <w:t>07</w:t>
                  </w:r>
                </w:p>
              </w:tc>
            </w:tr>
            <w:tr w14:paraId="44D4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58" w:type="dxa"/>
                  <w:vMerge w:val="continue"/>
                  <w:noWrap w:val="0"/>
                  <w:vAlign w:val="center"/>
                </w:tcPr>
                <w:p w14:paraId="4561D3FB">
                  <w:pPr>
                    <w:ind w:left="0"/>
                    <w:jc w:val="center"/>
                    <w:rPr>
                      <w:rFonts w:hint="default" w:ascii="Times New Roman" w:hAnsi="Times New Roman" w:cs="Times New Roman"/>
                      <w:bCs/>
                      <w:color w:val="auto"/>
                      <w:sz w:val="21"/>
                      <w:szCs w:val="21"/>
                    </w:rPr>
                  </w:pPr>
                </w:p>
              </w:tc>
              <w:tc>
                <w:tcPr>
                  <w:tcW w:w="1311" w:type="dxa"/>
                  <w:noWrap w:val="0"/>
                  <w:vAlign w:val="center"/>
                </w:tcPr>
                <w:p w14:paraId="0741426D">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default" w:ascii="Times New Roman" w:hAnsi="Times New Roman" w:eastAsia="宋体" w:cs="Times New Roman"/>
                      <w:bCs/>
                      <w:color w:val="auto"/>
                      <w:sz w:val="21"/>
                      <w:szCs w:val="21"/>
                      <w:lang w:val="en-US" w:eastAsia="zh-CN"/>
                    </w:rPr>
                    <w:t>202</w:t>
                  </w:r>
                  <w:r>
                    <w:rPr>
                      <w:rFonts w:hint="eastAsia" w:cs="Times New Roman"/>
                      <w:bCs/>
                      <w:color w:val="auto"/>
                      <w:sz w:val="21"/>
                      <w:szCs w:val="21"/>
                      <w:lang w:val="en-US" w:eastAsia="zh-CN"/>
                    </w:rPr>
                    <w:t>6.6.29</w:t>
                  </w:r>
                </w:p>
              </w:tc>
              <w:tc>
                <w:tcPr>
                  <w:tcW w:w="1683" w:type="dxa"/>
                  <w:noWrap w:val="0"/>
                  <w:vAlign w:val="center"/>
                </w:tcPr>
                <w:p w14:paraId="2AD7C137">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default" w:ascii="Times New Roman" w:hAnsi="Times New Roman" w:eastAsia="宋体" w:cs="Times New Roman"/>
                      <w:bCs/>
                      <w:color w:val="auto"/>
                      <w:sz w:val="21"/>
                      <w:szCs w:val="21"/>
                      <w:lang w:val="en-US" w:eastAsia="zh-CN"/>
                    </w:rPr>
                    <w:t>00</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00～24</w:t>
                  </w:r>
                  <w:r>
                    <w:rPr>
                      <w:rFonts w:hint="eastAsia"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00</w:t>
                  </w:r>
                </w:p>
              </w:tc>
              <w:tc>
                <w:tcPr>
                  <w:tcW w:w="2046" w:type="dxa"/>
                  <w:noWrap w:val="0"/>
                  <w:vAlign w:val="center"/>
                </w:tcPr>
                <w:p w14:paraId="70CD18D8">
                  <w:pPr>
                    <w:widowControl w:val="0"/>
                    <w:spacing w:line="240" w:lineRule="auto"/>
                    <w:ind w:left="0" w:leftChars="0"/>
                    <w:jc w:val="center"/>
                    <w:rPr>
                      <w:rFonts w:hint="default" w:ascii="Times New Roman" w:hAnsi="Times New Roman" w:cs="Times New Roman"/>
                      <w:color w:val="auto"/>
                      <w:spacing w:val="-5"/>
                      <w:sz w:val="21"/>
                      <w:szCs w:val="21"/>
                      <w:lang w:val="en-US" w:eastAsia="zh-CN" w:bidi="he-IL"/>
                    </w:rPr>
                  </w:pPr>
                  <w:r>
                    <w:rPr>
                      <w:rFonts w:hint="eastAsia" w:cs="Times New Roman"/>
                      <w:color w:val="auto"/>
                      <w:sz w:val="21"/>
                      <w:szCs w:val="21"/>
                      <w:lang w:val="en-US" w:eastAsia="zh-CN"/>
                    </w:rPr>
                    <w:t>H2-3-1</w:t>
                  </w:r>
                </w:p>
              </w:tc>
              <w:tc>
                <w:tcPr>
                  <w:tcW w:w="1687" w:type="dxa"/>
                  <w:noWrap w:val="0"/>
                  <w:vAlign w:val="center"/>
                </w:tcPr>
                <w:p w14:paraId="7B6E1E99">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0.12</w:t>
                  </w:r>
                  <w:r>
                    <w:rPr>
                      <w:rFonts w:hint="eastAsia" w:cs="Times New Roman"/>
                      <w:bCs/>
                      <w:color w:val="auto"/>
                      <w:sz w:val="21"/>
                      <w:szCs w:val="21"/>
                      <w:lang w:val="en-US" w:eastAsia="zh-CN"/>
                    </w:rPr>
                    <w:t>2</w:t>
                  </w:r>
                </w:p>
              </w:tc>
            </w:tr>
          </w:tbl>
          <w:p w14:paraId="4E56D25D">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color w:val="auto"/>
                <w:sz w:val="24"/>
                <w:szCs w:val="24"/>
                <w:lang w:val="en-US" w:eastAsia="zh-CN"/>
              </w:rPr>
              <w:t>根据补充监测结果分析，项目区TSP日均浓度值小于《环境空气质量标准》</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GB3095-20</w:t>
            </w:r>
            <w:r>
              <w:rPr>
                <w:rFonts w:hint="eastAsia" w:cs="Times New Roman"/>
                <w:color w:val="auto"/>
                <w:sz w:val="24"/>
                <w:szCs w:val="24"/>
                <w:lang w:val="en-US" w:eastAsia="zh-CN"/>
              </w:rPr>
              <w:t>26）过渡阶段</w:t>
            </w:r>
            <w:r>
              <w:rPr>
                <w:rFonts w:hint="default" w:ascii="Times New Roman" w:hAnsi="Times New Roman" w:eastAsia="宋体" w:cs="Times New Roman"/>
                <w:color w:val="auto"/>
                <w:sz w:val="24"/>
                <w:szCs w:val="24"/>
                <w:lang w:val="en-US" w:eastAsia="zh-CN"/>
              </w:rPr>
              <w:t>中的二级标准。项目区内环境空气质量良好。</w:t>
            </w:r>
          </w:p>
          <w:p w14:paraId="19A02EE7">
            <w:pPr>
              <w:numPr>
                <w:ilvl w:val="0"/>
                <w:numId w:val="0"/>
              </w:numPr>
              <w:adjustRightInd w:val="0"/>
              <w:snapToGrid w:val="0"/>
              <w:spacing w:line="360" w:lineRule="auto"/>
              <w:ind w:leftChars="0"/>
              <w:jc w:val="both"/>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4.2</w:t>
            </w:r>
            <w:r>
              <w:rPr>
                <w:rFonts w:hint="default" w:ascii="Times New Roman" w:hAnsi="Times New Roman" w:eastAsia="宋体" w:cs="Times New Roman"/>
                <w:b/>
                <w:bCs/>
                <w:color w:val="auto"/>
                <w:sz w:val="24"/>
                <w:szCs w:val="24"/>
                <w:lang w:val="en-US" w:eastAsia="zh-CN"/>
              </w:rPr>
              <w:t>地表水环境质量现状</w:t>
            </w:r>
          </w:p>
          <w:p w14:paraId="500B5A70">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根据本次建设项目</w:t>
            </w:r>
            <w:r>
              <w:rPr>
                <w:rFonts w:hint="eastAsia" w:cs="Times New Roman"/>
                <w:color w:val="auto"/>
                <w:sz w:val="24"/>
                <w:szCs w:val="24"/>
                <w:lang w:val="en-US" w:eastAsia="zh-CN"/>
              </w:rPr>
              <w:t>的</w:t>
            </w:r>
            <w:r>
              <w:rPr>
                <w:rFonts w:hint="default" w:ascii="Times New Roman" w:hAnsi="Times New Roman" w:eastAsia="宋体" w:cs="Times New Roman"/>
                <w:color w:val="auto"/>
                <w:sz w:val="24"/>
                <w:szCs w:val="24"/>
                <w:lang w:val="en-US" w:eastAsia="zh-CN"/>
              </w:rPr>
              <w:t>实施位置，项目所在区域周围地表水体分别为鸣矣河</w:t>
            </w:r>
            <w:r>
              <w:rPr>
                <w:rFonts w:hint="eastAsia" w:cs="Times New Roman"/>
                <w:color w:val="auto"/>
                <w:sz w:val="24"/>
                <w:szCs w:val="24"/>
                <w:lang w:val="en-US" w:eastAsia="zh-CN"/>
              </w:rPr>
              <w:t>（八街河）</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月子庄水库</w:t>
            </w:r>
            <w:r>
              <w:rPr>
                <w:rFonts w:hint="default" w:ascii="Times New Roman" w:hAnsi="Times New Roman" w:eastAsia="宋体" w:cs="Times New Roman"/>
                <w:color w:val="auto"/>
                <w:sz w:val="24"/>
                <w:szCs w:val="24"/>
                <w:lang w:val="en-US" w:eastAsia="zh-CN"/>
              </w:rPr>
              <w:t>、车木河水库。</w:t>
            </w:r>
          </w:p>
          <w:p w14:paraId="1B733C87">
            <w:p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根据云南省水利厅发布的《云南省水功能区划</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2014 年修订版）》：</w:t>
            </w:r>
          </w:p>
          <w:p w14:paraId="5FA5276F">
            <w:pPr>
              <w:numPr>
                <w:ilvl w:val="0"/>
                <w:numId w:val="16"/>
              </w:num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鸣矣河“车木河水库—入螳螂川口”段，属于工业、农业、景观娱乐用水，水质目标为Ⅳ类水，执行《地表水环境质量标准》</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GB3838—2002）IV 类水标准；</w:t>
            </w:r>
          </w:p>
          <w:p w14:paraId="029A3668">
            <w:pPr>
              <w:numPr>
                <w:ilvl w:val="0"/>
                <w:numId w:val="16"/>
              </w:numPr>
              <w:tabs>
                <w:tab w:val="left" w:pos="2395"/>
              </w:tabs>
              <w:spacing w:line="360" w:lineRule="auto"/>
              <w:ind w:firstLine="480" w:firstLineChars="200"/>
              <w:jc w:val="left"/>
              <w:rPr>
                <w:rFonts w:hint="default" w:ascii="Times New Roman" w:hAnsi="Times New Roman" w:eastAsia="宋体" w:cs="Times New Roman"/>
                <w:b w:val="0"/>
                <w:bCs w:val="0"/>
                <w:color w:val="auto"/>
                <w:sz w:val="24"/>
                <w:szCs w:val="24"/>
                <w:lang w:val="en-US" w:eastAsia="zh-CN"/>
              </w:rPr>
            </w:pPr>
            <w:r>
              <w:rPr>
                <w:rFonts w:hint="eastAsia" w:ascii="宋体" w:hAnsi="宋体" w:eastAsia="宋体" w:cs="宋体"/>
                <w:color w:val="auto"/>
                <w:sz w:val="24"/>
                <w:szCs w:val="24"/>
                <w:lang w:val="en-US" w:eastAsia="zh-CN"/>
              </w:rPr>
              <w:t>月子庄水库</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根据</w:t>
            </w:r>
            <w:r>
              <w:rPr>
                <w:rFonts w:hint="default" w:ascii="Times New Roman" w:hAnsi="Times New Roman" w:eastAsia="宋体" w:cs="Times New Roman"/>
                <w:color w:val="auto"/>
                <w:sz w:val="24"/>
                <w:szCs w:val="24"/>
                <w:lang w:val="en-US" w:eastAsia="zh-CN"/>
              </w:rPr>
              <w:t>《云南省水功能区划</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2014 年修订版）》，</w:t>
            </w:r>
            <w:r>
              <w:rPr>
                <w:rFonts w:hint="eastAsia" w:cs="Times New Roman"/>
                <w:color w:val="auto"/>
                <w:sz w:val="24"/>
                <w:szCs w:val="24"/>
                <w:lang w:val="en-US" w:eastAsia="zh-CN"/>
              </w:rPr>
              <w:t>主导功能为</w:t>
            </w:r>
            <w:r>
              <w:rPr>
                <w:rFonts w:ascii="宋体" w:hAnsi="宋体" w:eastAsia="宋体" w:cs="宋体"/>
                <w:color w:val="auto"/>
                <w:sz w:val="24"/>
                <w:szCs w:val="24"/>
              </w:rPr>
              <w:t>农业灌溉、防洪调蓄、乡镇辅助供水</w:t>
            </w:r>
            <w:r>
              <w:rPr>
                <w:rFonts w:hint="eastAsia" w:ascii="宋体" w:hAnsi="宋体" w:eastAsia="宋体" w:cs="宋体"/>
                <w:color w:val="auto"/>
                <w:sz w:val="24"/>
                <w:szCs w:val="24"/>
                <w:lang w:eastAsia="zh-CN"/>
              </w:rPr>
              <w:t>，</w:t>
            </w:r>
            <w:r>
              <w:rPr>
                <w:rFonts w:hint="default" w:ascii="Times New Roman" w:hAnsi="Times New Roman" w:eastAsia="宋体" w:cs="Times New Roman"/>
                <w:color w:val="auto"/>
                <w:sz w:val="24"/>
                <w:szCs w:val="24"/>
                <w:lang w:val="en-US" w:eastAsia="zh-CN"/>
              </w:rPr>
              <w:t>水质目标为Ⅳ</w:t>
            </w:r>
            <w:r>
              <w:rPr>
                <w:rFonts w:hint="default" w:ascii="Times New Roman" w:hAnsi="Times New Roman" w:eastAsia="宋体" w:cs="Times New Roman"/>
                <w:b w:val="0"/>
                <w:bCs w:val="0"/>
                <w:color w:val="auto"/>
                <w:sz w:val="24"/>
                <w:szCs w:val="24"/>
                <w:lang w:val="en-US" w:eastAsia="zh-CN"/>
              </w:rPr>
              <w:t>类水，执行《地表水环境质量标准》</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GB3838—2002）IV 类水标准；</w:t>
            </w:r>
          </w:p>
          <w:p w14:paraId="65D61753">
            <w:pPr>
              <w:numPr>
                <w:ilvl w:val="0"/>
                <w:numId w:val="16"/>
              </w:num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cs="Times New Roman"/>
                <w:b w:val="0"/>
                <w:bCs w:val="0"/>
                <w:color w:val="auto"/>
                <w:sz w:val="24"/>
                <w:szCs w:val="24"/>
              </w:rPr>
              <w:t>车木河水库是安宁市的主要城镇供水水源</w:t>
            </w:r>
            <w:r>
              <w:rPr>
                <w:rFonts w:hint="default" w:ascii="Times New Roman" w:hAnsi="Times New Roman" w:cs="Times New Roman"/>
                <w:color w:val="auto"/>
                <w:sz w:val="24"/>
                <w:szCs w:val="24"/>
              </w:rPr>
              <w:t>地</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规划水平年目标水质为Ⅱ类</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val="en-US" w:eastAsia="zh-CN"/>
              </w:rPr>
              <w:t>执行《地表水环境质量标准》</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GB3838—2002）II类水标准</w:t>
            </w:r>
            <w:r>
              <w:rPr>
                <w:rFonts w:hint="default" w:ascii="Times New Roman" w:hAnsi="Times New Roman" w:eastAsia="宋体" w:cs="Times New Roman"/>
                <w:b w:val="0"/>
                <w:bCs w:val="0"/>
                <w:color w:val="auto"/>
                <w:sz w:val="24"/>
                <w:szCs w:val="24"/>
                <w:lang w:eastAsia="zh-CN"/>
              </w:rPr>
              <w:t>。</w:t>
            </w:r>
          </w:p>
          <w:p w14:paraId="43221C88">
            <w:pPr>
              <w:numPr>
                <w:ilvl w:val="0"/>
                <w:numId w:val="0"/>
              </w:num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根据</w:t>
            </w:r>
            <w:r>
              <w:rPr>
                <w:rFonts w:hint="default" w:ascii="Times New Roman" w:hAnsi="Times New Roman" w:eastAsia="宋体" w:cs="Times New Roman"/>
                <w:color w:val="auto"/>
                <w:sz w:val="24"/>
                <w:szCs w:val="24"/>
                <w:lang w:val="en-US" w:eastAsia="zh-CN"/>
              </w:rPr>
              <w:t>《202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月安宁市水环境质量快报》：</w:t>
            </w:r>
          </w:p>
          <w:p w14:paraId="3432F420">
            <w:pPr>
              <w:numPr>
                <w:ilvl w:val="0"/>
                <w:numId w:val="0"/>
              </w:num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1~3</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鸣矣河通仙桥</w:t>
            </w:r>
            <w:r>
              <w:rPr>
                <w:rFonts w:hint="default" w:ascii="Times New Roman" w:hAnsi="Times New Roman" w:eastAsia="宋体" w:cs="Times New Roman"/>
                <w:color w:val="auto"/>
                <w:sz w:val="24"/>
                <w:szCs w:val="24"/>
                <w:lang w:val="en-US" w:eastAsia="zh-CN"/>
              </w:rPr>
              <w:t>监测断面水质为</w:t>
            </w:r>
            <w:r>
              <w:rPr>
                <w:rFonts w:hint="eastAsia" w:cs="Times New Roman"/>
                <w:color w:val="auto"/>
                <w:sz w:val="24"/>
                <w:szCs w:val="24"/>
                <w:lang w:val="en-US" w:eastAsia="zh-CN"/>
              </w:rPr>
              <w:t>III</w:t>
            </w:r>
            <w:r>
              <w:rPr>
                <w:rFonts w:hint="default" w:ascii="Times New Roman" w:hAnsi="Times New Roman" w:eastAsia="宋体" w:cs="Times New Roman"/>
                <w:color w:val="auto"/>
                <w:sz w:val="24"/>
                <w:szCs w:val="24"/>
                <w:lang w:val="en-US" w:eastAsia="zh-CN"/>
              </w:rPr>
              <w:t>类</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根据《安宁市水环境治理三年攻坚工作方案》，鸣矣河通仙桥断面水质攻坚目标为稳住V类向IV类进步，因此，根据攻坚目标评价达标情况为：达标。</w:t>
            </w:r>
          </w:p>
          <w:p w14:paraId="74B6DFA8">
            <w:pPr>
              <w:numPr>
                <w:ilvl w:val="0"/>
                <w:numId w:val="0"/>
              </w:numPr>
              <w:tabs>
                <w:tab w:val="left" w:pos="2395"/>
              </w:tabs>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lang w:val="en-US" w:eastAsia="zh-CN"/>
              </w:rPr>
              <w:t>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1~3</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月子庄水库县控监测</w:t>
            </w:r>
            <w:r>
              <w:rPr>
                <w:rFonts w:hint="default" w:ascii="Times New Roman" w:hAnsi="Times New Roman" w:eastAsia="宋体" w:cs="Times New Roman"/>
                <w:color w:val="auto"/>
                <w:sz w:val="24"/>
                <w:szCs w:val="24"/>
                <w:lang w:val="en-US" w:eastAsia="zh-CN"/>
              </w:rPr>
              <w:t>断面水质为</w:t>
            </w:r>
            <w:r>
              <w:rPr>
                <w:rFonts w:hint="eastAsia" w:cs="Times New Roman"/>
                <w:color w:val="auto"/>
                <w:sz w:val="24"/>
                <w:szCs w:val="24"/>
                <w:lang w:val="en-US" w:eastAsia="zh-CN"/>
              </w:rPr>
              <w:t>III</w:t>
            </w:r>
            <w:r>
              <w:rPr>
                <w:rFonts w:hint="default" w:ascii="Times New Roman" w:hAnsi="Times New Roman" w:eastAsia="宋体" w:cs="Times New Roman"/>
                <w:color w:val="auto"/>
                <w:sz w:val="24"/>
                <w:szCs w:val="24"/>
                <w:lang w:val="en-US" w:eastAsia="zh-CN"/>
              </w:rPr>
              <w:t>类，水质状况</w:t>
            </w:r>
            <w:r>
              <w:rPr>
                <w:rFonts w:hint="eastAsia" w:cs="Times New Roman"/>
                <w:color w:val="auto"/>
                <w:sz w:val="24"/>
                <w:szCs w:val="24"/>
                <w:lang w:val="en-US" w:eastAsia="zh-CN"/>
              </w:rPr>
              <w:t>良好，与去年同期相比</w:t>
            </w:r>
            <w:r>
              <w:rPr>
                <w:rFonts w:hint="eastAsia" w:cs="Times New Roman"/>
                <w:color w:val="auto"/>
                <w:sz w:val="24"/>
                <w:szCs w:val="24"/>
                <w:highlight w:val="none"/>
                <w:lang w:val="en-US" w:eastAsia="zh-CN"/>
              </w:rPr>
              <w:t>无明显变化，达到</w:t>
            </w:r>
            <w:r>
              <w:rPr>
                <w:rFonts w:hint="default" w:ascii="Times New Roman" w:hAnsi="Times New Roman" w:eastAsia="宋体" w:cs="Times New Roman"/>
                <w:color w:val="auto"/>
                <w:sz w:val="24"/>
                <w:szCs w:val="24"/>
                <w:highlight w:val="none"/>
                <w:lang w:val="en-US" w:eastAsia="zh-CN"/>
              </w:rPr>
              <w:t>水质目标为Ⅳ</w:t>
            </w:r>
            <w:r>
              <w:rPr>
                <w:rFonts w:hint="default" w:ascii="Times New Roman" w:hAnsi="Times New Roman" w:eastAsia="宋体" w:cs="Times New Roman"/>
                <w:b w:val="0"/>
                <w:bCs w:val="0"/>
                <w:color w:val="auto"/>
                <w:sz w:val="24"/>
                <w:szCs w:val="24"/>
                <w:highlight w:val="none"/>
                <w:lang w:val="en-US" w:eastAsia="zh-CN"/>
              </w:rPr>
              <w:t>类水</w:t>
            </w:r>
            <w:r>
              <w:rPr>
                <w:rFonts w:hint="eastAsia" w:ascii="Times New Roman" w:hAnsi="Times New Roman" w:eastAsia="宋体" w:cs="Times New Roman"/>
                <w:b w:val="0"/>
                <w:bCs w:val="0"/>
                <w:color w:val="auto"/>
                <w:sz w:val="24"/>
                <w:szCs w:val="24"/>
                <w:highlight w:val="none"/>
                <w:lang w:val="en-US" w:eastAsia="zh-CN"/>
              </w:rPr>
              <w:t>要求。</w:t>
            </w:r>
          </w:p>
          <w:p w14:paraId="047263BA">
            <w:pPr>
              <w:numPr>
                <w:ilvl w:val="0"/>
                <w:numId w:val="0"/>
              </w:numPr>
              <w:tabs>
                <w:tab w:val="left" w:pos="2395"/>
              </w:tabs>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202</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1~3</w:t>
            </w:r>
            <w:r>
              <w:rPr>
                <w:rFonts w:hint="default" w:ascii="Times New Roman" w:hAnsi="Times New Roman" w:eastAsia="宋体" w:cs="Times New Roman"/>
                <w:color w:val="auto"/>
                <w:sz w:val="24"/>
                <w:szCs w:val="24"/>
                <w:highlight w:val="none"/>
                <w:lang w:val="en-US" w:eastAsia="zh-CN"/>
              </w:rPr>
              <w:t>月，车木河水库水质为II类，水质定性评价为：优。</w:t>
            </w:r>
          </w:p>
          <w:p w14:paraId="68DC1E65">
            <w:pPr>
              <w:adjustRightInd w:val="0"/>
              <w:snapToGrid w:val="0"/>
              <w:spacing w:line="360" w:lineRule="auto"/>
              <w:jc w:val="both"/>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4.3</w:t>
            </w:r>
            <w:r>
              <w:rPr>
                <w:rFonts w:hint="default" w:ascii="Times New Roman" w:hAnsi="Times New Roman" w:eastAsia="宋体" w:cs="Times New Roman"/>
                <w:b/>
                <w:bCs/>
                <w:color w:val="auto"/>
                <w:sz w:val="24"/>
                <w:szCs w:val="24"/>
                <w:highlight w:val="none"/>
                <w:lang w:val="en-US" w:eastAsia="zh-CN"/>
              </w:rPr>
              <w:t>声环境质量现状</w:t>
            </w:r>
          </w:p>
          <w:p w14:paraId="57AA6A9F">
            <w:pPr>
              <w:numPr>
                <w:ilvl w:val="0"/>
                <w:numId w:val="0"/>
              </w:numPr>
              <w:tabs>
                <w:tab w:val="left" w:pos="2395"/>
              </w:tabs>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拟建项目位于安宁市</w:t>
            </w:r>
            <w:r>
              <w:rPr>
                <w:rFonts w:hint="eastAsia" w:cs="Times New Roman"/>
                <w:b w:val="0"/>
                <w:bCs w:val="0"/>
                <w:color w:val="auto"/>
                <w:sz w:val="24"/>
                <w:szCs w:val="24"/>
                <w:highlight w:val="none"/>
                <w:lang w:val="en-US" w:eastAsia="zh-CN"/>
              </w:rPr>
              <w:t>县街街道办事处、八街街道办事处</w:t>
            </w:r>
            <w:r>
              <w:rPr>
                <w:rFonts w:hint="default" w:ascii="Times New Roman" w:hAnsi="Times New Roman" w:eastAsia="宋体" w:cs="Times New Roman"/>
                <w:b w:val="0"/>
                <w:bCs w:val="0"/>
                <w:color w:val="auto"/>
                <w:sz w:val="24"/>
                <w:szCs w:val="24"/>
                <w:highlight w:val="none"/>
                <w:lang w:val="en-US" w:eastAsia="zh-CN"/>
              </w:rPr>
              <w:t>等区域，区域执行《声环境质量标准》</w:t>
            </w:r>
            <w:r>
              <w:rPr>
                <w:rFonts w:hint="eastAsia"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GB3096-2008）2 类区标准</w:t>
            </w:r>
            <w:r>
              <w:rPr>
                <w:rFonts w:hint="default" w:ascii="Times New Roman" w:hAnsi="Times New Roman" w:eastAsia="宋体" w:cs="Times New Roman"/>
                <w:color w:val="auto"/>
                <w:sz w:val="24"/>
                <w:szCs w:val="24"/>
                <w:highlight w:val="none"/>
                <w:lang w:val="en-US" w:eastAsia="zh-CN"/>
              </w:rPr>
              <w:t>。</w:t>
            </w:r>
          </w:p>
          <w:p w14:paraId="1CFCE9D5">
            <w:pPr>
              <w:numPr>
                <w:ilvl w:val="0"/>
                <w:numId w:val="0"/>
              </w:numPr>
              <w:tabs>
                <w:tab w:val="left" w:pos="2395"/>
              </w:tabs>
              <w:spacing w:line="360" w:lineRule="auto"/>
              <w:ind w:firstLine="480" w:firstLineChars="200"/>
              <w:jc w:val="left"/>
              <w:rPr>
                <w:rFonts w:hint="eastAsia" w:cs="Times New Roman"/>
                <w:color w:val="auto"/>
                <w:sz w:val="24"/>
                <w:szCs w:val="24"/>
                <w:lang w:val="en-US" w:eastAsia="zh-CN"/>
              </w:rPr>
            </w:pPr>
            <w:r>
              <w:rPr>
                <w:rFonts w:hint="default" w:ascii="Times New Roman" w:hAnsi="Times New Roman" w:eastAsia="宋体" w:cs="Times New Roman"/>
                <w:color w:val="auto"/>
                <w:sz w:val="24"/>
                <w:szCs w:val="24"/>
                <w:highlight w:val="none"/>
                <w:lang w:val="en-US" w:eastAsia="zh-CN"/>
              </w:rPr>
              <w:t>为了解项目区域内声环境质量现状，委托</w:t>
            </w:r>
            <w:r>
              <w:rPr>
                <w:rFonts w:hint="eastAsia" w:cs="Times New Roman"/>
                <w:color w:val="auto"/>
                <w:sz w:val="24"/>
                <w:szCs w:val="24"/>
                <w:highlight w:val="none"/>
                <w:lang w:val="en-US" w:eastAsia="zh-CN"/>
              </w:rPr>
              <w:t>云南天倪</w:t>
            </w:r>
            <w:r>
              <w:rPr>
                <w:rFonts w:hint="eastAsia" w:cs="Times New Roman"/>
                <w:color w:val="auto"/>
                <w:sz w:val="24"/>
                <w:szCs w:val="24"/>
                <w:lang w:val="en-US" w:eastAsia="zh-CN"/>
              </w:rPr>
              <w:t>检测有限公司</w:t>
            </w:r>
            <w:r>
              <w:rPr>
                <w:rFonts w:hint="default" w:ascii="Times New Roman" w:hAnsi="Times New Roman" w:eastAsia="宋体" w:cs="Times New Roman"/>
                <w:color w:val="auto"/>
                <w:sz w:val="24"/>
                <w:szCs w:val="24"/>
                <w:lang w:val="en-US" w:eastAsia="zh-CN"/>
              </w:rPr>
              <w:t>对项目涉及区域周边现状噪声进行了监测</w:t>
            </w:r>
            <w:r>
              <w:rPr>
                <w:rFonts w:hint="eastAsia" w:cs="Times New Roman"/>
                <w:color w:val="auto"/>
                <w:sz w:val="24"/>
                <w:szCs w:val="24"/>
                <w:lang w:val="en-US" w:eastAsia="zh-CN"/>
              </w:rPr>
              <w:t>。</w:t>
            </w:r>
          </w:p>
          <w:p w14:paraId="0FB2DDB3">
            <w:pPr>
              <w:numPr>
                <w:ilvl w:val="0"/>
                <w:numId w:val="0"/>
              </w:numPr>
              <w:tabs>
                <w:tab w:val="left" w:pos="2395"/>
              </w:tabs>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监测结果如下所示：</w:t>
            </w:r>
          </w:p>
          <w:p w14:paraId="0F452D7F">
            <w:pPr>
              <w:adjustRightInd w:val="0"/>
              <w:snapToGrid w:val="0"/>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TimesNewRomanPS-BoldMT" w:cs="Times New Roman"/>
                <w:b/>
                <w:bCs/>
                <w:color w:val="auto"/>
                <w:sz w:val="24"/>
                <w:szCs w:val="24"/>
              </w:rPr>
              <w:t>3-</w:t>
            </w:r>
            <w:r>
              <w:rPr>
                <w:rFonts w:hint="eastAsia" w:eastAsia="TimesNewRomanPS-BoldMT" w:cs="Times New Roman"/>
                <w:b/>
                <w:bCs/>
                <w:color w:val="auto"/>
                <w:sz w:val="24"/>
                <w:szCs w:val="24"/>
                <w:lang w:val="en-US" w:eastAsia="zh-CN"/>
              </w:rPr>
              <w:t>8</w:t>
            </w:r>
            <w:r>
              <w:rPr>
                <w:rFonts w:hint="default" w:ascii="Times New Roman" w:hAnsi="Times New Roman" w:eastAsia="TimesNewRomanPS-BoldMT" w:cs="Times New Roman"/>
                <w:b/>
                <w:bCs/>
                <w:color w:val="auto"/>
                <w:sz w:val="24"/>
                <w:szCs w:val="24"/>
              </w:rPr>
              <w:t xml:space="preserve"> </w:t>
            </w:r>
            <w:r>
              <w:rPr>
                <w:rFonts w:hint="default" w:ascii="Times New Roman" w:hAnsi="Times New Roman" w:eastAsia="TimesNewRomanPS-BoldMT"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噪声监测结果单位：</w:t>
            </w:r>
            <w:r>
              <w:rPr>
                <w:rFonts w:hint="default" w:ascii="Times New Roman" w:hAnsi="Times New Roman" w:eastAsia="TimesNewRomanPS-BoldMT" w:cs="Times New Roman"/>
                <w:b/>
                <w:bCs/>
                <w:color w:val="auto"/>
                <w:sz w:val="24"/>
                <w:szCs w:val="24"/>
              </w:rPr>
              <w:t>dB</w:t>
            </w:r>
            <w:r>
              <w:rPr>
                <w:rFonts w:hint="eastAsia" w:cs="Times New Roman"/>
                <w:b/>
                <w:bCs/>
                <w:color w:val="auto"/>
                <w:sz w:val="24"/>
                <w:szCs w:val="24"/>
                <w:lang w:eastAsia="zh-CN"/>
              </w:rPr>
              <w:t>（</w:t>
            </w:r>
            <w:r>
              <w:rPr>
                <w:rFonts w:hint="default" w:ascii="Times New Roman" w:hAnsi="Times New Roman" w:eastAsia="TimesNewRomanPS-BoldMT" w:cs="Times New Roman"/>
                <w:b/>
                <w:bCs/>
                <w:color w:val="auto"/>
                <w:sz w:val="24"/>
                <w:szCs w:val="24"/>
              </w:rPr>
              <w:t>A</w:t>
            </w:r>
            <w:r>
              <w:rPr>
                <w:rFonts w:hint="default" w:ascii="Times New Roman" w:hAnsi="Times New Roman" w:eastAsia="宋体" w:cs="Times New Roman"/>
                <w:b/>
                <w:bCs/>
                <w:color w:val="auto"/>
                <w:sz w:val="24"/>
                <w:szCs w:val="24"/>
              </w:rPr>
              <w:t>）</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222"/>
              <w:gridCol w:w="1848"/>
              <w:gridCol w:w="1853"/>
              <w:gridCol w:w="896"/>
              <w:gridCol w:w="859"/>
            </w:tblGrid>
            <w:tr w14:paraId="6B9F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7" w:type="pct"/>
                  <w:vMerge w:val="restart"/>
                  <w:noWrap w:val="0"/>
                  <w:vAlign w:val="center"/>
                </w:tcPr>
                <w:p w14:paraId="14A39631">
                  <w:pPr>
                    <w:ind w:left="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监测点位</w:t>
                  </w:r>
                </w:p>
              </w:tc>
              <w:tc>
                <w:tcPr>
                  <w:tcW w:w="743" w:type="pct"/>
                  <w:vMerge w:val="restart"/>
                  <w:noWrap w:val="0"/>
                  <w:vAlign w:val="center"/>
                </w:tcPr>
                <w:p w14:paraId="12BFCB69">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监测时段</w:t>
                  </w:r>
                </w:p>
              </w:tc>
              <w:tc>
                <w:tcPr>
                  <w:tcW w:w="2251" w:type="pct"/>
                  <w:gridSpan w:val="2"/>
                  <w:noWrap w:val="0"/>
                  <w:vAlign w:val="center"/>
                </w:tcPr>
                <w:p w14:paraId="27BD92EE">
                  <w:pPr>
                    <w:ind w:left="0"/>
                    <w:jc w:val="center"/>
                    <w:rPr>
                      <w:rFonts w:hint="eastAsia" w:ascii="Times New Roman" w:hAnsi="Times New Roman" w:eastAsia="宋体" w:cs="Times New Roman"/>
                      <w:bCs/>
                      <w:color w:val="auto"/>
                      <w:sz w:val="21"/>
                      <w:szCs w:val="21"/>
                      <w:lang w:eastAsia="zh-CN"/>
                    </w:rPr>
                  </w:pPr>
                  <w:r>
                    <w:rPr>
                      <w:rFonts w:hint="default" w:ascii="Times New Roman" w:hAnsi="Times New Roman" w:cs="Times New Roman"/>
                      <w:bCs/>
                      <w:color w:val="auto"/>
                      <w:sz w:val="21"/>
                      <w:szCs w:val="21"/>
                    </w:rPr>
                    <w:t>监测时间</w:t>
                  </w:r>
                  <w:r>
                    <w:rPr>
                      <w:rFonts w:hint="default" w:ascii="Times New Roman" w:hAnsi="Times New Roman" w:cs="Times New Roman"/>
                      <w:bCs/>
                      <w:color w:val="auto"/>
                      <w:sz w:val="21"/>
                      <w:szCs w:val="21"/>
                      <w:lang w:val="en-US" w:eastAsia="zh-CN"/>
                    </w:rPr>
                    <w:t>/</w:t>
                  </w:r>
                  <w:r>
                    <w:rPr>
                      <w:rFonts w:hint="default" w:ascii="Times New Roman" w:hAnsi="Times New Roman" w:cs="Times New Roman"/>
                      <w:bCs/>
                      <w:color w:val="auto"/>
                      <w:sz w:val="21"/>
                      <w:szCs w:val="21"/>
                    </w:rPr>
                    <w:t xml:space="preserve">等效声级 </w:t>
                  </w:r>
                  <w:r>
                    <w:rPr>
                      <w:rFonts w:hint="eastAsia" w:cs="Times New Roman"/>
                      <w:bCs/>
                      <w:color w:val="auto"/>
                      <w:sz w:val="21"/>
                      <w:szCs w:val="21"/>
                      <w:lang w:eastAsia="zh-CN"/>
                    </w:rPr>
                    <w:t>（</w:t>
                  </w:r>
                  <w:r>
                    <w:rPr>
                      <w:rFonts w:hint="default" w:ascii="Times New Roman" w:hAnsi="Times New Roman" w:cs="Times New Roman"/>
                      <w:bCs/>
                      <w:color w:val="auto"/>
                      <w:sz w:val="21"/>
                      <w:szCs w:val="21"/>
                    </w:rPr>
                    <w:t>Leq</w:t>
                  </w:r>
                  <w:r>
                    <w:rPr>
                      <w:rFonts w:hint="eastAsia" w:cs="Times New Roman"/>
                      <w:bCs/>
                      <w:color w:val="auto"/>
                      <w:sz w:val="21"/>
                      <w:szCs w:val="21"/>
                      <w:lang w:eastAsia="zh-CN"/>
                    </w:rPr>
                    <w:t>）</w:t>
                  </w:r>
                </w:p>
              </w:tc>
              <w:tc>
                <w:tcPr>
                  <w:tcW w:w="545" w:type="pct"/>
                  <w:vMerge w:val="restart"/>
                  <w:noWrap w:val="0"/>
                  <w:vAlign w:val="center"/>
                </w:tcPr>
                <w:p w14:paraId="60CF8054">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标准值</w:t>
                  </w:r>
                </w:p>
              </w:tc>
              <w:tc>
                <w:tcPr>
                  <w:tcW w:w="522" w:type="pct"/>
                  <w:vMerge w:val="restart"/>
                  <w:noWrap w:val="0"/>
                  <w:vAlign w:val="center"/>
                </w:tcPr>
                <w:p w14:paraId="6E8F8770">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达标情况</w:t>
                  </w:r>
                </w:p>
              </w:tc>
            </w:tr>
            <w:tr w14:paraId="34C5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7" w:type="pct"/>
                  <w:vMerge w:val="continue"/>
                  <w:noWrap w:val="0"/>
                  <w:vAlign w:val="center"/>
                </w:tcPr>
                <w:p w14:paraId="7768D4B1">
                  <w:pPr>
                    <w:ind w:left="0"/>
                    <w:jc w:val="center"/>
                    <w:rPr>
                      <w:rFonts w:hint="default" w:ascii="Times New Roman" w:hAnsi="Times New Roman" w:cs="Times New Roman"/>
                      <w:bCs/>
                      <w:color w:val="auto"/>
                      <w:sz w:val="21"/>
                      <w:szCs w:val="21"/>
                    </w:rPr>
                  </w:pPr>
                </w:p>
              </w:tc>
              <w:tc>
                <w:tcPr>
                  <w:tcW w:w="743" w:type="pct"/>
                  <w:vMerge w:val="continue"/>
                  <w:noWrap w:val="0"/>
                  <w:vAlign w:val="center"/>
                </w:tcPr>
                <w:p w14:paraId="2A06BE4F">
                  <w:pPr>
                    <w:ind w:left="0"/>
                    <w:jc w:val="center"/>
                    <w:rPr>
                      <w:rFonts w:hint="default" w:ascii="Times New Roman" w:hAnsi="Times New Roman" w:cs="Times New Roman"/>
                      <w:bCs/>
                      <w:color w:val="auto"/>
                      <w:sz w:val="21"/>
                      <w:szCs w:val="21"/>
                    </w:rPr>
                  </w:pPr>
                </w:p>
              </w:tc>
              <w:tc>
                <w:tcPr>
                  <w:tcW w:w="1124" w:type="pct"/>
                  <w:noWrap w:val="0"/>
                  <w:vAlign w:val="center"/>
                </w:tcPr>
                <w:p w14:paraId="2F619841">
                  <w:pPr>
                    <w:ind w:left="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lang w:val="en-US" w:eastAsia="zh-CN"/>
                    </w:rPr>
                    <w:t>202</w:t>
                  </w:r>
                  <w:r>
                    <w:rPr>
                      <w:rFonts w:hint="eastAsia" w:cs="Times New Roman"/>
                      <w:bCs/>
                      <w:color w:val="auto"/>
                      <w:sz w:val="21"/>
                      <w:szCs w:val="21"/>
                      <w:lang w:val="en-US" w:eastAsia="zh-CN"/>
                    </w:rPr>
                    <w:t>6.6.27</w:t>
                  </w:r>
                </w:p>
              </w:tc>
              <w:tc>
                <w:tcPr>
                  <w:tcW w:w="1127" w:type="pct"/>
                  <w:noWrap w:val="0"/>
                  <w:vAlign w:val="center"/>
                </w:tcPr>
                <w:p w14:paraId="019D1140">
                  <w:pPr>
                    <w:ind w:left="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lang w:val="en-US" w:eastAsia="zh-CN"/>
                    </w:rPr>
                    <w:t>202</w:t>
                  </w:r>
                  <w:r>
                    <w:rPr>
                      <w:rFonts w:hint="eastAsia" w:cs="Times New Roman"/>
                      <w:bCs/>
                      <w:color w:val="auto"/>
                      <w:sz w:val="21"/>
                      <w:szCs w:val="21"/>
                      <w:lang w:val="en-US" w:eastAsia="zh-CN"/>
                    </w:rPr>
                    <w:t>6.6.28</w:t>
                  </w:r>
                </w:p>
              </w:tc>
              <w:tc>
                <w:tcPr>
                  <w:tcW w:w="545" w:type="pct"/>
                  <w:vMerge w:val="continue"/>
                  <w:noWrap w:val="0"/>
                  <w:vAlign w:val="center"/>
                </w:tcPr>
                <w:p w14:paraId="1ED84BDD">
                  <w:pPr>
                    <w:ind w:left="0"/>
                    <w:jc w:val="center"/>
                    <w:rPr>
                      <w:rFonts w:hint="default" w:ascii="Times New Roman" w:hAnsi="Times New Roman" w:cs="Times New Roman"/>
                      <w:bCs/>
                      <w:color w:val="auto"/>
                      <w:sz w:val="21"/>
                      <w:szCs w:val="21"/>
                      <w:lang w:eastAsia="zh-CN"/>
                    </w:rPr>
                  </w:pPr>
                </w:p>
              </w:tc>
              <w:tc>
                <w:tcPr>
                  <w:tcW w:w="522" w:type="pct"/>
                  <w:vMerge w:val="continue"/>
                  <w:noWrap w:val="0"/>
                  <w:vAlign w:val="center"/>
                </w:tcPr>
                <w:p w14:paraId="7CA9C6E9">
                  <w:pPr>
                    <w:ind w:left="0"/>
                    <w:jc w:val="center"/>
                    <w:rPr>
                      <w:rFonts w:hint="default" w:ascii="Times New Roman" w:hAnsi="Times New Roman" w:cs="Times New Roman"/>
                      <w:bCs/>
                      <w:color w:val="auto"/>
                      <w:sz w:val="21"/>
                      <w:szCs w:val="21"/>
                      <w:lang w:eastAsia="zh-CN"/>
                    </w:rPr>
                  </w:pPr>
                </w:p>
              </w:tc>
            </w:tr>
            <w:tr w14:paraId="11A1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7" w:type="pct"/>
                  <w:vMerge w:val="restart"/>
                  <w:noWrap w:val="0"/>
                  <w:vAlign w:val="center"/>
                </w:tcPr>
                <w:p w14:paraId="74A0FCDD">
                  <w:pPr>
                    <w:ind w:lef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好义村</w:t>
                  </w:r>
                </w:p>
              </w:tc>
              <w:tc>
                <w:tcPr>
                  <w:tcW w:w="743" w:type="pct"/>
                  <w:noWrap w:val="0"/>
                  <w:vAlign w:val="center"/>
                </w:tcPr>
                <w:p w14:paraId="14266569">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昼间</w:t>
                  </w:r>
                </w:p>
              </w:tc>
              <w:tc>
                <w:tcPr>
                  <w:tcW w:w="1124" w:type="pct"/>
                  <w:noWrap w:val="0"/>
                  <w:vAlign w:val="center"/>
                </w:tcPr>
                <w:p w14:paraId="4249C73F">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59</w:t>
                  </w:r>
                </w:p>
              </w:tc>
              <w:tc>
                <w:tcPr>
                  <w:tcW w:w="1127" w:type="pct"/>
                  <w:noWrap w:val="0"/>
                  <w:vAlign w:val="center"/>
                </w:tcPr>
                <w:p w14:paraId="096276D2">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59</w:t>
                  </w:r>
                </w:p>
              </w:tc>
              <w:tc>
                <w:tcPr>
                  <w:tcW w:w="545" w:type="pct"/>
                  <w:noWrap w:val="0"/>
                  <w:vAlign w:val="center"/>
                </w:tcPr>
                <w:p w14:paraId="4252715C">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60</w:t>
                  </w:r>
                </w:p>
              </w:tc>
              <w:tc>
                <w:tcPr>
                  <w:tcW w:w="522" w:type="pct"/>
                  <w:noWrap w:val="0"/>
                  <w:vAlign w:val="center"/>
                </w:tcPr>
                <w:p w14:paraId="782518AF">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达标</w:t>
                  </w:r>
                </w:p>
              </w:tc>
            </w:tr>
            <w:tr w14:paraId="7EB9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7" w:type="pct"/>
                  <w:vMerge w:val="continue"/>
                  <w:noWrap w:val="0"/>
                  <w:vAlign w:val="center"/>
                </w:tcPr>
                <w:p w14:paraId="4BF2CB5B">
                  <w:pPr>
                    <w:ind w:left="0"/>
                    <w:jc w:val="center"/>
                    <w:rPr>
                      <w:rFonts w:hint="default" w:ascii="Times New Roman" w:hAnsi="Times New Roman" w:eastAsia="宋体" w:cs="Times New Roman"/>
                      <w:color w:val="auto"/>
                      <w:sz w:val="21"/>
                      <w:szCs w:val="21"/>
                      <w:highlight w:val="none"/>
                      <w:lang w:val="en-US" w:eastAsia="zh-CN"/>
                    </w:rPr>
                  </w:pPr>
                </w:p>
              </w:tc>
              <w:tc>
                <w:tcPr>
                  <w:tcW w:w="743" w:type="pct"/>
                  <w:noWrap w:val="0"/>
                  <w:vAlign w:val="center"/>
                </w:tcPr>
                <w:p w14:paraId="65A366C0">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夜间</w:t>
                  </w:r>
                </w:p>
              </w:tc>
              <w:tc>
                <w:tcPr>
                  <w:tcW w:w="1124" w:type="pct"/>
                  <w:noWrap w:val="0"/>
                  <w:vAlign w:val="center"/>
                </w:tcPr>
                <w:p w14:paraId="5E52481E">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48</w:t>
                  </w:r>
                </w:p>
              </w:tc>
              <w:tc>
                <w:tcPr>
                  <w:tcW w:w="1127" w:type="pct"/>
                  <w:noWrap w:val="0"/>
                  <w:vAlign w:val="center"/>
                </w:tcPr>
                <w:p w14:paraId="71CDF687">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49</w:t>
                  </w:r>
                </w:p>
              </w:tc>
              <w:tc>
                <w:tcPr>
                  <w:tcW w:w="545" w:type="pct"/>
                  <w:noWrap w:val="0"/>
                  <w:vAlign w:val="center"/>
                </w:tcPr>
                <w:p w14:paraId="66E80513">
                  <w:pPr>
                    <w:ind w:left="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50</w:t>
                  </w:r>
                </w:p>
              </w:tc>
              <w:tc>
                <w:tcPr>
                  <w:tcW w:w="522" w:type="pct"/>
                  <w:noWrap w:val="0"/>
                  <w:vAlign w:val="center"/>
                </w:tcPr>
                <w:p w14:paraId="17CABF7F">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达标</w:t>
                  </w:r>
                </w:p>
              </w:tc>
            </w:tr>
            <w:tr w14:paraId="1784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7" w:type="pct"/>
                  <w:vMerge w:val="restart"/>
                  <w:noWrap w:val="0"/>
                  <w:vAlign w:val="center"/>
                </w:tcPr>
                <w:p w14:paraId="17E0A8BD">
                  <w:pPr>
                    <w:ind w:lef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甸东村</w:t>
                  </w:r>
                </w:p>
              </w:tc>
              <w:tc>
                <w:tcPr>
                  <w:tcW w:w="743" w:type="pct"/>
                  <w:noWrap w:val="0"/>
                  <w:vAlign w:val="center"/>
                </w:tcPr>
                <w:p w14:paraId="0EBC94F4">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昼间</w:t>
                  </w:r>
                </w:p>
              </w:tc>
              <w:tc>
                <w:tcPr>
                  <w:tcW w:w="1124" w:type="pct"/>
                  <w:noWrap w:val="0"/>
                  <w:vAlign w:val="center"/>
                </w:tcPr>
                <w:p w14:paraId="5C7651F0">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58</w:t>
                  </w:r>
                </w:p>
              </w:tc>
              <w:tc>
                <w:tcPr>
                  <w:tcW w:w="1127" w:type="pct"/>
                  <w:noWrap w:val="0"/>
                  <w:vAlign w:val="center"/>
                </w:tcPr>
                <w:p w14:paraId="220078B6">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54</w:t>
                  </w:r>
                </w:p>
              </w:tc>
              <w:tc>
                <w:tcPr>
                  <w:tcW w:w="545" w:type="pct"/>
                  <w:noWrap w:val="0"/>
                  <w:vAlign w:val="center"/>
                </w:tcPr>
                <w:p w14:paraId="37B9053D">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60</w:t>
                  </w:r>
                </w:p>
              </w:tc>
              <w:tc>
                <w:tcPr>
                  <w:tcW w:w="522" w:type="pct"/>
                  <w:noWrap w:val="0"/>
                  <w:vAlign w:val="center"/>
                </w:tcPr>
                <w:p w14:paraId="1FEEEC1D">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达标</w:t>
                  </w:r>
                </w:p>
              </w:tc>
            </w:tr>
            <w:tr w14:paraId="7C1D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7" w:type="pct"/>
                  <w:vMerge w:val="continue"/>
                  <w:noWrap w:val="0"/>
                  <w:vAlign w:val="center"/>
                </w:tcPr>
                <w:p w14:paraId="1578C24C">
                  <w:pPr>
                    <w:ind w:left="0"/>
                    <w:jc w:val="center"/>
                    <w:rPr>
                      <w:rFonts w:hint="default" w:ascii="Times New Roman" w:hAnsi="Times New Roman" w:eastAsia="宋体" w:cs="Times New Roman"/>
                      <w:color w:val="auto"/>
                      <w:sz w:val="21"/>
                      <w:szCs w:val="21"/>
                      <w:highlight w:val="none"/>
                      <w:lang w:val="en-US" w:eastAsia="zh-CN"/>
                    </w:rPr>
                  </w:pPr>
                </w:p>
              </w:tc>
              <w:tc>
                <w:tcPr>
                  <w:tcW w:w="743" w:type="pct"/>
                  <w:noWrap w:val="0"/>
                  <w:vAlign w:val="center"/>
                </w:tcPr>
                <w:p w14:paraId="2EEB59D7">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夜间</w:t>
                  </w:r>
                </w:p>
              </w:tc>
              <w:tc>
                <w:tcPr>
                  <w:tcW w:w="1124" w:type="pct"/>
                  <w:noWrap w:val="0"/>
                  <w:vAlign w:val="center"/>
                </w:tcPr>
                <w:p w14:paraId="030D59B4">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49</w:t>
                  </w:r>
                </w:p>
              </w:tc>
              <w:tc>
                <w:tcPr>
                  <w:tcW w:w="1127" w:type="pct"/>
                  <w:noWrap w:val="0"/>
                  <w:vAlign w:val="center"/>
                </w:tcPr>
                <w:p w14:paraId="4B70227A">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46</w:t>
                  </w:r>
                </w:p>
              </w:tc>
              <w:tc>
                <w:tcPr>
                  <w:tcW w:w="545" w:type="pct"/>
                  <w:noWrap w:val="0"/>
                  <w:vAlign w:val="center"/>
                </w:tcPr>
                <w:p w14:paraId="34C3D824">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50</w:t>
                  </w:r>
                </w:p>
              </w:tc>
              <w:tc>
                <w:tcPr>
                  <w:tcW w:w="522" w:type="pct"/>
                  <w:noWrap w:val="0"/>
                  <w:vAlign w:val="center"/>
                </w:tcPr>
                <w:p w14:paraId="76C2F778">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达标</w:t>
                  </w:r>
                </w:p>
              </w:tc>
            </w:tr>
            <w:tr w14:paraId="12F0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7" w:type="pct"/>
                  <w:vMerge w:val="restart"/>
                  <w:noWrap w:val="0"/>
                  <w:vAlign w:val="center"/>
                </w:tcPr>
                <w:p w14:paraId="7511DB03">
                  <w:pPr>
                    <w:ind w:lef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新民村</w:t>
                  </w:r>
                </w:p>
              </w:tc>
              <w:tc>
                <w:tcPr>
                  <w:tcW w:w="743" w:type="pct"/>
                  <w:noWrap w:val="0"/>
                  <w:vAlign w:val="center"/>
                </w:tcPr>
                <w:p w14:paraId="2DFD2089">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昼间</w:t>
                  </w:r>
                </w:p>
              </w:tc>
              <w:tc>
                <w:tcPr>
                  <w:tcW w:w="1124" w:type="pct"/>
                  <w:noWrap w:val="0"/>
                  <w:vAlign w:val="center"/>
                </w:tcPr>
                <w:p w14:paraId="1CE1368A">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52</w:t>
                  </w:r>
                </w:p>
              </w:tc>
              <w:tc>
                <w:tcPr>
                  <w:tcW w:w="1127" w:type="pct"/>
                  <w:noWrap w:val="0"/>
                  <w:vAlign w:val="center"/>
                </w:tcPr>
                <w:p w14:paraId="10405569">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53</w:t>
                  </w:r>
                </w:p>
              </w:tc>
              <w:tc>
                <w:tcPr>
                  <w:tcW w:w="545" w:type="pct"/>
                  <w:noWrap w:val="0"/>
                  <w:vAlign w:val="center"/>
                </w:tcPr>
                <w:p w14:paraId="65C1C8DD">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60</w:t>
                  </w:r>
                </w:p>
              </w:tc>
              <w:tc>
                <w:tcPr>
                  <w:tcW w:w="522" w:type="pct"/>
                  <w:noWrap w:val="0"/>
                  <w:vAlign w:val="center"/>
                </w:tcPr>
                <w:p w14:paraId="05389157">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达标</w:t>
                  </w:r>
                </w:p>
              </w:tc>
            </w:tr>
            <w:tr w14:paraId="4BF6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7" w:type="pct"/>
                  <w:vMerge w:val="continue"/>
                  <w:noWrap w:val="0"/>
                  <w:vAlign w:val="center"/>
                </w:tcPr>
                <w:p w14:paraId="1600D586">
                  <w:pPr>
                    <w:ind w:left="0"/>
                    <w:jc w:val="center"/>
                    <w:rPr>
                      <w:rFonts w:hint="default" w:ascii="Times New Roman" w:hAnsi="Times New Roman" w:eastAsia="宋体" w:cs="Times New Roman"/>
                      <w:color w:val="auto"/>
                      <w:sz w:val="21"/>
                      <w:szCs w:val="21"/>
                      <w:highlight w:val="none"/>
                      <w:lang w:val="en-US" w:eastAsia="zh-CN"/>
                    </w:rPr>
                  </w:pPr>
                </w:p>
              </w:tc>
              <w:tc>
                <w:tcPr>
                  <w:tcW w:w="743" w:type="pct"/>
                  <w:noWrap w:val="0"/>
                  <w:vAlign w:val="center"/>
                </w:tcPr>
                <w:p w14:paraId="632A1474">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夜间</w:t>
                  </w:r>
                </w:p>
              </w:tc>
              <w:tc>
                <w:tcPr>
                  <w:tcW w:w="1124" w:type="pct"/>
                  <w:noWrap w:val="0"/>
                  <w:vAlign w:val="center"/>
                </w:tcPr>
                <w:p w14:paraId="2965E0E2">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46</w:t>
                  </w:r>
                </w:p>
              </w:tc>
              <w:tc>
                <w:tcPr>
                  <w:tcW w:w="1127" w:type="pct"/>
                  <w:noWrap w:val="0"/>
                  <w:vAlign w:val="center"/>
                </w:tcPr>
                <w:p w14:paraId="0E00700B">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47</w:t>
                  </w:r>
                </w:p>
              </w:tc>
              <w:tc>
                <w:tcPr>
                  <w:tcW w:w="545" w:type="pct"/>
                  <w:noWrap w:val="0"/>
                  <w:vAlign w:val="center"/>
                </w:tcPr>
                <w:p w14:paraId="3A2CF65B">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50</w:t>
                  </w:r>
                </w:p>
              </w:tc>
              <w:tc>
                <w:tcPr>
                  <w:tcW w:w="522" w:type="pct"/>
                  <w:noWrap w:val="0"/>
                  <w:vAlign w:val="center"/>
                </w:tcPr>
                <w:p w14:paraId="6725D11F">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达标</w:t>
                  </w:r>
                </w:p>
              </w:tc>
            </w:tr>
            <w:tr w14:paraId="2BE9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7" w:type="pct"/>
                  <w:vMerge w:val="restart"/>
                  <w:noWrap w:val="0"/>
                  <w:vAlign w:val="center"/>
                </w:tcPr>
                <w:p w14:paraId="7BB1C95A">
                  <w:pPr>
                    <w:ind w:lef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鸣矣河村</w:t>
                  </w:r>
                </w:p>
              </w:tc>
              <w:tc>
                <w:tcPr>
                  <w:tcW w:w="743" w:type="pct"/>
                  <w:noWrap w:val="0"/>
                  <w:vAlign w:val="center"/>
                </w:tcPr>
                <w:p w14:paraId="148DD9A3">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昼间</w:t>
                  </w:r>
                </w:p>
              </w:tc>
              <w:tc>
                <w:tcPr>
                  <w:tcW w:w="1124" w:type="pct"/>
                  <w:noWrap w:val="0"/>
                  <w:vAlign w:val="center"/>
                </w:tcPr>
                <w:p w14:paraId="2F08CC02">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50</w:t>
                  </w:r>
                </w:p>
              </w:tc>
              <w:tc>
                <w:tcPr>
                  <w:tcW w:w="1127" w:type="pct"/>
                  <w:noWrap w:val="0"/>
                  <w:vAlign w:val="center"/>
                </w:tcPr>
                <w:p w14:paraId="3FF919FE">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54</w:t>
                  </w:r>
                </w:p>
              </w:tc>
              <w:tc>
                <w:tcPr>
                  <w:tcW w:w="545" w:type="pct"/>
                  <w:noWrap w:val="0"/>
                  <w:vAlign w:val="center"/>
                </w:tcPr>
                <w:p w14:paraId="12D1D72C">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60</w:t>
                  </w:r>
                </w:p>
              </w:tc>
              <w:tc>
                <w:tcPr>
                  <w:tcW w:w="522" w:type="pct"/>
                  <w:noWrap w:val="0"/>
                  <w:vAlign w:val="center"/>
                </w:tcPr>
                <w:p w14:paraId="7091A536">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达标</w:t>
                  </w:r>
                </w:p>
              </w:tc>
            </w:tr>
            <w:tr w14:paraId="649C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37" w:type="pct"/>
                  <w:vMerge w:val="continue"/>
                  <w:noWrap w:val="0"/>
                  <w:vAlign w:val="center"/>
                </w:tcPr>
                <w:p w14:paraId="1C7E0F7F">
                  <w:pPr>
                    <w:ind w:left="0"/>
                    <w:jc w:val="center"/>
                    <w:rPr>
                      <w:rFonts w:hint="default" w:ascii="Times New Roman" w:hAnsi="Times New Roman" w:eastAsia="宋体" w:cs="Times New Roman"/>
                      <w:color w:val="auto"/>
                      <w:sz w:val="21"/>
                      <w:szCs w:val="21"/>
                      <w:highlight w:val="none"/>
                      <w:lang w:val="en-US" w:eastAsia="zh-CN"/>
                    </w:rPr>
                  </w:pPr>
                </w:p>
              </w:tc>
              <w:tc>
                <w:tcPr>
                  <w:tcW w:w="743" w:type="pct"/>
                  <w:noWrap w:val="0"/>
                  <w:vAlign w:val="center"/>
                </w:tcPr>
                <w:p w14:paraId="687E2ABC">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夜间</w:t>
                  </w:r>
                </w:p>
              </w:tc>
              <w:tc>
                <w:tcPr>
                  <w:tcW w:w="1124" w:type="pct"/>
                  <w:noWrap w:val="0"/>
                  <w:vAlign w:val="center"/>
                </w:tcPr>
                <w:p w14:paraId="51022DAA">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46</w:t>
                  </w:r>
                </w:p>
              </w:tc>
              <w:tc>
                <w:tcPr>
                  <w:tcW w:w="1127" w:type="pct"/>
                  <w:noWrap w:val="0"/>
                  <w:vAlign w:val="center"/>
                </w:tcPr>
                <w:p w14:paraId="04CD0090">
                  <w:pPr>
                    <w:ind w:left="0" w:leftChars="0"/>
                    <w:jc w:val="center"/>
                    <w:rPr>
                      <w:rFonts w:hint="default" w:ascii="Times New Roman" w:hAnsi="Times New Roman" w:eastAsia="宋体" w:cs="Times New Roman"/>
                      <w:bCs/>
                      <w:color w:val="auto"/>
                      <w:spacing w:val="-5"/>
                      <w:sz w:val="21"/>
                      <w:szCs w:val="21"/>
                      <w:lang w:val="en-US" w:eastAsia="zh-CN" w:bidi="he-IL"/>
                    </w:rPr>
                  </w:pPr>
                  <w:r>
                    <w:rPr>
                      <w:rFonts w:hint="eastAsia" w:cs="Times New Roman"/>
                      <w:bCs/>
                      <w:color w:val="auto"/>
                      <w:spacing w:val="-5"/>
                      <w:sz w:val="21"/>
                      <w:szCs w:val="21"/>
                      <w:lang w:val="en-US" w:eastAsia="zh-CN" w:bidi="he-IL"/>
                    </w:rPr>
                    <w:t>47</w:t>
                  </w:r>
                </w:p>
              </w:tc>
              <w:tc>
                <w:tcPr>
                  <w:tcW w:w="545" w:type="pct"/>
                  <w:noWrap w:val="0"/>
                  <w:vAlign w:val="center"/>
                </w:tcPr>
                <w:p w14:paraId="388A247A">
                  <w:pPr>
                    <w:ind w:left="0" w:left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50</w:t>
                  </w:r>
                </w:p>
              </w:tc>
              <w:tc>
                <w:tcPr>
                  <w:tcW w:w="522" w:type="pct"/>
                  <w:noWrap w:val="0"/>
                  <w:vAlign w:val="center"/>
                </w:tcPr>
                <w:p w14:paraId="30D803F8">
                  <w:pPr>
                    <w:ind w:left="0"/>
                    <w:jc w:val="center"/>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达标</w:t>
                  </w:r>
                </w:p>
              </w:tc>
            </w:tr>
          </w:tbl>
          <w:p w14:paraId="1068DC8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eastAsia="宋体" w:cs="Times New Roman"/>
                <w:color w:val="0000FF"/>
                <w:sz w:val="24"/>
                <w:szCs w:val="24"/>
              </w:rPr>
            </w:pPr>
            <w:r>
              <w:rPr>
                <w:rFonts w:hint="default" w:ascii="Times New Roman" w:hAnsi="Times New Roman" w:eastAsia="宋体" w:cs="Times New Roman"/>
                <w:color w:val="auto"/>
                <w:sz w:val="24"/>
                <w:szCs w:val="24"/>
                <w:highlight w:val="none"/>
              </w:rPr>
              <w:t>根据</w:t>
            </w:r>
            <w:r>
              <w:rPr>
                <w:rFonts w:hint="default" w:ascii="Times New Roman" w:hAnsi="Times New Roman" w:eastAsia="宋体" w:cs="Times New Roman"/>
                <w:color w:val="auto"/>
                <w:sz w:val="24"/>
                <w:szCs w:val="24"/>
                <w:highlight w:val="none"/>
                <w:lang w:val="en-US" w:eastAsia="zh-CN"/>
              </w:rPr>
              <w:t>上表</w:t>
            </w:r>
            <w:r>
              <w:rPr>
                <w:rFonts w:hint="default" w:ascii="Times New Roman" w:hAnsi="Times New Roman" w:eastAsia="宋体" w:cs="Times New Roman"/>
                <w:color w:val="auto"/>
                <w:sz w:val="24"/>
                <w:szCs w:val="24"/>
                <w:highlight w:val="none"/>
              </w:rPr>
              <w:t>噪声监测结</w:t>
            </w:r>
            <w:r>
              <w:rPr>
                <w:rFonts w:hint="default" w:ascii="Times New Roman" w:hAnsi="Times New Roman" w:eastAsia="宋体" w:cs="Times New Roman"/>
                <w:color w:val="auto"/>
                <w:sz w:val="24"/>
                <w:szCs w:val="24"/>
              </w:rPr>
              <w:t>果可知，</w:t>
            </w:r>
            <w:r>
              <w:rPr>
                <w:rFonts w:hint="eastAsia" w:cs="Times New Roman"/>
                <w:color w:val="auto"/>
                <w:sz w:val="24"/>
                <w:szCs w:val="24"/>
                <w:lang w:val="en-US" w:eastAsia="zh-CN"/>
              </w:rPr>
              <w:t>本次选取的各敏感点声环境质量现状昼间、夜间均能够达到</w:t>
            </w:r>
            <w:r>
              <w:rPr>
                <w:rFonts w:hint="default" w:ascii="Times New Roman" w:hAnsi="Times New Roman" w:eastAsia="宋体" w:cs="Times New Roman"/>
                <w:b w:val="0"/>
                <w:bCs w:val="0"/>
                <w:color w:val="auto"/>
                <w:sz w:val="24"/>
                <w:szCs w:val="24"/>
                <w:lang w:val="en-US" w:eastAsia="zh-CN"/>
              </w:rPr>
              <w:t>《声环境质量标准》</w:t>
            </w:r>
            <w:r>
              <w:rPr>
                <w:rFonts w:hint="eastAsia"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GB3096-2008）2 类区</w:t>
            </w:r>
            <w:r>
              <w:rPr>
                <w:rFonts w:hint="eastAsia" w:cs="Times New Roman"/>
                <w:color w:val="auto"/>
                <w:sz w:val="24"/>
                <w:szCs w:val="24"/>
                <w:lang w:val="en-US" w:eastAsia="zh-CN"/>
              </w:rPr>
              <w:t>标准，</w:t>
            </w:r>
            <w:r>
              <w:rPr>
                <w:rFonts w:hint="default" w:ascii="Times New Roman" w:hAnsi="Times New Roman" w:eastAsia="宋体" w:cs="Times New Roman"/>
                <w:color w:val="auto"/>
                <w:sz w:val="24"/>
                <w:szCs w:val="24"/>
              </w:rPr>
              <w:t>项目评价区域整体声环境质量现状良好</w:t>
            </w:r>
            <w:r>
              <w:rPr>
                <w:rFonts w:hint="eastAsia" w:cs="Times New Roman"/>
                <w:color w:val="auto"/>
                <w:sz w:val="24"/>
                <w:szCs w:val="24"/>
                <w:lang w:eastAsia="zh-CN"/>
              </w:rPr>
              <w:t>。</w:t>
            </w:r>
          </w:p>
        </w:tc>
      </w:tr>
      <w:tr w14:paraId="3E510E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19" w:hRule="atLeast"/>
          <w:jc w:val="center"/>
        </w:trPr>
        <w:tc>
          <w:tcPr>
            <w:tcW w:w="709" w:type="dxa"/>
            <w:noWrap w:val="0"/>
            <w:vAlign w:val="center"/>
          </w:tcPr>
          <w:p w14:paraId="73BB4A8D">
            <w:pPr>
              <w:adjustRightInd w:val="0"/>
              <w:snapToGrid w:val="0"/>
              <w:jc w:val="center"/>
              <w:rPr>
                <w:rFonts w:hint="default" w:ascii="Times New Roman" w:hAnsi="Times New Roman" w:cs="Times New Roman"/>
                <w:b/>
                <w:bCs/>
                <w:color w:val="auto"/>
                <w:kern w:val="0"/>
                <w:sz w:val="24"/>
                <w:szCs w:val="24"/>
              </w:rPr>
            </w:pPr>
            <w:r>
              <w:rPr>
                <w:rFonts w:hint="default" w:ascii="Times New Roman" w:hAnsi="Times New Roman" w:cs="Times New Roman"/>
                <w:b/>
                <w:bCs/>
                <w:color w:val="auto"/>
                <w:sz w:val="24"/>
                <w:szCs w:val="24"/>
              </w:rPr>
              <w:t>与项目有关的原有环境污染和生态破坏问题</w:t>
            </w:r>
          </w:p>
        </w:tc>
        <w:tc>
          <w:tcPr>
            <w:tcW w:w="8448" w:type="dxa"/>
            <w:noWrap w:val="0"/>
            <w:vAlign w:val="center"/>
          </w:tcPr>
          <w:p w14:paraId="2535F33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cs="Times New Roman"/>
                <w:color w:val="auto"/>
                <w:sz w:val="24"/>
                <w:szCs w:val="24"/>
                <w:lang w:eastAsia="zh-CN"/>
              </w:rPr>
            </w:pPr>
            <w:r>
              <w:rPr>
                <w:rFonts w:hint="default" w:ascii="Times New Roman" w:hAnsi="Times New Roman" w:cs="Times New Roman"/>
                <w:b w:val="0"/>
                <w:bCs w:val="0"/>
                <w:color w:val="auto"/>
                <w:sz w:val="24"/>
                <w:szCs w:val="24"/>
                <w:lang w:val="en-US" w:eastAsia="zh-CN"/>
              </w:rPr>
              <w:t>根据本项目引水管线规划走向，</w:t>
            </w:r>
            <w:r>
              <w:rPr>
                <w:rFonts w:hint="default" w:ascii="Times New Roman" w:hAnsi="Times New Roman" w:eastAsia="宋体" w:cs="Times New Roman"/>
                <w:color w:val="auto"/>
                <w:sz w:val="24"/>
                <w:szCs w:val="24"/>
              </w:rPr>
              <w:t>项目</w:t>
            </w:r>
            <w:r>
              <w:rPr>
                <w:rFonts w:hint="default" w:ascii="Times New Roman" w:hAnsi="Times New Roman" w:eastAsia="宋体" w:cs="Times New Roman"/>
                <w:color w:val="auto"/>
                <w:sz w:val="24"/>
                <w:szCs w:val="24"/>
                <w:lang w:val="en-US" w:eastAsia="zh-CN"/>
              </w:rPr>
              <w:t>沿线</w:t>
            </w:r>
            <w:r>
              <w:rPr>
                <w:rFonts w:hint="default" w:ascii="Times New Roman" w:hAnsi="Times New Roman" w:eastAsia="宋体" w:cs="Times New Roman"/>
                <w:color w:val="auto"/>
                <w:sz w:val="24"/>
                <w:szCs w:val="24"/>
              </w:rPr>
              <w:t>周边主要为农村环境，存在农村面源污染</w:t>
            </w:r>
            <w:r>
              <w:rPr>
                <w:rFonts w:hint="eastAsia" w:cs="Times New Roman"/>
                <w:color w:val="auto"/>
                <w:sz w:val="24"/>
                <w:szCs w:val="24"/>
                <w:lang w:eastAsia="zh-CN"/>
              </w:rPr>
              <w:t>。</w:t>
            </w:r>
          </w:p>
          <w:p w14:paraId="6130E53A">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szCs w:val="24"/>
                <w:lang w:val="en-US" w:eastAsia="zh-CN"/>
              </w:rPr>
            </w:pPr>
            <w:r>
              <w:rPr>
                <w:rFonts w:hint="default" w:ascii="Times New Roman" w:hAnsi="Times New Roman" w:eastAsia="宋体" w:cs="Times New Roman"/>
                <w:color w:val="auto"/>
                <w:sz w:val="24"/>
                <w:szCs w:val="24"/>
              </w:rPr>
              <w:t>本项目为新建</w:t>
            </w:r>
            <w:r>
              <w:rPr>
                <w:rFonts w:hint="default" w:ascii="Times New Roman" w:hAnsi="Times New Roman" w:eastAsia="宋体" w:cs="Times New Roman"/>
                <w:color w:val="auto"/>
                <w:sz w:val="24"/>
                <w:szCs w:val="24"/>
                <w:lang w:val="en-US" w:eastAsia="zh-CN"/>
              </w:rPr>
              <w:t>引水管线工程</w:t>
            </w:r>
            <w:r>
              <w:rPr>
                <w:rFonts w:hint="default" w:ascii="Times New Roman" w:hAnsi="Times New Roman" w:eastAsia="宋体" w:cs="Times New Roman"/>
                <w:color w:val="auto"/>
                <w:sz w:val="24"/>
                <w:szCs w:val="24"/>
              </w:rPr>
              <w:t>，不存在与本项目有关的原有污染及环境问题。</w:t>
            </w:r>
          </w:p>
        </w:tc>
      </w:tr>
      <w:tr w14:paraId="059CF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709" w:type="dxa"/>
            <w:noWrap w:val="0"/>
            <w:vAlign w:val="center"/>
          </w:tcPr>
          <w:p w14:paraId="5934D0F6">
            <w:pPr>
              <w:adjustRightInd w:val="0"/>
              <w:snapToGrid w:val="0"/>
              <w:jc w:val="center"/>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生态环境保护目标</w:t>
            </w:r>
          </w:p>
        </w:tc>
        <w:tc>
          <w:tcPr>
            <w:tcW w:w="8448" w:type="dxa"/>
            <w:noWrap w:val="0"/>
            <w:vAlign w:val="center"/>
          </w:tcPr>
          <w:p w14:paraId="6B17AED4">
            <w:pPr>
              <w:keepNext w:val="0"/>
              <w:keepLines w:val="0"/>
              <w:pageBreakBefore w:val="0"/>
              <w:widowControl w:val="0"/>
              <w:kinsoku/>
              <w:wordWrap/>
              <w:overflowPunct/>
              <w:topLinePunct w:val="0"/>
              <w:autoSpaceDE/>
              <w:autoSpaceDN/>
              <w:bidi w:val="0"/>
              <w:adjustRightInd/>
              <w:snapToGrid/>
              <w:spacing w:before="313" w:beforeLines="100" w:line="360" w:lineRule="auto"/>
              <w:jc w:val="both"/>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项目周边环境及主要环境保护目标</w:t>
            </w:r>
            <w:r>
              <w:rPr>
                <w:rFonts w:hint="eastAsia" w:cs="Times New Roman"/>
                <w:b/>
                <w:bCs/>
                <w:color w:val="auto"/>
                <w:sz w:val="28"/>
                <w:szCs w:val="28"/>
                <w:lang w:eastAsia="zh-CN"/>
              </w:rPr>
              <w:t>（</w:t>
            </w:r>
            <w:r>
              <w:rPr>
                <w:rFonts w:hint="default" w:ascii="Times New Roman" w:hAnsi="Times New Roman" w:eastAsia="宋体" w:cs="Times New Roman"/>
                <w:b/>
                <w:bCs/>
                <w:color w:val="auto"/>
                <w:sz w:val="28"/>
                <w:szCs w:val="28"/>
              </w:rPr>
              <w:t>列出名单及保护级别）：</w:t>
            </w:r>
          </w:p>
          <w:p w14:paraId="2DF03AAD">
            <w:pPr>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TimesNewRomanPS-BoldMT" w:cs="Times New Roman"/>
                <w:b/>
                <w:bCs/>
                <w:color w:val="auto"/>
                <w:sz w:val="24"/>
                <w:szCs w:val="24"/>
              </w:rPr>
              <w:t>1</w:t>
            </w:r>
            <w:r>
              <w:rPr>
                <w:rFonts w:hint="default" w:ascii="Times New Roman" w:hAnsi="Times New Roman" w:eastAsia="宋体" w:cs="Times New Roman"/>
                <w:b/>
                <w:bCs/>
                <w:color w:val="auto"/>
                <w:sz w:val="24"/>
                <w:szCs w:val="24"/>
              </w:rPr>
              <w:t>、评价范围</w:t>
            </w:r>
          </w:p>
          <w:p w14:paraId="15BA514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lang w:eastAsia="zh-CN"/>
              </w:rPr>
              <w:t>（</w:t>
            </w:r>
            <w:r>
              <w:rPr>
                <w:rFonts w:hint="default" w:ascii="Times New Roman" w:hAnsi="Times New Roman" w:eastAsia="TimesNewRomanPSMT" w:cs="Times New Roman"/>
                <w:color w:val="auto"/>
                <w:sz w:val="24"/>
                <w:szCs w:val="24"/>
              </w:rPr>
              <w:t>1</w:t>
            </w:r>
            <w:r>
              <w:rPr>
                <w:rFonts w:hint="default" w:ascii="Times New Roman" w:hAnsi="Times New Roman" w:eastAsia="宋体" w:cs="Times New Roman"/>
                <w:color w:val="auto"/>
                <w:sz w:val="24"/>
                <w:szCs w:val="24"/>
              </w:rPr>
              <w:t>）生态评价范围：根据《环境影响评价技术导则</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生态影响》</w:t>
            </w:r>
            <w:r>
              <w:rPr>
                <w:rFonts w:hint="eastAsia" w:cs="Times New Roman"/>
                <w:color w:val="auto"/>
                <w:sz w:val="24"/>
                <w:szCs w:val="24"/>
                <w:lang w:eastAsia="zh-CN"/>
              </w:rPr>
              <w:t>（</w:t>
            </w:r>
            <w:r>
              <w:rPr>
                <w:rFonts w:hint="default" w:ascii="Times New Roman" w:hAnsi="Times New Roman" w:eastAsia="TimesNewRomanPSMT" w:cs="Times New Roman"/>
                <w:color w:val="auto"/>
                <w:sz w:val="24"/>
                <w:szCs w:val="24"/>
              </w:rPr>
              <w:t>HJ19-2022</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w:t>
            </w:r>
            <w:r>
              <w:rPr>
                <w:rFonts w:hint="eastAsia" w:ascii="Times New Roman" w:hAnsi="Times New Roman" w:eastAsia="宋体" w:cs="Times New Roman"/>
                <w:color w:val="auto"/>
                <w:sz w:val="24"/>
                <w:szCs w:val="24"/>
                <w:highlight w:val="none"/>
                <w:lang w:val="en-US" w:eastAsia="zh-CN"/>
              </w:rPr>
              <w:t>6.2.2</w:t>
            </w:r>
            <w:r>
              <w:rPr>
                <w:rFonts w:hint="default" w:ascii="Times New Roman" w:hAnsi="Times New Roman" w:eastAsia="宋体" w:cs="Times New Roman"/>
                <w:color w:val="auto"/>
                <w:sz w:val="24"/>
                <w:szCs w:val="24"/>
                <w:highlight w:val="none"/>
              </w:rPr>
              <w:t>涉及占用或穿</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跨）越生态敏感区时，应考虑生态敏感区的结构、功能及主要保护对象合理确</w:t>
            </w:r>
            <w:r>
              <w:rPr>
                <w:rFonts w:hint="eastAsia" w:ascii="Times New Roman" w:hAnsi="Times New Roman" w:eastAsia="宋体" w:cs="Times New Roman"/>
                <w:color w:val="auto"/>
                <w:sz w:val="24"/>
                <w:szCs w:val="24"/>
                <w:highlight w:val="none"/>
                <w:lang w:val="en-US" w:eastAsia="zh-CN"/>
              </w:rPr>
              <w:t>定评价范围；6.2.5</w:t>
            </w:r>
            <w:r>
              <w:rPr>
                <w:rFonts w:hint="default" w:ascii="Times New Roman" w:hAnsi="Times New Roman" w:eastAsia="宋体" w:cs="Times New Roman"/>
                <w:color w:val="auto"/>
                <w:sz w:val="24"/>
                <w:szCs w:val="24"/>
                <w:highlight w:val="none"/>
              </w:rPr>
              <w:t>线性工程穿越生态敏感区时，以线路穿越段向两端外延1 km、线路中心线向两侧外延1 km为参考评价范围</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；穿越非生态敏感区时，以线路中心线向两侧外延300 m为参考评价范围。</w:t>
            </w:r>
          </w:p>
          <w:p w14:paraId="3C1919D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w:t>
            </w:r>
            <w:r>
              <w:rPr>
                <w:rFonts w:hint="eastAsia" w:cs="Times New Roman"/>
                <w:color w:val="auto"/>
                <w:sz w:val="24"/>
                <w:szCs w:val="24"/>
                <w:highlight w:val="none"/>
                <w:lang w:val="en-US" w:eastAsia="zh-CN"/>
              </w:rPr>
              <w:t>不涉及</w:t>
            </w:r>
            <w:r>
              <w:rPr>
                <w:rFonts w:hint="default" w:ascii="Times New Roman" w:hAnsi="Times New Roman" w:eastAsia="宋体" w:cs="Times New Roman"/>
                <w:color w:val="auto"/>
                <w:sz w:val="24"/>
                <w:szCs w:val="24"/>
                <w:highlight w:val="none"/>
              </w:rPr>
              <w:t>生态敏感区</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生态评价范围</w:t>
            </w:r>
            <w:r>
              <w:rPr>
                <w:rFonts w:hint="eastAsia" w:ascii="Times New Roman" w:hAnsi="Times New Roman" w:eastAsia="宋体" w:cs="Times New Roman"/>
                <w:color w:val="auto"/>
                <w:sz w:val="24"/>
                <w:szCs w:val="24"/>
                <w:highlight w:val="none"/>
                <w:lang w:val="en-US" w:eastAsia="zh-CN"/>
              </w:rPr>
              <w:t>设定</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以线路中心线向两侧外延300m</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用地红线</w:t>
            </w:r>
            <w:r>
              <w:rPr>
                <w:rFonts w:hint="default" w:ascii="Times New Roman" w:hAnsi="Times New Roman" w:eastAsia="宋体" w:cs="Times New Roman"/>
                <w:color w:val="auto"/>
                <w:sz w:val="24"/>
                <w:szCs w:val="24"/>
                <w:highlight w:val="none"/>
              </w:rPr>
              <w:t>向</w:t>
            </w:r>
            <w:r>
              <w:rPr>
                <w:rFonts w:hint="eastAsia" w:cs="Times New Roman"/>
                <w:color w:val="auto"/>
                <w:sz w:val="24"/>
                <w:szCs w:val="24"/>
                <w:highlight w:val="none"/>
                <w:lang w:val="en-US" w:eastAsia="zh-CN"/>
              </w:rPr>
              <w:t>外</w:t>
            </w:r>
            <w:r>
              <w:rPr>
                <w:rFonts w:hint="default" w:ascii="Times New Roman" w:hAnsi="Times New Roman" w:eastAsia="宋体" w:cs="Times New Roman"/>
                <w:color w:val="auto"/>
                <w:sz w:val="24"/>
                <w:szCs w:val="24"/>
                <w:highlight w:val="none"/>
              </w:rPr>
              <w:t>侧外延300m 为评价范围</w:t>
            </w:r>
            <w:r>
              <w:rPr>
                <w:rFonts w:hint="eastAsia" w:cs="Times New Roman"/>
                <w:color w:val="auto"/>
                <w:sz w:val="24"/>
                <w:szCs w:val="24"/>
                <w:highlight w:val="none"/>
                <w:lang w:eastAsia="zh-CN"/>
              </w:rPr>
              <w:t>。</w:t>
            </w:r>
          </w:p>
          <w:p w14:paraId="394CC94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TimesNewRomanPSMT" w:cs="Times New Roman"/>
                <w:color w:val="auto"/>
                <w:sz w:val="24"/>
                <w:szCs w:val="24"/>
              </w:rPr>
              <w:t>2</w:t>
            </w:r>
            <w:r>
              <w:rPr>
                <w:rFonts w:hint="default" w:ascii="Times New Roman" w:hAnsi="Times New Roman" w:eastAsia="宋体" w:cs="Times New Roman"/>
                <w:color w:val="auto"/>
                <w:sz w:val="24"/>
                <w:szCs w:val="24"/>
              </w:rPr>
              <w:t>）声环境评价范围：根据《环境影响评价技术导则</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声环境》</w:t>
            </w:r>
            <w:r>
              <w:rPr>
                <w:rFonts w:hint="eastAsia" w:cs="Times New Roman"/>
                <w:color w:val="auto"/>
                <w:sz w:val="24"/>
                <w:szCs w:val="24"/>
                <w:lang w:eastAsia="zh-CN"/>
              </w:rPr>
              <w:t>（</w:t>
            </w:r>
            <w:r>
              <w:rPr>
                <w:rFonts w:hint="default" w:ascii="Times New Roman" w:hAnsi="Times New Roman" w:eastAsia="TimesNewRomanPSMT" w:cs="Times New Roman"/>
                <w:color w:val="auto"/>
                <w:sz w:val="24"/>
                <w:szCs w:val="24"/>
              </w:rPr>
              <w:t>HJ2.4-2021</w:t>
            </w:r>
            <w:r>
              <w:rPr>
                <w:rFonts w:hint="default" w:ascii="Times New Roman" w:hAnsi="Times New Roman" w:eastAsia="宋体" w:cs="Times New Roman"/>
                <w:color w:val="auto"/>
                <w:sz w:val="24"/>
                <w:szCs w:val="24"/>
              </w:rPr>
              <w:t>），本项目所处的声环境功能区</w:t>
            </w:r>
            <w:r>
              <w:rPr>
                <w:rFonts w:hint="default" w:ascii="Times New Roman" w:hAnsi="Times New Roman" w:eastAsia="宋体" w:cs="Times New Roman"/>
                <w:color w:val="auto"/>
                <w:sz w:val="24"/>
                <w:szCs w:val="24"/>
                <w:lang w:val="en-US" w:eastAsia="zh-CN"/>
              </w:rPr>
              <w:t>主要</w:t>
            </w:r>
            <w:r>
              <w:rPr>
                <w:rFonts w:hint="default" w:ascii="Times New Roman" w:hAnsi="Times New Roman" w:eastAsia="宋体" w:cs="Times New Roman"/>
                <w:color w:val="auto"/>
                <w:sz w:val="24"/>
                <w:szCs w:val="24"/>
              </w:rPr>
              <w:t>为</w:t>
            </w:r>
            <w:r>
              <w:rPr>
                <w:rFonts w:hint="default" w:ascii="Times New Roman" w:hAnsi="Times New Roman" w:eastAsia="TimesNewRomanPSMT" w:cs="Times New Roman"/>
                <w:color w:val="auto"/>
                <w:sz w:val="24"/>
                <w:szCs w:val="24"/>
              </w:rPr>
              <w:t xml:space="preserve">GB3096 </w:t>
            </w:r>
            <w:r>
              <w:rPr>
                <w:rFonts w:hint="default" w:ascii="Times New Roman" w:hAnsi="Times New Roman" w:eastAsia="宋体" w:cs="Times New Roman"/>
                <w:color w:val="auto"/>
                <w:sz w:val="24"/>
                <w:szCs w:val="24"/>
              </w:rPr>
              <w:t>规定的</w:t>
            </w:r>
            <w:r>
              <w:rPr>
                <w:rFonts w:hint="default" w:ascii="Times New Roman" w:hAnsi="Times New Roman" w:eastAsia="TimesNewRomanPSMT" w:cs="Times New Roman"/>
                <w:color w:val="auto"/>
                <w:sz w:val="24"/>
                <w:szCs w:val="24"/>
              </w:rPr>
              <w:t xml:space="preserve">2 </w:t>
            </w:r>
            <w:r>
              <w:rPr>
                <w:rFonts w:hint="default" w:ascii="Times New Roman" w:hAnsi="Times New Roman" w:eastAsia="宋体" w:cs="Times New Roman"/>
                <w:color w:val="auto"/>
                <w:sz w:val="24"/>
                <w:szCs w:val="24"/>
              </w:rPr>
              <w:t>类地区，声环境评价范围为</w:t>
            </w:r>
            <w:r>
              <w:rPr>
                <w:rFonts w:hint="default" w:ascii="Times New Roman" w:hAnsi="Times New Roman" w:eastAsia="宋体" w:cs="Times New Roman"/>
                <w:color w:val="auto"/>
                <w:sz w:val="24"/>
                <w:szCs w:val="24"/>
                <w:lang w:val="en-US" w:eastAsia="zh-CN"/>
              </w:rPr>
              <w:t>管线</w:t>
            </w:r>
            <w:r>
              <w:rPr>
                <w:rFonts w:hint="default" w:ascii="Times New Roman" w:hAnsi="Times New Roman" w:eastAsia="宋体" w:cs="Times New Roman"/>
                <w:color w:val="auto"/>
                <w:sz w:val="24"/>
                <w:szCs w:val="24"/>
              </w:rPr>
              <w:t>中心线</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厂址用地</w:t>
            </w:r>
            <w:r>
              <w:rPr>
                <w:rFonts w:hint="eastAsia" w:cs="Times New Roman"/>
                <w:color w:val="auto"/>
                <w:sz w:val="24"/>
                <w:lang w:val="en-US" w:eastAsia="zh-CN"/>
              </w:rPr>
              <w:t>及建设区域</w:t>
            </w:r>
            <w:r>
              <w:rPr>
                <w:rFonts w:hint="default" w:ascii="Times New Roman" w:hAnsi="Times New Roman" w:cs="Times New Roman"/>
                <w:color w:val="auto"/>
                <w:sz w:val="24"/>
                <w:lang w:val="en-US" w:eastAsia="zh-CN"/>
              </w:rPr>
              <w:t>红线</w:t>
            </w:r>
            <w:r>
              <w:rPr>
                <w:rFonts w:hint="default" w:ascii="Times New Roman" w:hAnsi="Times New Roman" w:eastAsia="宋体" w:cs="Times New Roman"/>
                <w:color w:val="auto"/>
                <w:sz w:val="24"/>
                <w:szCs w:val="24"/>
              </w:rPr>
              <w:t>外两侧</w:t>
            </w:r>
            <w:r>
              <w:rPr>
                <w:rFonts w:hint="default" w:ascii="Times New Roman" w:hAnsi="Times New Roman" w:eastAsia="TimesNewRomanPSMT" w:cs="Times New Roman"/>
                <w:color w:val="auto"/>
                <w:sz w:val="24"/>
                <w:szCs w:val="24"/>
              </w:rPr>
              <w:t xml:space="preserve">200m </w:t>
            </w:r>
            <w:r>
              <w:rPr>
                <w:rFonts w:hint="default" w:ascii="Times New Roman" w:hAnsi="Times New Roman" w:eastAsia="宋体" w:cs="Times New Roman"/>
                <w:color w:val="auto"/>
                <w:sz w:val="24"/>
                <w:szCs w:val="24"/>
              </w:rPr>
              <w:t>以内</w:t>
            </w:r>
            <w:r>
              <w:rPr>
                <w:rFonts w:hint="eastAsia" w:cs="Times New Roman"/>
                <w:color w:val="auto"/>
                <w:sz w:val="24"/>
                <w:szCs w:val="24"/>
                <w:lang w:eastAsia="zh-CN"/>
              </w:rPr>
              <w:t>（</w:t>
            </w:r>
            <w:r>
              <w:rPr>
                <w:rFonts w:hint="default" w:ascii="Times New Roman" w:hAnsi="Times New Roman" w:eastAsia="宋体" w:cs="Times New Roman"/>
                <w:color w:val="auto"/>
                <w:sz w:val="24"/>
                <w:szCs w:val="24"/>
                <w:lang w:val="en-US" w:eastAsia="zh-CN"/>
              </w:rPr>
              <w:t>施工期</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w:t>
            </w:r>
          </w:p>
          <w:p w14:paraId="2526969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TimesNewRomanPSMT" w:cs="Times New Roman"/>
                <w:color w:val="auto"/>
                <w:sz w:val="24"/>
                <w:szCs w:val="24"/>
              </w:rPr>
              <w:t>3</w:t>
            </w:r>
            <w:r>
              <w:rPr>
                <w:rFonts w:hint="default" w:ascii="Times New Roman" w:hAnsi="Times New Roman" w:eastAsia="宋体" w:cs="Times New Roman"/>
                <w:color w:val="auto"/>
                <w:sz w:val="24"/>
                <w:szCs w:val="24"/>
              </w:rPr>
              <w:t>）地表水环境评价范围：</w:t>
            </w:r>
            <w:r>
              <w:rPr>
                <w:rFonts w:hint="eastAsia" w:cs="Times New Roman"/>
                <w:color w:val="auto"/>
                <w:sz w:val="24"/>
                <w:szCs w:val="24"/>
                <w:lang w:val="en-US" w:eastAsia="zh-CN"/>
              </w:rPr>
              <w:t>结合项目施工、运行特点，</w:t>
            </w:r>
            <w:r>
              <w:rPr>
                <w:rFonts w:hint="default" w:ascii="Times New Roman" w:hAnsi="Times New Roman" w:eastAsia="宋体" w:cs="Times New Roman"/>
                <w:color w:val="auto"/>
                <w:sz w:val="24"/>
                <w:szCs w:val="24"/>
                <w:highlight w:val="none"/>
              </w:rPr>
              <w:t>项目施工期产生的废水全部回用，运营期无废水产生及排放，</w:t>
            </w:r>
            <w:r>
              <w:rPr>
                <w:rFonts w:hint="default" w:ascii="Times New Roman" w:hAnsi="Times New Roman" w:eastAsia="宋体" w:cs="Times New Roman"/>
                <w:color w:val="auto"/>
                <w:sz w:val="24"/>
                <w:szCs w:val="24"/>
              </w:rPr>
              <w:t>根据《环境影响评价技术导则</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地表水环境》</w:t>
            </w:r>
            <w:r>
              <w:rPr>
                <w:rFonts w:hint="eastAsia" w:ascii="Times New Roman" w:hAnsi="Times New Roman" w:eastAsia="宋体" w:cs="Times New Roman"/>
                <w:color w:val="auto"/>
                <w:sz w:val="24"/>
                <w:szCs w:val="24"/>
                <w:lang w:eastAsia="zh-CN"/>
              </w:rPr>
              <w:t>（</w:t>
            </w:r>
            <w:r>
              <w:rPr>
                <w:rFonts w:hint="default" w:ascii="Times New Roman" w:hAnsi="Times New Roman" w:eastAsia="TimesNewRomanPSMT" w:cs="Times New Roman"/>
                <w:color w:val="auto"/>
                <w:sz w:val="24"/>
                <w:szCs w:val="24"/>
              </w:rPr>
              <w:t>HJ2.3-2018</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highlight w:val="none"/>
              </w:rPr>
              <w:t>不设地表水评价范围。</w:t>
            </w:r>
          </w:p>
          <w:p w14:paraId="2554B7A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TimesNewRomanPSMT" w:cs="Times New Roman"/>
                <w:color w:val="auto"/>
                <w:sz w:val="24"/>
                <w:szCs w:val="24"/>
              </w:rPr>
              <w:t>4</w:t>
            </w:r>
            <w:r>
              <w:rPr>
                <w:rFonts w:hint="default" w:ascii="Times New Roman" w:hAnsi="Times New Roman" w:eastAsia="宋体" w:cs="Times New Roman"/>
                <w:color w:val="auto"/>
                <w:sz w:val="24"/>
                <w:szCs w:val="24"/>
              </w:rPr>
              <w:t>）地下水环境评价范围：根据《环境影响评价技术导则</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地下水环境》</w:t>
            </w:r>
            <w:r>
              <w:rPr>
                <w:rFonts w:hint="eastAsia" w:cs="Times New Roman"/>
                <w:color w:val="auto"/>
                <w:sz w:val="24"/>
                <w:szCs w:val="24"/>
                <w:lang w:eastAsia="zh-CN"/>
              </w:rPr>
              <w:t>（</w:t>
            </w:r>
            <w:r>
              <w:rPr>
                <w:rFonts w:hint="default" w:ascii="Times New Roman" w:hAnsi="Times New Roman" w:eastAsia="TimesNewRomanPSMT" w:cs="Times New Roman"/>
                <w:color w:val="auto"/>
                <w:sz w:val="24"/>
                <w:szCs w:val="24"/>
              </w:rPr>
              <w:t>HJ610-2016</w:t>
            </w:r>
            <w:r>
              <w:rPr>
                <w:rFonts w:hint="default" w:ascii="Times New Roman" w:hAnsi="Times New Roman" w:eastAsia="宋体" w:cs="Times New Roman"/>
                <w:color w:val="auto"/>
                <w:sz w:val="24"/>
                <w:szCs w:val="24"/>
              </w:rPr>
              <w:t>），对照地下水环境影响评价行业分类表，本项目地下水环境影响评价项目类别为Ⅳ类，不开展地下水环境影响评价，不设地下水评价范围。</w:t>
            </w:r>
          </w:p>
          <w:p w14:paraId="46E0CBA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TimesNewRomanPSMT" w:cs="Times New Roman"/>
                <w:color w:val="auto"/>
                <w:sz w:val="24"/>
                <w:szCs w:val="24"/>
              </w:rPr>
              <w:t>5</w:t>
            </w:r>
            <w:r>
              <w:rPr>
                <w:rFonts w:hint="default" w:ascii="Times New Roman" w:hAnsi="Times New Roman" w:eastAsia="宋体" w:cs="Times New Roman"/>
                <w:color w:val="auto"/>
                <w:sz w:val="24"/>
                <w:szCs w:val="24"/>
              </w:rPr>
              <w:t>）大气环境评价范围：根据《环境影响评价技术导则</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大气环境》</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HJ2.2-2018），本项目为</w:t>
            </w:r>
            <w:r>
              <w:rPr>
                <w:rFonts w:hint="default" w:ascii="Times New Roman" w:hAnsi="Times New Roman" w:eastAsia="宋体" w:cs="Times New Roman"/>
                <w:color w:val="auto"/>
                <w:sz w:val="24"/>
                <w:szCs w:val="24"/>
                <w:lang w:val="en-US" w:eastAsia="zh-CN"/>
              </w:rPr>
              <w:t>引水管网</w:t>
            </w:r>
            <w:r>
              <w:rPr>
                <w:rFonts w:hint="default" w:ascii="Times New Roman" w:hAnsi="Times New Roman" w:eastAsia="宋体" w:cs="Times New Roman"/>
                <w:color w:val="auto"/>
                <w:sz w:val="24"/>
                <w:szCs w:val="24"/>
              </w:rPr>
              <w:t>建设项目，不需设置大气评价范围。</w:t>
            </w:r>
          </w:p>
          <w:p w14:paraId="7525F09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cs="Times New Roman"/>
                <w:color w:val="auto"/>
                <w:sz w:val="24"/>
                <w:szCs w:val="24"/>
                <w:lang w:eastAsia="zh-CN"/>
              </w:rPr>
              <w:t>（</w:t>
            </w:r>
            <w:r>
              <w:rPr>
                <w:rFonts w:hint="default" w:ascii="Times New Roman" w:hAnsi="Times New Roman" w:eastAsia="TimesNewRomanPSMT" w:cs="Times New Roman"/>
                <w:color w:val="auto"/>
                <w:sz w:val="24"/>
                <w:szCs w:val="24"/>
              </w:rPr>
              <w:t>6</w:t>
            </w:r>
            <w:r>
              <w:rPr>
                <w:rFonts w:hint="default" w:ascii="Times New Roman" w:hAnsi="Times New Roman" w:eastAsia="宋体" w:cs="Times New Roman"/>
                <w:color w:val="auto"/>
                <w:sz w:val="24"/>
                <w:szCs w:val="24"/>
              </w:rPr>
              <w:t>）土壤评价范围：根据《环境影响评价技术导则</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土壤环境</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试行）》</w:t>
            </w:r>
            <w:r>
              <w:rPr>
                <w:rFonts w:hint="eastAsia" w:cs="Times New Roman"/>
                <w:color w:val="auto"/>
                <w:sz w:val="24"/>
                <w:szCs w:val="24"/>
                <w:lang w:eastAsia="zh-CN"/>
              </w:rPr>
              <w:t>（</w:t>
            </w:r>
            <w:r>
              <w:rPr>
                <w:rFonts w:hint="default" w:ascii="Times New Roman" w:hAnsi="Times New Roman" w:eastAsia="TimesNewRomanPSMT" w:cs="Times New Roman"/>
                <w:color w:val="auto"/>
                <w:sz w:val="24"/>
                <w:szCs w:val="24"/>
              </w:rPr>
              <w:t>HJ964-2018</w:t>
            </w:r>
            <w:r>
              <w:rPr>
                <w:rFonts w:hint="default" w:ascii="Times New Roman" w:hAnsi="Times New Roman" w:eastAsia="宋体" w:cs="Times New Roman"/>
                <w:color w:val="auto"/>
                <w:sz w:val="24"/>
                <w:szCs w:val="24"/>
              </w:rPr>
              <w:t>），对照土壤环境影响评价项目类别，本项目</w:t>
            </w:r>
            <w:r>
              <w:rPr>
                <w:rFonts w:hint="default" w:ascii="Times New Roman" w:hAnsi="Times New Roman" w:eastAsia="宋体" w:cs="Times New Roman"/>
                <w:color w:val="auto"/>
                <w:sz w:val="24"/>
                <w:szCs w:val="24"/>
                <w:lang w:val="en-US" w:eastAsia="zh-CN"/>
              </w:rPr>
              <w:t>属于引水管网</w:t>
            </w:r>
            <w:r>
              <w:rPr>
                <w:rFonts w:hint="default" w:ascii="Times New Roman" w:hAnsi="Times New Roman" w:eastAsia="宋体" w:cs="Times New Roman"/>
                <w:color w:val="auto"/>
                <w:sz w:val="24"/>
                <w:szCs w:val="24"/>
              </w:rPr>
              <w:t>建设项目，为Ⅳ类项目，Ⅳ类建设项目可不开展土壤环境影响评价，不设土壤评价范围。</w:t>
            </w:r>
          </w:p>
          <w:p w14:paraId="132226F3">
            <w:pPr>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default" w:ascii="Times New Roman" w:hAnsi="Times New Roman" w:eastAsia="宋体" w:cs="Times New Roman"/>
                <w:b/>
                <w:bCs w:val="0"/>
                <w:color w:val="auto"/>
                <w:sz w:val="24"/>
                <w:szCs w:val="24"/>
              </w:rPr>
            </w:pPr>
            <w:r>
              <w:rPr>
                <w:rFonts w:hint="default" w:ascii="Times New Roman" w:hAnsi="Times New Roman" w:eastAsia="TimesNewRomanPS-BoldMT" w:cs="Times New Roman"/>
                <w:b/>
                <w:bCs w:val="0"/>
                <w:color w:val="auto"/>
                <w:sz w:val="24"/>
                <w:szCs w:val="24"/>
              </w:rPr>
              <w:t>2</w:t>
            </w:r>
            <w:r>
              <w:rPr>
                <w:rFonts w:hint="default" w:ascii="Times New Roman" w:hAnsi="Times New Roman" w:eastAsia="宋体" w:cs="Times New Roman"/>
                <w:b/>
                <w:bCs w:val="0"/>
                <w:color w:val="auto"/>
                <w:sz w:val="24"/>
                <w:szCs w:val="24"/>
              </w:rPr>
              <w:t>、保护目标</w:t>
            </w:r>
          </w:p>
          <w:p w14:paraId="7EA4BB72">
            <w:pPr>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eastAsia" w:cs="Times New Roman"/>
                <w:b/>
                <w:bCs/>
                <w:color w:val="auto"/>
                <w:sz w:val="24"/>
                <w:szCs w:val="24"/>
                <w:lang w:eastAsia="zh-CN"/>
              </w:rPr>
              <w:t>（</w:t>
            </w:r>
            <w:r>
              <w:rPr>
                <w:rFonts w:hint="default" w:ascii="Times New Roman" w:hAnsi="Times New Roman" w:eastAsia="TimesNewRomanPS-BoldMT" w:cs="Times New Roman"/>
                <w:b/>
                <w:bCs/>
                <w:color w:val="auto"/>
                <w:sz w:val="24"/>
                <w:szCs w:val="24"/>
              </w:rPr>
              <w:t>1</w:t>
            </w:r>
            <w:r>
              <w:rPr>
                <w:rFonts w:hint="default" w:ascii="Times New Roman" w:hAnsi="Times New Roman" w:eastAsia="宋体" w:cs="Times New Roman"/>
                <w:b/>
                <w:bCs/>
                <w:color w:val="auto"/>
                <w:sz w:val="24"/>
                <w:szCs w:val="24"/>
              </w:rPr>
              <w:t>）地表水保护目标</w:t>
            </w:r>
          </w:p>
          <w:p w14:paraId="4A40CBA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highlight w:val="none"/>
              </w:rPr>
              <w:t>本项目涉及地表水为</w:t>
            </w:r>
            <w:r>
              <w:rPr>
                <w:rFonts w:hint="default" w:ascii="Times New Roman" w:hAnsi="Times New Roman" w:eastAsia="宋体" w:cs="Times New Roman"/>
                <w:color w:val="auto"/>
                <w:sz w:val="24"/>
                <w:szCs w:val="24"/>
                <w:highlight w:val="none"/>
                <w:lang w:val="en-US" w:eastAsia="zh-CN"/>
              </w:rPr>
              <w:t>车木河水库、鸣矣河</w:t>
            </w:r>
            <w:r>
              <w:rPr>
                <w:rFonts w:hint="eastAsia" w:cs="Times New Roman"/>
                <w:color w:val="auto"/>
                <w:sz w:val="24"/>
                <w:szCs w:val="24"/>
                <w:highlight w:val="none"/>
                <w:lang w:val="en-US" w:eastAsia="zh-CN"/>
              </w:rPr>
              <w:t>、月子庄水库。</w:t>
            </w:r>
            <w:r>
              <w:rPr>
                <w:rFonts w:hint="default" w:ascii="Times New Roman" w:hAnsi="Times New Roman" w:eastAsia="宋体" w:cs="Times New Roman"/>
                <w:color w:val="auto"/>
                <w:sz w:val="24"/>
                <w:szCs w:val="24"/>
              </w:rPr>
              <w:t>本项目水环境保护目标基本情况见下表。</w:t>
            </w:r>
          </w:p>
          <w:p w14:paraId="17B0B7B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p>
          <w:p w14:paraId="50E93CD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TimesNewRomanPS-BoldMT" w:cs="Times New Roman"/>
                <w:b/>
                <w:bCs/>
                <w:color w:val="auto"/>
                <w:sz w:val="24"/>
                <w:szCs w:val="24"/>
              </w:rPr>
              <w:t>3-</w:t>
            </w:r>
            <w:r>
              <w:rPr>
                <w:rFonts w:hint="eastAsia" w:eastAsia="TimesNewRomanPS-BoldMT" w:cs="Times New Roman"/>
                <w:b/>
                <w:bCs/>
                <w:color w:val="auto"/>
                <w:sz w:val="24"/>
                <w:szCs w:val="24"/>
                <w:lang w:val="en-US" w:eastAsia="zh-CN"/>
              </w:rPr>
              <w:t>9</w:t>
            </w:r>
            <w:r>
              <w:rPr>
                <w:rFonts w:hint="default" w:ascii="Times New Roman" w:hAnsi="Times New Roman" w:eastAsia="TimesNewRomanPS-BoldMT" w:cs="Times New Roman"/>
                <w:b/>
                <w:bCs/>
                <w:color w:val="auto"/>
                <w:sz w:val="24"/>
                <w:szCs w:val="24"/>
                <w:lang w:val="en-US" w:eastAsia="zh-CN"/>
              </w:rPr>
              <w:t xml:space="preserve">   </w:t>
            </w:r>
            <w:r>
              <w:rPr>
                <w:rFonts w:hint="default" w:ascii="Times New Roman" w:hAnsi="Times New Roman" w:eastAsia="TimesNewRomanPS-BoldMT" w:cs="Times New Roman"/>
                <w:b/>
                <w:bCs/>
                <w:color w:val="auto"/>
                <w:sz w:val="24"/>
                <w:szCs w:val="24"/>
              </w:rPr>
              <w:t xml:space="preserve"> </w:t>
            </w:r>
            <w:r>
              <w:rPr>
                <w:rFonts w:hint="default" w:ascii="Times New Roman" w:hAnsi="Times New Roman" w:eastAsia="宋体" w:cs="Times New Roman"/>
                <w:b/>
                <w:bCs/>
                <w:color w:val="auto"/>
                <w:sz w:val="24"/>
                <w:szCs w:val="24"/>
              </w:rPr>
              <w:t>项目水环境保护目标</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485"/>
              <w:gridCol w:w="855"/>
              <w:gridCol w:w="973"/>
              <w:gridCol w:w="1761"/>
              <w:gridCol w:w="2359"/>
            </w:tblGrid>
            <w:tr w14:paraId="2D1B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478" w:type="pct"/>
                  <w:noWrap w:val="0"/>
                  <w:vAlign w:val="center"/>
                </w:tcPr>
                <w:p w14:paraId="3ED0D1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环境要素</w:t>
                  </w:r>
                </w:p>
              </w:tc>
              <w:tc>
                <w:tcPr>
                  <w:tcW w:w="903" w:type="pct"/>
                  <w:noWrap w:val="0"/>
                  <w:vAlign w:val="center"/>
                </w:tcPr>
                <w:p w14:paraId="2DAD94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保护对象名称</w:t>
                  </w:r>
                </w:p>
              </w:tc>
              <w:tc>
                <w:tcPr>
                  <w:tcW w:w="520" w:type="pct"/>
                  <w:noWrap w:val="0"/>
                  <w:vAlign w:val="center"/>
                </w:tcPr>
                <w:p w14:paraId="16A132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方位</w:t>
                  </w:r>
                </w:p>
              </w:tc>
              <w:tc>
                <w:tcPr>
                  <w:tcW w:w="591" w:type="pct"/>
                  <w:noWrap w:val="0"/>
                  <w:vAlign w:val="center"/>
                </w:tcPr>
                <w:p w14:paraId="191D06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距离</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m）</w:t>
                  </w:r>
                </w:p>
              </w:tc>
              <w:tc>
                <w:tcPr>
                  <w:tcW w:w="1071" w:type="pct"/>
                  <w:noWrap w:val="0"/>
                  <w:vAlign w:val="center"/>
                </w:tcPr>
                <w:p w14:paraId="5C46EC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水体功能</w:t>
                  </w:r>
                </w:p>
              </w:tc>
              <w:tc>
                <w:tcPr>
                  <w:tcW w:w="1434" w:type="pct"/>
                  <w:noWrap w:val="0"/>
                  <w:vAlign w:val="center"/>
                </w:tcPr>
                <w:p w14:paraId="3A2C88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环境功能</w:t>
                  </w:r>
                </w:p>
              </w:tc>
            </w:tr>
            <w:tr w14:paraId="1E5D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 w:type="pct"/>
                  <w:vMerge w:val="restart"/>
                  <w:noWrap w:val="0"/>
                  <w:vAlign w:val="center"/>
                </w:tcPr>
                <w:p w14:paraId="297D84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地表水环境</w:t>
                  </w:r>
                </w:p>
              </w:tc>
              <w:tc>
                <w:tcPr>
                  <w:tcW w:w="903" w:type="pct"/>
                  <w:noWrap w:val="0"/>
                  <w:vAlign w:val="center"/>
                </w:tcPr>
                <w:p w14:paraId="37B6B5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b w:val="0"/>
                      <w:bCs w:val="0"/>
                      <w:color w:val="auto"/>
                      <w:sz w:val="21"/>
                      <w:szCs w:val="21"/>
                    </w:rPr>
                    <w:t>车木河水库</w:t>
                  </w:r>
                </w:p>
              </w:tc>
              <w:tc>
                <w:tcPr>
                  <w:tcW w:w="1112" w:type="pct"/>
                  <w:gridSpan w:val="2"/>
                  <w:noWrap w:val="0"/>
                  <w:vAlign w:val="center"/>
                </w:tcPr>
                <w:p w14:paraId="772D28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引水管线起点</w:t>
                  </w:r>
                </w:p>
              </w:tc>
              <w:tc>
                <w:tcPr>
                  <w:tcW w:w="1071" w:type="pct"/>
                  <w:noWrap w:val="0"/>
                  <w:vAlign w:val="center"/>
                </w:tcPr>
                <w:p w14:paraId="31BE61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b w:val="0"/>
                      <w:bCs w:val="0"/>
                      <w:color w:val="auto"/>
                      <w:sz w:val="21"/>
                      <w:szCs w:val="21"/>
                      <w:lang w:val="en-US" w:eastAsia="zh-CN"/>
                    </w:rPr>
                    <w:t>上游给水</w:t>
                  </w:r>
                  <w:r>
                    <w:rPr>
                      <w:rFonts w:hint="default" w:ascii="Times New Roman" w:hAnsi="Times New Roman" w:cs="Times New Roman"/>
                      <w:b w:val="0"/>
                      <w:bCs w:val="0"/>
                      <w:color w:val="auto"/>
                      <w:sz w:val="21"/>
                      <w:szCs w:val="21"/>
                    </w:rPr>
                    <w:t>水源</w:t>
                  </w:r>
                  <w:r>
                    <w:rPr>
                      <w:rFonts w:hint="default" w:ascii="Times New Roman" w:hAnsi="Times New Roman" w:cs="Times New Roman"/>
                      <w:color w:val="auto"/>
                      <w:sz w:val="21"/>
                      <w:szCs w:val="21"/>
                    </w:rPr>
                    <w:t>地</w:t>
                  </w:r>
                </w:p>
              </w:tc>
              <w:tc>
                <w:tcPr>
                  <w:tcW w:w="1434" w:type="pct"/>
                  <w:noWrap w:val="0"/>
                  <w:vAlign w:val="center"/>
                </w:tcPr>
                <w:p w14:paraId="1DF2EA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地表水环境质量标准</w:t>
                  </w: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GB3838—2002）II类水</w:t>
                  </w:r>
                  <w:r>
                    <w:rPr>
                      <w:rFonts w:hint="default" w:ascii="Times New Roman" w:hAnsi="Times New Roman" w:eastAsia="宋体" w:cs="Times New Roman"/>
                      <w:color w:val="auto"/>
                      <w:sz w:val="21"/>
                      <w:szCs w:val="21"/>
                      <w:lang w:val="en-US" w:eastAsia="zh-CN"/>
                    </w:rPr>
                    <w:t>标准</w:t>
                  </w:r>
                </w:p>
              </w:tc>
            </w:tr>
            <w:tr w14:paraId="15B8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 w:type="pct"/>
                  <w:vMerge w:val="continue"/>
                  <w:noWrap w:val="0"/>
                  <w:vAlign w:val="center"/>
                </w:tcPr>
                <w:p w14:paraId="7D7B62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903" w:type="pct"/>
                  <w:noWrap w:val="0"/>
                  <w:vAlign w:val="center"/>
                </w:tcPr>
                <w:p w14:paraId="703AB9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lang w:val="en-US" w:eastAsia="zh-CN"/>
                    </w:rPr>
                    <w:t>鸣矣河</w:t>
                  </w:r>
                </w:p>
              </w:tc>
              <w:tc>
                <w:tcPr>
                  <w:tcW w:w="1112" w:type="pct"/>
                  <w:gridSpan w:val="2"/>
                  <w:noWrap w:val="0"/>
                  <w:vAlign w:val="center"/>
                </w:tcPr>
                <w:p w14:paraId="222E4A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引水管线沿线</w:t>
                  </w:r>
                </w:p>
              </w:tc>
              <w:tc>
                <w:tcPr>
                  <w:tcW w:w="1071" w:type="pct"/>
                  <w:noWrap w:val="0"/>
                  <w:vAlign w:val="center"/>
                </w:tcPr>
                <w:p w14:paraId="38627B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lang w:val="en-US" w:eastAsia="zh-CN"/>
                    </w:rPr>
                    <w:t>工业、农业、景观娱乐</w:t>
                  </w:r>
                </w:p>
              </w:tc>
              <w:tc>
                <w:tcPr>
                  <w:tcW w:w="1434" w:type="pct"/>
                  <w:noWrap w:val="0"/>
                  <w:vAlign w:val="center"/>
                </w:tcPr>
                <w:p w14:paraId="2FFF16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地表水环境质量标准</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GB3838—2002）IV 类水标准</w:t>
                  </w:r>
                </w:p>
              </w:tc>
            </w:tr>
            <w:tr w14:paraId="32F7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 w:type="pct"/>
                  <w:vMerge w:val="continue"/>
                  <w:noWrap w:val="0"/>
                  <w:vAlign w:val="center"/>
                </w:tcPr>
                <w:p w14:paraId="38B1EC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903" w:type="pct"/>
                  <w:noWrap w:val="0"/>
                  <w:vAlign w:val="center"/>
                </w:tcPr>
                <w:p w14:paraId="5E8F56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sz w:val="21"/>
                      <w:szCs w:val="21"/>
                      <w:lang w:val="en-US" w:eastAsia="zh-CN"/>
                    </w:rPr>
                    <w:t>月子庄水库</w:t>
                  </w:r>
                </w:p>
              </w:tc>
              <w:tc>
                <w:tcPr>
                  <w:tcW w:w="520" w:type="pct"/>
                  <w:noWrap w:val="0"/>
                  <w:vAlign w:val="center"/>
                </w:tcPr>
                <w:p w14:paraId="78C8C8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引水管线</w:t>
                  </w:r>
                  <w:r>
                    <w:rPr>
                      <w:rFonts w:hint="eastAsia" w:cs="Times New Roman"/>
                      <w:color w:val="auto"/>
                      <w:kern w:val="2"/>
                      <w:sz w:val="21"/>
                      <w:szCs w:val="21"/>
                      <w:vertAlign w:val="baseline"/>
                      <w:lang w:val="en-US" w:eastAsia="zh-CN" w:bidi="ar-SA"/>
                    </w:rPr>
                    <w:t>南</w:t>
                  </w:r>
                  <w:r>
                    <w:rPr>
                      <w:rFonts w:hint="default" w:ascii="Times New Roman" w:hAnsi="Times New Roman" w:eastAsia="宋体" w:cs="Times New Roman"/>
                      <w:color w:val="auto"/>
                      <w:kern w:val="2"/>
                      <w:sz w:val="21"/>
                      <w:szCs w:val="21"/>
                      <w:vertAlign w:val="baseline"/>
                      <w:lang w:val="en-US" w:eastAsia="zh-CN" w:bidi="ar-SA"/>
                    </w:rPr>
                    <w:t>侧</w:t>
                  </w:r>
                </w:p>
              </w:tc>
              <w:tc>
                <w:tcPr>
                  <w:tcW w:w="591" w:type="pct"/>
                  <w:noWrap w:val="0"/>
                  <w:vAlign w:val="center"/>
                </w:tcPr>
                <w:p w14:paraId="235F9C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w:t>
                  </w:r>
                  <w:r>
                    <w:rPr>
                      <w:rFonts w:hint="eastAsia" w:cs="Times New Roman"/>
                      <w:color w:val="auto"/>
                      <w:kern w:val="2"/>
                      <w:sz w:val="21"/>
                      <w:szCs w:val="21"/>
                      <w:vertAlign w:val="baseline"/>
                      <w:lang w:val="en-US" w:eastAsia="zh-CN" w:bidi="ar-SA"/>
                    </w:rPr>
                    <w:t>20</w:t>
                  </w:r>
                </w:p>
              </w:tc>
              <w:tc>
                <w:tcPr>
                  <w:tcW w:w="1071" w:type="pct"/>
                  <w:noWrap w:val="0"/>
                  <w:vAlign w:val="center"/>
                </w:tcPr>
                <w:p w14:paraId="739A94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lang w:val="en-US" w:eastAsia="zh-CN"/>
                    </w:rPr>
                    <w:t>工业、农业、景观娱乐</w:t>
                  </w:r>
                </w:p>
              </w:tc>
              <w:tc>
                <w:tcPr>
                  <w:tcW w:w="1434" w:type="pct"/>
                  <w:noWrap w:val="0"/>
                  <w:vAlign w:val="center"/>
                </w:tcPr>
                <w:p w14:paraId="29EB40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地表水环境质量标准</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GB3838—2002）IV 类水标准</w:t>
                  </w:r>
                </w:p>
              </w:tc>
            </w:tr>
          </w:tbl>
          <w:p w14:paraId="7AA214DE">
            <w:pPr>
              <w:keepNext w:val="0"/>
              <w:keepLines w:val="0"/>
              <w:pageBreakBefore w:val="0"/>
              <w:widowControl w:val="0"/>
              <w:kinsoku/>
              <w:wordWrap/>
              <w:overflowPunct/>
              <w:topLinePunct w:val="0"/>
              <w:autoSpaceDE/>
              <w:autoSpaceDN/>
              <w:bidi w:val="0"/>
              <w:adjustRightInd/>
              <w:snapToGrid/>
              <w:spacing w:before="313" w:beforeLines="100"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eastAsia" w:cs="Times New Roman"/>
                <w:b/>
                <w:bCs/>
                <w:color w:val="auto"/>
                <w:sz w:val="24"/>
                <w:szCs w:val="24"/>
                <w:lang w:eastAsia="zh-CN"/>
              </w:rPr>
              <w:t>（</w:t>
            </w:r>
            <w:r>
              <w:rPr>
                <w:rFonts w:hint="default" w:ascii="Times New Roman" w:hAnsi="Times New Roman" w:eastAsia="TimesNewRomanPS-BoldMT" w:cs="Times New Roman"/>
                <w:b/>
                <w:bCs/>
                <w:color w:val="auto"/>
                <w:sz w:val="24"/>
                <w:szCs w:val="24"/>
              </w:rPr>
              <w:t>2</w:t>
            </w:r>
            <w:r>
              <w:rPr>
                <w:rFonts w:hint="default" w:ascii="Times New Roman" w:hAnsi="Times New Roman" w:eastAsia="宋体" w:cs="Times New Roman"/>
                <w:b/>
                <w:bCs/>
                <w:color w:val="auto"/>
                <w:sz w:val="24"/>
                <w:szCs w:val="24"/>
              </w:rPr>
              <w:t>）生态环境保护目标</w:t>
            </w:r>
          </w:p>
          <w:p w14:paraId="7B4B944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本项目生态环境保护目标</w:t>
            </w:r>
            <w:r>
              <w:rPr>
                <w:rFonts w:hint="default" w:ascii="Times New Roman" w:hAnsi="Times New Roman" w:eastAsia="宋体" w:cs="Times New Roman"/>
                <w:color w:val="auto"/>
                <w:sz w:val="24"/>
                <w:szCs w:val="24"/>
                <w:lang w:val="en-US" w:eastAsia="zh-CN"/>
              </w:rPr>
              <w:t>为</w:t>
            </w:r>
            <w:r>
              <w:rPr>
                <w:rFonts w:hint="default" w:ascii="Times New Roman" w:hAnsi="Times New Roman" w:eastAsia="宋体" w:cs="Times New Roman"/>
                <w:color w:val="auto"/>
                <w:sz w:val="24"/>
                <w:szCs w:val="24"/>
              </w:rPr>
              <w:t>线路</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输水、引水管线）</w:t>
            </w:r>
            <w:r>
              <w:rPr>
                <w:rFonts w:hint="default" w:ascii="Times New Roman" w:hAnsi="Times New Roman" w:eastAsia="宋体" w:cs="Times New Roman"/>
                <w:color w:val="auto"/>
                <w:sz w:val="24"/>
                <w:szCs w:val="24"/>
              </w:rPr>
              <w:t>中心线向两侧</w:t>
            </w:r>
            <w:r>
              <w:rPr>
                <w:rFonts w:hint="eastAsia" w:cs="Times New Roman"/>
                <w:color w:val="auto"/>
                <w:sz w:val="24"/>
                <w:szCs w:val="24"/>
                <w:lang w:eastAsia="zh-CN"/>
              </w:rPr>
              <w:t>、</w:t>
            </w:r>
            <w:r>
              <w:rPr>
                <w:rFonts w:hint="eastAsia" w:cs="Times New Roman"/>
                <w:color w:val="auto"/>
                <w:sz w:val="24"/>
                <w:szCs w:val="24"/>
                <w:lang w:val="en-US" w:eastAsia="zh-CN"/>
              </w:rPr>
              <w:t>用地红线、</w:t>
            </w:r>
            <w:r>
              <w:rPr>
                <w:rFonts w:hint="default" w:ascii="Times New Roman" w:hAnsi="Times New Roman" w:eastAsia="宋体" w:cs="Times New Roman"/>
                <w:color w:val="auto"/>
                <w:sz w:val="24"/>
                <w:szCs w:val="24"/>
              </w:rPr>
              <w:t>外延</w:t>
            </w:r>
            <w:r>
              <w:rPr>
                <w:rFonts w:hint="default" w:ascii="Times New Roman" w:hAnsi="Times New Roman" w:eastAsia="TimesNewRomanPSMT" w:cs="Times New Roman"/>
                <w:color w:val="auto"/>
                <w:sz w:val="24"/>
                <w:szCs w:val="24"/>
              </w:rPr>
              <w:t xml:space="preserve">300m </w:t>
            </w:r>
            <w:r>
              <w:rPr>
                <w:rFonts w:hint="default" w:ascii="Times New Roman" w:hAnsi="Times New Roman" w:eastAsia="宋体" w:cs="Times New Roman"/>
                <w:color w:val="auto"/>
                <w:sz w:val="24"/>
                <w:szCs w:val="24"/>
              </w:rPr>
              <w:t>范围内。基本情况见下表。</w:t>
            </w:r>
          </w:p>
          <w:p w14:paraId="26D12CC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表3-</w:t>
            </w:r>
            <w:r>
              <w:rPr>
                <w:rFonts w:hint="eastAsia" w:cs="Times New Roman"/>
                <w:b/>
                <w:bCs/>
                <w:color w:val="auto"/>
                <w:sz w:val="24"/>
                <w:szCs w:val="24"/>
                <w:lang w:val="en-US" w:eastAsia="zh-CN"/>
              </w:rPr>
              <w:t>10</w:t>
            </w:r>
            <w:r>
              <w:rPr>
                <w:rFonts w:hint="default"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项目生态环境保护目标</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8"/>
              <w:gridCol w:w="2740"/>
              <w:gridCol w:w="2741"/>
            </w:tblGrid>
            <w:tr w14:paraId="5631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5" w:type="pct"/>
                  <w:noWrap w:val="0"/>
                  <w:vAlign w:val="center"/>
                </w:tcPr>
                <w:p w14:paraId="5F12E9FD">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保护目标</w:t>
                  </w:r>
                </w:p>
              </w:tc>
              <w:tc>
                <w:tcPr>
                  <w:tcW w:w="1666" w:type="pct"/>
                  <w:noWrap w:val="0"/>
                  <w:vAlign w:val="center"/>
                </w:tcPr>
                <w:p w14:paraId="0FE0604C">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保护对象</w:t>
                  </w:r>
                </w:p>
              </w:tc>
              <w:tc>
                <w:tcPr>
                  <w:tcW w:w="1667" w:type="pct"/>
                  <w:noWrap w:val="0"/>
                  <w:vAlign w:val="center"/>
                </w:tcPr>
                <w:p w14:paraId="6C5D6EDC">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与项目方位、距离</w:t>
                  </w:r>
                </w:p>
              </w:tc>
            </w:tr>
            <w:tr w14:paraId="0B0D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5" w:type="pct"/>
                  <w:noWrap w:val="0"/>
                  <w:vAlign w:val="center"/>
                </w:tcPr>
                <w:p w14:paraId="6254C854">
                  <w:pPr>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用地红线、</w:t>
                  </w:r>
                  <w:r>
                    <w:rPr>
                      <w:rFonts w:hint="default" w:ascii="Times New Roman" w:hAnsi="Times New Roman" w:eastAsia="宋体" w:cs="Times New Roman"/>
                      <w:color w:val="auto"/>
                      <w:sz w:val="21"/>
                      <w:szCs w:val="21"/>
                      <w:lang w:val="en-US" w:eastAsia="zh-CN"/>
                    </w:rPr>
                    <w:t>引水管线中心线两侧</w:t>
                  </w:r>
                  <w:r>
                    <w:rPr>
                      <w:rFonts w:hint="eastAsia" w:cs="Times New Roman"/>
                      <w:color w:val="auto"/>
                      <w:sz w:val="21"/>
                      <w:szCs w:val="21"/>
                      <w:lang w:val="en-US" w:eastAsia="zh-CN"/>
                    </w:rPr>
                    <w:t>外延</w:t>
                  </w:r>
                  <w:r>
                    <w:rPr>
                      <w:rFonts w:hint="default" w:ascii="Times New Roman" w:hAnsi="Times New Roman" w:eastAsia="宋体" w:cs="Times New Roman"/>
                      <w:color w:val="auto"/>
                      <w:sz w:val="21"/>
                      <w:szCs w:val="21"/>
                      <w:lang w:val="en-US" w:eastAsia="zh-CN"/>
                    </w:rPr>
                    <w:t>300m 范围内</w:t>
                  </w:r>
                  <w:r>
                    <w:rPr>
                      <w:rFonts w:hint="eastAsia" w:cs="Times New Roman"/>
                      <w:color w:val="auto"/>
                      <w:sz w:val="21"/>
                      <w:szCs w:val="21"/>
                      <w:lang w:val="en-US" w:eastAsia="zh-CN"/>
                    </w:rPr>
                    <w:t>生态环境</w:t>
                  </w:r>
                </w:p>
              </w:tc>
              <w:tc>
                <w:tcPr>
                  <w:tcW w:w="1666" w:type="pct"/>
                  <w:noWrap w:val="0"/>
                  <w:vAlign w:val="center"/>
                </w:tcPr>
                <w:p w14:paraId="526DDBE1">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植被覆盖率、生物多样性、景观、土地利用等</w:t>
                  </w:r>
                </w:p>
              </w:tc>
              <w:tc>
                <w:tcPr>
                  <w:tcW w:w="1667" w:type="pct"/>
                  <w:noWrap w:val="0"/>
                  <w:vAlign w:val="center"/>
                </w:tcPr>
                <w:p w14:paraId="4AC0E732">
                  <w:pPr>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用地红线、</w:t>
                  </w:r>
                  <w:r>
                    <w:rPr>
                      <w:rFonts w:hint="default" w:ascii="Times New Roman" w:hAnsi="Times New Roman" w:eastAsia="宋体" w:cs="Times New Roman"/>
                      <w:color w:val="auto"/>
                      <w:sz w:val="21"/>
                      <w:szCs w:val="21"/>
                      <w:lang w:val="en-US" w:eastAsia="zh-CN"/>
                    </w:rPr>
                    <w:t>引水管线中心线两侧</w:t>
                  </w:r>
                  <w:r>
                    <w:rPr>
                      <w:rFonts w:hint="eastAsia" w:cs="Times New Roman"/>
                      <w:color w:val="auto"/>
                      <w:sz w:val="21"/>
                      <w:szCs w:val="21"/>
                      <w:lang w:val="en-US" w:eastAsia="zh-CN"/>
                    </w:rPr>
                    <w:t>外延</w:t>
                  </w:r>
                  <w:r>
                    <w:rPr>
                      <w:rFonts w:hint="default" w:ascii="Times New Roman" w:hAnsi="Times New Roman" w:eastAsia="宋体" w:cs="Times New Roman"/>
                      <w:color w:val="auto"/>
                      <w:sz w:val="21"/>
                      <w:szCs w:val="21"/>
                      <w:lang w:val="en-US" w:eastAsia="zh-CN"/>
                    </w:rPr>
                    <w:t>300m 范围内</w:t>
                  </w:r>
                </w:p>
              </w:tc>
            </w:tr>
          </w:tbl>
          <w:p w14:paraId="3B91BEA6">
            <w:pPr>
              <w:keepNext w:val="0"/>
              <w:keepLines w:val="0"/>
              <w:pageBreakBefore w:val="0"/>
              <w:widowControl w:val="0"/>
              <w:kinsoku/>
              <w:wordWrap/>
              <w:overflowPunct/>
              <w:topLinePunct w:val="0"/>
              <w:autoSpaceDE/>
              <w:autoSpaceDN/>
              <w:bidi w:val="0"/>
              <w:adjustRightInd/>
              <w:snapToGrid/>
              <w:spacing w:before="313" w:beforeLines="100"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eastAsia" w:cs="Times New Roman"/>
                <w:b/>
                <w:bCs/>
                <w:color w:val="auto"/>
                <w:sz w:val="24"/>
                <w:szCs w:val="24"/>
                <w:lang w:eastAsia="zh-CN"/>
              </w:rPr>
              <w:t>（</w:t>
            </w:r>
            <w:r>
              <w:rPr>
                <w:rFonts w:hint="default" w:ascii="Times New Roman" w:hAnsi="Times New Roman" w:eastAsia="TimesNewRomanPS-BoldMT" w:cs="Times New Roman"/>
                <w:b/>
                <w:bCs/>
                <w:color w:val="auto"/>
                <w:sz w:val="24"/>
                <w:szCs w:val="24"/>
              </w:rPr>
              <w:t>3</w:t>
            </w:r>
            <w:r>
              <w:rPr>
                <w:rFonts w:hint="default" w:ascii="Times New Roman" w:hAnsi="Times New Roman" w:eastAsia="宋体" w:cs="Times New Roman"/>
                <w:b/>
                <w:bCs/>
                <w:color w:val="auto"/>
                <w:sz w:val="24"/>
                <w:szCs w:val="24"/>
              </w:rPr>
              <w:t>）环境空气、声环境保护目标</w:t>
            </w:r>
          </w:p>
          <w:p w14:paraId="20502D2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声环境保护目标：</w:t>
            </w:r>
            <w:r>
              <w:rPr>
                <w:rFonts w:hint="default" w:ascii="Times New Roman" w:hAnsi="Times New Roman" w:eastAsia="宋体" w:cs="Times New Roman"/>
                <w:color w:val="auto"/>
                <w:sz w:val="24"/>
                <w:szCs w:val="24"/>
                <w:lang w:val="en-US" w:eastAsia="zh-CN"/>
              </w:rPr>
              <w:t>线路</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引水管线）</w:t>
            </w:r>
            <w:r>
              <w:rPr>
                <w:rFonts w:hint="default" w:ascii="Times New Roman" w:hAnsi="Times New Roman" w:eastAsia="宋体" w:cs="Times New Roman"/>
                <w:color w:val="auto"/>
                <w:sz w:val="24"/>
                <w:szCs w:val="24"/>
              </w:rPr>
              <w:t>中心线</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厂址</w:t>
            </w:r>
            <w:r>
              <w:rPr>
                <w:rFonts w:hint="eastAsia" w:cs="Times New Roman"/>
                <w:color w:val="auto"/>
                <w:sz w:val="24"/>
                <w:lang w:val="en-US" w:eastAsia="zh-CN"/>
              </w:rPr>
              <w:t>（提升泵站</w:t>
            </w:r>
            <w:r>
              <w:rPr>
                <w:rFonts w:hint="default" w:ascii="Times New Roman" w:hAnsi="Times New Roman" w:cs="Times New Roman"/>
                <w:color w:val="auto"/>
                <w:sz w:val="24"/>
                <w:lang w:val="en-US" w:eastAsia="zh-CN"/>
              </w:rPr>
              <w:t>）用地红线</w:t>
            </w:r>
            <w:r>
              <w:rPr>
                <w:rFonts w:hint="default" w:ascii="Times New Roman" w:hAnsi="Times New Roman" w:eastAsia="宋体" w:cs="Times New Roman"/>
                <w:color w:val="auto"/>
                <w:sz w:val="24"/>
                <w:szCs w:val="24"/>
              </w:rPr>
              <w:t>外两侧</w:t>
            </w:r>
            <w:r>
              <w:rPr>
                <w:rFonts w:hint="default" w:ascii="Times New Roman" w:hAnsi="Times New Roman" w:eastAsia="TimesNewRomanPSMT" w:cs="Times New Roman"/>
                <w:color w:val="auto"/>
                <w:sz w:val="24"/>
                <w:szCs w:val="24"/>
              </w:rPr>
              <w:t xml:space="preserve">200m </w:t>
            </w:r>
            <w:r>
              <w:rPr>
                <w:rFonts w:hint="default" w:ascii="Times New Roman" w:hAnsi="Times New Roman" w:eastAsia="宋体" w:cs="Times New Roman"/>
                <w:color w:val="auto"/>
                <w:sz w:val="24"/>
                <w:szCs w:val="24"/>
              </w:rPr>
              <w:t>以内。</w:t>
            </w:r>
          </w:p>
          <w:p w14:paraId="04E1B01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环境空气保护目标：</w:t>
            </w:r>
            <w:r>
              <w:rPr>
                <w:rFonts w:hint="default" w:ascii="Times New Roman" w:hAnsi="Times New Roman" w:eastAsia="宋体" w:cs="Times New Roman"/>
                <w:color w:val="auto"/>
                <w:sz w:val="24"/>
                <w:szCs w:val="24"/>
                <w:highlight w:val="none"/>
                <w:lang w:val="en-US" w:eastAsia="zh-CN"/>
              </w:rPr>
              <w:t>线路</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引水管线）</w:t>
            </w:r>
            <w:r>
              <w:rPr>
                <w:rFonts w:hint="default" w:ascii="Times New Roman" w:hAnsi="Times New Roman" w:eastAsia="宋体" w:cs="Times New Roman"/>
                <w:color w:val="auto"/>
                <w:sz w:val="24"/>
                <w:szCs w:val="24"/>
                <w:highlight w:val="none"/>
              </w:rPr>
              <w:t>中心线两侧200m 以内</w:t>
            </w:r>
            <w:r>
              <w:rPr>
                <w:rFonts w:hint="eastAsia" w:cs="Times New Roman"/>
                <w:color w:val="auto"/>
                <w:sz w:val="24"/>
                <w:lang w:eastAsia="zh-CN"/>
              </w:rPr>
              <w:t>；</w:t>
            </w:r>
            <w:r>
              <w:rPr>
                <w:rFonts w:hint="default" w:ascii="Times New Roman" w:hAnsi="Times New Roman" w:cs="Times New Roman"/>
                <w:color w:val="auto"/>
                <w:sz w:val="24"/>
                <w:lang w:val="en-US" w:eastAsia="zh-CN"/>
              </w:rPr>
              <w:t>厂址</w:t>
            </w:r>
            <w:r>
              <w:rPr>
                <w:rFonts w:hint="eastAsia" w:cs="Times New Roman"/>
                <w:color w:val="auto"/>
                <w:sz w:val="24"/>
                <w:lang w:val="en-US" w:eastAsia="zh-CN"/>
              </w:rPr>
              <w:t>（提升泵站</w:t>
            </w:r>
            <w:r>
              <w:rPr>
                <w:rFonts w:hint="default" w:ascii="Times New Roman" w:hAnsi="Times New Roman" w:cs="Times New Roman"/>
                <w:color w:val="auto"/>
                <w:sz w:val="24"/>
                <w:lang w:val="en-US" w:eastAsia="zh-CN"/>
              </w:rPr>
              <w:t>）用地红线</w:t>
            </w:r>
            <w:r>
              <w:rPr>
                <w:rFonts w:hint="default" w:ascii="Times New Roman" w:hAnsi="Times New Roman" w:eastAsia="宋体" w:cs="Times New Roman"/>
                <w:color w:val="auto"/>
                <w:sz w:val="24"/>
                <w:szCs w:val="24"/>
                <w:highlight w:val="none"/>
              </w:rPr>
              <w:t>外</w:t>
            </w:r>
            <w:r>
              <w:rPr>
                <w:rFonts w:hint="eastAsia" w:cs="Times New Roman"/>
                <w:color w:val="auto"/>
                <w:sz w:val="24"/>
                <w:szCs w:val="24"/>
                <w:highlight w:val="none"/>
                <w:lang w:val="en-US" w:eastAsia="zh-CN"/>
              </w:rPr>
              <w:t>外2</w:t>
            </w:r>
            <w:r>
              <w:rPr>
                <w:rFonts w:hint="default" w:ascii="Times New Roman" w:hAnsi="Times New Roman" w:eastAsia="宋体" w:cs="Times New Roman"/>
                <w:color w:val="auto"/>
                <w:sz w:val="24"/>
                <w:szCs w:val="24"/>
                <w:highlight w:val="none"/>
              </w:rPr>
              <w:t>00m 以内。</w:t>
            </w:r>
          </w:p>
          <w:p w14:paraId="59C7BD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基本情况见下表。</w:t>
            </w:r>
          </w:p>
          <w:p w14:paraId="14834C9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表3-</w:t>
            </w:r>
            <w:r>
              <w:rPr>
                <w:rFonts w:hint="eastAsia" w:cs="Times New Roman"/>
                <w:b/>
                <w:bCs/>
                <w:color w:val="auto"/>
                <w:sz w:val="24"/>
                <w:szCs w:val="24"/>
                <w:lang w:val="en-US" w:eastAsia="zh-CN"/>
              </w:rPr>
              <w:t>11</w:t>
            </w:r>
            <w:r>
              <w:rPr>
                <w:rFonts w:hint="default"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环境空气、声环境保护目标</w:t>
            </w:r>
            <w:r>
              <w:rPr>
                <w:rFonts w:hint="default" w:ascii="Times New Roman" w:hAnsi="Times New Roman" w:eastAsia="宋体" w:cs="Times New Roman"/>
                <w:b/>
                <w:bCs/>
                <w:color w:val="auto"/>
                <w:sz w:val="24"/>
                <w:szCs w:val="24"/>
                <w:lang w:val="en-US" w:eastAsia="zh-CN"/>
              </w:rPr>
              <w:t>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1037"/>
              <w:gridCol w:w="1074"/>
              <w:gridCol w:w="735"/>
              <w:gridCol w:w="1611"/>
              <w:gridCol w:w="914"/>
              <w:gridCol w:w="680"/>
              <w:gridCol w:w="789"/>
              <w:gridCol w:w="957"/>
            </w:tblGrid>
            <w:tr w14:paraId="49B8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58" w:type="pct"/>
                  <w:vAlign w:val="center"/>
                </w:tcPr>
                <w:p w14:paraId="43E6EB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序号</w:t>
                  </w:r>
                </w:p>
              </w:tc>
              <w:tc>
                <w:tcPr>
                  <w:tcW w:w="630" w:type="pct"/>
                  <w:vAlign w:val="center"/>
                </w:tcPr>
                <w:p w14:paraId="0DEE1D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保护目标名称</w:t>
                  </w:r>
                </w:p>
              </w:tc>
              <w:tc>
                <w:tcPr>
                  <w:tcW w:w="653" w:type="pct"/>
                  <w:vAlign w:val="center"/>
                </w:tcPr>
                <w:p w14:paraId="30F6F7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里程范围/位置</w:t>
                  </w:r>
                </w:p>
              </w:tc>
              <w:tc>
                <w:tcPr>
                  <w:tcW w:w="446" w:type="pct"/>
                  <w:vAlign w:val="center"/>
                </w:tcPr>
                <w:p w14:paraId="307B05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方位</w:t>
                  </w:r>
                </w:p>
              </w:tc>
              <w:tc>
                <w:tcPr>
                  <w:tcW w:w="979" w:type="pct"/>
                  <w:vAlign w:val="center"/>
                </w:tcPr>
                <w:p w14:paraId="3E64AC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坐标</w:t>
                  </w:r>
                </w:p>
              </w:tc>
              <w:tc>
                <w:tcPr>
                  <w:tcW w:w="555" w:type="pct"/>
                  <w:vAlign w:val="center"/>
                </w:tcPr>
                <w:p w14:paraId="1F1D7E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与项目距离</w:t>
                  </w:r>
                  <w:r>
                    <w:rPr>
                      <w:rFonts w:hint="eastAsia" w:ascii="Times New Roman" w:hAnsi="Times New Roman" w:eastAsia="宋体" w:cs="Times New Roman"/>
                      <w:b w:val="0"/>
                      <w:bCs w:val="0"/>
                      <w:color w:val="auto"/>
                      <w:sz w:val="21"/>
                      <w:szCs w:val="21"/>
                      <w:vertAlign w:val="baseline"/>
                      <w:lang w:val="en-US" w:eastAsia="zh-CN"/>
                    </w:rPr>
                    <w:t>（</w:t>
                  </w:r>
                  <w:r>
                    <w:rPr>
                      <w:rFonts w:hint="default" w:ascii="Times New Roman" w:hAnsi="Times New Roman" w:eastAsia="宋体" w:cs="Times New Roman"/>
                      <w:b w:val="0"/>
                      <w:bCs w:val="0"/>
                      <w:color w:val="auto"/>
                      <w:sz w:val="21"/>
                      <w:szCs w:val="21"/>
                      <w:vertAlign w:val="baseline"/>
                      <w:lang w:val="en-US" w:eastAsia="zh-CN"/>
                    </w:rPr>
                    <w:t>最近）/m</w:t>
                  </w:r>
                </w:p>
              </w:tc>
              <w:tc>
                <w:tcPr>
                  <w:tcW w:w="413" w:type="pct"/>
                  <w:vAlign w:val="center"/>
                </w:tcPr>
                <w:p w14:paraId="6C57B1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保护对象</w:t>
                  </w:r>
                </w:p>
              </w:tc>
              <w:tc>
                <w:tcPr>
                  <w:tcW w:w="479" w:type="pct"/>
                  <w:vAlign w:val="center"/>
                </w:tcPr>
                <w:p w14:paraId="7F288F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人口/人</w:t>
                  </w:r>
                </w:p>
              </w:tc>
              <w:tc>
                <w:tcPr>
                  <w:tcW w:w="581" w:type="pct"/>
                  <w:vAlign w:val="center"/>
                </w:tcPr>
                <w:p w14:paraId="6E6CAF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保护级别</w:t>
                  </w:r>
                </w:p>
              </w:tc>
            </w:tr>
            <w:tr w14:paraId="25B6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58" w:type="pct"/>
                  <w:vAlign w:val="center"/>
                </w:tcPr>
                <w:p w14:paraId="0B8D37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w:t>
                  </w:r>
                </w:p>
              </w:tc>
              <w:tc>
                <w:tcPr>
                  <w:tcW w:w="630" w:type="pct"/>
                  <w:vAlign w:val="center"/>
                </w:tcPr>
                <w:p w14:paraId="38D2E7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魏家营散户</w:t>
                  </w:r>
                </w:p>
              </w:tc>
              <w:tc>
                <w:tcPr>
                  <w:tcW w:w="653" w:type="pct"/>
                  <w:vAlign w:val="center"/>
                </w:tcPr>
                <w:p w14:paraId="24090C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Y3+190</w:t>
                  </w:r>
                </w:p>
              </w:tc>
              <w:tc>
                <w:tcPr>
                  <w:tcW w:w="446" w:type="pct"/>
                  <w:vAlign w:val="center"/>
                </w:tcPr>
                <w:p w14:paraId="30D00F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右侧</w:t>
                  </w:r>
                </w:p>
              </w:tc>
              <w:tc>
                <w:tcPr>
                  <w:tcW w:w="979" w:type="pct"/>
                  <w:vAlign w:val="center"/>
                </w:tcPr>
                <w:p w14:paraId="1B81B869">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cs="Times New Roman"/>
                      <w:color w:val="auto"/>
                      <w:sz w:val="21"/>
                      <w:szCs w:val="21"/>
                      <w:lang w:val="en-US" w:eastAsia="zh-CN"/>
                    </w:rPr>
                    <w:t>E</w:t>
                  </w:r>
                  <w:r>
                    <w:rPr>
                      <w:rFonts w:hint="default" w:ascii="Times New Roman" w:hAnsi="Times New Roman" w:cs="Times New Roman"/>
                      <w:color w:val="auto"/>
                      <w:sz w:val="21"/>
                      <w:szCs w:val="21"/>
                    </w:rPr>
                    <w:t xml:space="preserve">102.36154, </w:t>
                  </w:r>
                  <w:r>
                    <w:rPr>
                      <w:rFonts w:hint="default" w:ascii="Times New Roman" w:hAnsi="Times New Roman" w:cs="Times New Roman"/>
                      <w:color w:val="auto"/>
                      <w:sz w:val="21"/>
                      <w:szCs w:val="21"/>
                      <w:lang w:val="en-US" w:eastAsia="zh-CN"/>
                    </w:rPr>
                    <w:t>N</w:t>
                  </w:r>
                  <w:r>
                    <w:rPr>
                      <w:rFonts w:hint="default" w:ascii="Times New Roman" w:hAnsi="Times New Roman" w:cs="Times New Roman"/>
                      <w:color w:val="auto"/>
                      <w:sz w:val="21"/>
                      <w:szCs w:val="21"/>
                    </w:rPr>
                    <w:t>24.64335</w:t>
                  </w:r>
                </w:p>
              </w:tc>
              <w:tc>
                <w:tcPr>
                  <w:tcW w:w="555" w:type="pct"/>
                  <w:vAlign w:val="center"/>
                </w:tcPr>
                <w:p w14:paraId="7B2BF4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w:t>
                  </w:r>
                  <w:r>
                    <w:rPr>
                      <w:rFonts w:hint="eastAsia" w:ascii="Times New Roman" w:hAnsi="Times New Roman" w:eastAsia="宋体" w:cs="Times New Roman"/>
                      <w:b w:val="0"/>
                      <w:bCs w:val="0"/>
                      <w:color w:val="auto"/>
                      <w:sz w:val="21"/>
                      <w:szCs w:val="21"/>
                      <w:vertAlign w:val="baseline"/>
                      <w:lang w:val="en-US" w:eastAsia="zh-CN"/>
                    </w:rPr>
                    <w:t>76</w:t>
                  </w:r>
                </w:p>
              </w:tc>
              <w:tc>
                <w:tcPr>
                  <w:tcW w:w="413" w:type="pct"/>
                  <w:vAlign w:val="center"/>
                </w:tcPr>
                <w:p w14:paraId="27947E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居民</w:t>
                  </w:r>
                </w:p>
              </w:tc>
              <w:tc>
                <w:tcPr>
                  <w:tcW w:w="479" w:type="pct"/>
                  <w:vAlign w:val="center"/>
                </w:tcPr>
                <w:p w14:paraId="04165E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65</w:t>
                  </w:r>
                </w:p>
              </w:tc>
              <w:tc>
                <w:tcPr>
                  <w:tcW w:w="581" w:type="pct"/>
                  <w:vMerge w:val="restart"/>
                  <w:vAlign w:val="center"/>
                </w:tcPr>
                <w:p w14:paraId="26E47F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《声环境质量标准》</w:t>
                  </w:r>
                  <w:r>
                    <w:rPr>
                      <w:rFonts w:hint="eastAsia"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GB3096-2008）2 类</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《环境空气质量标准》</w:t>
                  </w:r>
                  <w:r>
                    <w:rPr>
                      <w:rFonts w:hint="eastAsia" w:ascii="Times New Roman" w:hAnsi="Times New Roman" w:eastAsia="宋体" w:cs="Times New Roman"/>
                      <w:b w:val="0"/>
                      <w:bCs w:val="0"/>
                      <w:color w:val="auto"/>
                      <w:sz w:val="21"/>
                      <w:szCs w:val="21"/>
                      <w:lang w:eastAsia="zh-CN"/>
                    </w:rPr>
                    <w:t>（GB3095-2026）过渡阶段二级标准</w:t>
                  </w:r>
                </w:p>
              </w:tc>
            </w:tr>
            <w:tr w14:paraId="5B61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58" w:type="pct"/>
                  <w:vAlign w:val="center"/>
                </w:tcPr>
                <w:p w14:paraId="0EEC1C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w:t>
                  </w:r>
                </w:p>
              </w:tc>
              <w:tc>
                <w:tcPr>
                  <w:tcW w:w="630" w:type="pct"/>
                  <w:vAlign w:val="center"/>
                </w:tcPr>
                <w:p w14:paraId="4741F5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月照屯</w:t>
                  </w:r>
                  <w:r>
                    <w:rPr>
                      <w:rFonts w:hint="default" w:ascii="Times New Roman" w:hAnsi="Times New Roman" w:cs="Times New Roman"/>
                      <w:b w:val="0"/>
                      <w:bCs w:val="0"/>
                      <w:color w:val="auto"/>
                      <w:sz w:val="21"/>
                      <w:szCs w:val="21"/>
                      <w:lang w:val="en-US" w:eastAsia="zh-CN"/>
                    </w:rPr>
                    <w:t>村</w:t>
                  </w:r>
                </w:p>
              </w:tc>
              <w:tc>
                <w:tcPr>
                  <w:tcW w:w="653" w:type="pct"/>
                  <w:vAlign w:val="center"/>
                </w:tcPr>
                <w:p w14:paraId="0B9F4E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Y</w:t>
                  </w:r>
                  <w:r>
                    <w:rPr>
                      <w:rFonts w:hint="eastAsia" w:ascii="Times New Roman" w:hAnsi="Times New Roman" w:eastAsia="宋体" w:cs="Times New Roman"/>
                      <w:b w:val="0"/>
                      <w:bCs w:val="0"/>
                      <w:color w:val="auto"/>
                      <w:sz w:val="21"/>
                      <w:szCs w:val="21"/>
                      <w:vertAlign w:val="baseline"/>
                      <w:lang w:val="en-US" w:eastAsia="zh-CN"/>
                    </w:rPr>
                    <w:t>4</w:t>
                  </w:r>
                  <w:r>
                    <w:rPr>
                      <w:rFonts w:hint="default" w:ascii="Times New Roman" w:hAnsi="Times New Roman" w:eastAsia="宋体" w:cs="Times New Roman"/>
                      <w:b w:val="0"/>
                      <w:bCs w:val="0"/>
                      <w:color w:val="auto"/>
                      <w:sz w:val="21"/>
                      <w:szCs w:val="21"/>
                      <w:vertAlign w:val="baseline"/>
                      <w:lang w:val="en-US" w:eastAsia="zh-CN"/>
                    </w:rPr>
                    <w:t>+6</w:t>
                  </w:r>
                  <w:r>
                    <w:rPr>
                      <w:rFonts w:hint="eastAsia" w:ascii="Times New Roman" w:hAnsi="Times New Roman" w:eastAsia="宋体" w:cs="Times New Roman"/>
                      <w:b w:val="0"/>
                      <w:bCs w:val="0"/>
                      <w:color w:val="auto"/>
                      <w:sz w:val="21"/>
                      <w:szCs w:val="21"/>
                      <w:vertAlign w:val="baseline"/>
                      <w:lang w:val="en-US" w:eastAsia="zh-CN"/>
                    </w:rPr>
                    <w:t>93</w:t>
                  </w:r>
                </w:p>
              </w:tc>
              <w:tc>
                <w:tcPr>
                  <w:tcW w:w="446" w:type="pct"/>
                  <w:vAlign w:val="center"/>
                </w:tcPr>
                <w:p w14:paraId="53845B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左侧</w:t>
                  </w:r>
                </w:p>
              </w:tc>
              <w:tc>
                <w:tcPr>
                  <w:tcW w:w="979" w:type="pct"/>
                  <w:vAlign w:val="center"/>
                </w:tcPr>
                <w:p w14:paraId="463D7C55">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cs="Times New Roman"/>
                      <w:color w:val="auto"/>
                      <w:sz w:val="21"/>
                      <w:szCs w:val="21"/>
                      <w:lang w:val="en-US" w:eastAsia="zh-CN"/>
                    </w:rPr>
                    <w:t>E</w:t>
                  </w:r>
                  <w:r>
                    <w:rPr>
                      <w:rFonts w:hint="default" w:ascii="Times New Roman" w:hAnsi="Times New Roman" w:cs="Times New Roman"/>
                      <w:color w:val="auto"/>
                      <w:sz w:val="21"/>
                      <w:szCs w:val="21"/>
                    </w:rPr>
                    <w:t xml:space="preserve">102.36368, </w:t>
                  </w:r>
                  <w:r>
                    <w:rPr>
                      <w:rFonts w:hint="default" w:ascii="Times New Roman" w:hAnsi="Times New Roman" w:cs="Times New Roman"/>
                      <w:color w:val="auto"/>
                      <w:sz w:val="21"/>
                      <w:szCs w:val="21"/>
                      <w:lang w:val="en-US" w:eastAsia="zh-CN"/>
                    </w:rPr>
                    <w:t>N</w:t>
                  </w:r>
                  <w:r>
                    <w:rPr>
                      <w:rFonts w:hint="default" w:ascii="Times New Roman" w:hAnsi="Times New Roman" w:cs="Times New Roman"/>
                      <w:color w:val="auto"/>
                      <w:sz w:val="21"/>
                      <w:szCs w:val="21"/>
                    </w:rPr>
                    <w:t>24.65660</w:t>
                  </w:r>
                </w:p>
              </w:tc>
              <w:tc>
                <w:tcPr>
                  <w:tcW w:w="555" w:type="pct"/>
                  <w:vAlign w:val="center"/>
                </w:tcPr>
                <w:p w14:paraId="4F44B9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102</w:t>
                  </w:r>
                </w:p>
              </w:tc>
              <w:tc>
                <w:tcPr>
                  <w:tcW w:w="413" w:type="pct"/>
                  <w:vAlign w:val="center"/>
                </w:tcPr>
                <w:p w14:paraId="57F024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居民</w:t>
                  </w:r>
                </w:p>
              </w:tc>
              <w:tc>
                <w:tcPr>
                  <w:tcW w:w="479" w:type="pct"/>
                  <w:vAlign w:val="center"/>
                </w:tcPr>
                <w:p w14:paraId="038F71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4</w:t>
                  </w:r>
                  <w:r>
                    <w:rPr>
                      <w:rFonts w:hint="default" w:ascii="Times New Roman" w:hAnsi="Times New Roman" w:eastAsia="宋体" w:cs="Times New Roman"/>
                      <w:b w:val="0"/>
                      <w:bCs w:val="0"/>
                      <w:color w:val="auto"/>
                      <w:sz w:val="21"/>
                      <w:szCs w:val="21"/>
                      <w:vertAlign w:val="baseline"/>
                      <w:lang w:val="en-US" w:eastAsia="zh-CN"/>
                    </w:rPr>
                    <w:t>89</w:t>
                  </w:r>
                </w:p>
              </w:tc>
              <w:tc>
                <w:tcPr>
                  <w:tcW w:w="581" w:type="pct"/>
                  <w:vMerge w:val="continue"/>
                  <w:vAlign w:val="center"/>
                </w:tcPr>
                <w:p w14:paraId="4EC87E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35A5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58" w:type="pct"/>
                  <w:shd w:val="clear" w:color="auto" w:fill="auto"/>
                  <w:vAlign w:val="center"/>
                </w:tcPr>
                <w:p w14:paraId="496922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3</w:t>
                  </w:r>
                </w:p>
              </w:tc>
              <w:tc>
                <w:tcPr>
                  <w:tcW w:w="630" w:type="pct"/>
                  <w:vAlign w:val="center"/>
                </w:tcPr>
                <w:p w14:paraId="71A7A0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枧槽营村散户</w:t>
                  </w:r>
                </w:p>
              </w:tc>
              <w:tc>
                <w:tcPr>
                  <w:tcW w:w="653" w:type="pct"/>
                  <w:vAlign w:val="center"/>
                </w:tcPr>
                <w:p w14:paraId="09D935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Y</w:t>
                  </w:r>
                  <w:r>
                    <w:rPr>
                      <w:rFonts w:hint="eastAsia" w:ascii="Times New Roman" w:hAnsi="Times New Roman" w:eastAsia="宋体" w:cs="Times New Roman"/>
                      <w:b w:val="0"/>
                      <w:bCs w:val="0"/>
                      <w:color w:val="auto"/>
                      <w:sz w:val="21"/>
                      <w:szCs w:val="21"/>
                      <w:vertAlign w:val="baseline"/>
                      <w:lang w:val="en-US" w:eastAsia="zh-CN"/>
                    </w:rPr>
                    <w:t>6</w:t>
                  </w:r>
                  <w:r>
                    <w:rPr>
                      <w:rFonts w:hint="default" w:ascii="Times New Roman" w:hAnsi="Times New Roman" w:eastAsia="宋体" w:cs="Times New Roman"/>
                      <w:b w:val="0"/>
                      <w:bCs w:val="0"/>
                      <w:color w:val="auto"/>
                      <w:sz w:val="21"/>
                      <w:szCs w:val="21"/>
                      <w:vertAlign w:val="baseline"/>
                      <w:lang w:val="en-US" w:eastAsia="zh-CN"/>
                    </w:rPr>
                    <w:t>+</w:t>
                  </w:r>
                  <w:r>
                    <w:rPr>
                      <w:rFonts w:hint="eastAsia" w:ascii="Times New Roman" w:hAnsi="Times New Roman" w:eastAsia="宋体" w:cs="Times New Roman"/>
                      <w:b w:val="0"/>
                      <w:bCs w:val="0"/>
                      <w:color w:val="auto"/>
                      <w:sz w:val="21"/>
                      <w:szCs w:val="21"/>
                      <w:vertAlign w:val="baseline"/>
                      <w:lang w:val="en-US" w:eastAsia="zh-CN"/>
                    </w:rPr>
                    <w:t>383</w:t>
                  </w:r>
                </w:p>
              </w:tc>
              <w:tc>
                <w:tcPr>
                  <w:tcW w:w="446" w:type="pct"/>
                  <w:vAlign w:val="center"/>
                </w:tcPr>
                <w:p w14:paraId="07FCC5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右侧</w:t>
                  </w:r>
                </w:p>
              </w:tc>
              <w:tc>
                <w:tcPr>
                  <w:tcW w:w="979" w:type="pct"/>
                  <w:vAlign w:val="center"/>
                </w:tcPr>
                <w:p w14:paraId="575CC1B2">
                  <w:pPr>
                    <w:pStyle w:val="21"/>
                    <w:keepNext w:val="0"/>
                    <w:keepLines w:val="0"/>
                    <w:widowControl/>
                    <w:suppressLineNumbers w:val="0"/>
                    <w:spacing w:before="0" w:beforeAutospacing="0" w:after="0" w:afterAutospacing="0"/>
                    <w:ind w:left="0" w:right="0" w:firstLine="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E102.37122</w:t>
                  </w:r>
                  <w:r>
                    <w:rPr>
                      <w:rFonts w:hint="default" w:ascii="Times New Roman" w:hAnsi="Times New Roman" w:cs="Times New Roman"/>
                      <w:color w:val="auto"/>
                      <w:sz w:val="21"/>
                      <w:szCs w:val="21"/>
                    </w:rPr>
                    <w:t xml:space="preserve">, </w:t>
                  </w:r>
                </w:p>
                <w:p w14:paraId="73E94DBD">
                  <w:pPr>
                    <w:pStyle w:val="21"/>
                    <w:keepNext w:val="0"/>
                    <w:keepLines w:val="0"/>
                    <w:widowControl/>
                    <w:suppressLineNumbers w:val="0"/>
                    <w:spacing w:before="0" w:beforeAutospacing="0" w:after="0" w:afterAutospacing="0"/>
                    <w:ind w:left="0" w:right="0" w:firstLine="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N24.66872</w:t>
                  </w:r>
                </w:p>
              </w:tc>
              <w:tc>
                <w:tcPr>
                  <w:tcW w:w="555" w:type="pct"/>
                  <w:vAlign w:val="center"/>
                </w:tcPr>
                <w:p w14:paraId="0FF4B4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14</w:t>
                  </w:r>
                </w:p>
              </w:tc>
              <w:tc>
                <w:tcPr>
                  <w:tcW w:w="413" w:type="pct"/>
                  <w:vAlign w:val="center"/>
                </w:tcPr>
                <w:p w14:paraId="3EE7EB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居民</w:t>
                  </w:r>
                </w:p>
              </w:tc>
              <w:tc>
                <w:tcPr>
                  <w:tcW w:w="479" w:type="pct"/>
                  <w:vAlign w:val="center"/>
                </w:tcPr>
                <w:p w14:paraId="160E0D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31</w:t>
                  </w:r>
                </w:p>
              </w:tc>
              <w:tc>
                <w:tcPr>
                  <w:tcW w:w="581" w:type="pct"/>
                  <w:vMerge w:val="continue"/>
                  <w:vAlign w:val="center"/>
                </w:tcPr>
                <w:p w14:paraId="1415AE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4F27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58" w:type="pct"/>
                  <w:shd w:val="clear" w:color="auto" w:fill="auto"/>
                  <w:vAlign w:val="center"/>
                </w:tcPr>
                <w:p w14:paraId="28A8DB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4</w:t>
                  </w:r>
                </w:p>
              </w:tc>
              <w:tc>
                <w:tcPr>
                  <w:tcW w:w="630" w:type="pct"/>
                  <w:vAlign w:val="center"/>
                </w:tcPr>
                <w:p w14:paraId="2A630D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前所村</w:t>
                  </w:r>
                </w:p>
              </w:tc>
              <w:tc>
                <w:tcPr>
                  <w:tcW w:w="653" w:type="pct"/>
                  <w:vAlign w:val="center"/>
                </w:tcPr>
                <w:p w14:paraId="719DC9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Y7+1</w:t>
                  </w:r>
                  <w:r>
                    <w:rPr>
                      <w:rFonts w:hint="eastAsia" w:ascii="Times New Roman" w:hAnsi="Times New Roman" w:eastAsia="宋体" w:cs="Times New Roman"/>
                      <w:b w:val="0"/>
                      <w:bCs w:val="0"/>
                      <w:color w:val="auto"/>
                      <w:sz w:val="21"/>
                      <w:szCs w:val="21"/>
                      <w:vertAlign w:val="baseline"/>
                      <w:lang w:val="en-US" w:eastAsia="zh-CN"/>
                    </w:rPr>
                    <w:t>57</w:t>
                  </w:r>
                </w:p>
              </w:tc>
              <w:tc>
                <w:tcPr>
                  <w:tcW w:w="446" w:type="pct"/>
                  <w:vAlign w:val="center"/>
                </w:tcPr>
                <w:p w14:paraId="4A49CF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右侧</w:t>
                  </w:r>
                </w:p>
              </w:tc>
              <w:tc>
                <w:tcPr>
                  <w:tcW w:w="979" w:type="pct"/>
                  <w:vAlign w:val="center"/>
                </w:tcPr>
                <w:p w14:paraId="4C1E3887">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cs="Times New Roman"/>
                      <w:color w:val="auto"/>
                      <w:sz w:val="21"/>
                      <w:szCs w:val="21"/>
                      <w:lang w:val="en-US" w:eastAsia="zh-CN"/>
                    </w:rPr>
                    <w:t>E</w:t>
                  </w:r>
                  <w:r>
                    <w:rPr>
                      <w:rFonts w:hint="default" w:ascii="Times New Roman" w:hAnsi="Times New Roman" w:cs="Times New Roman"/>
                      <w:color w:val="auto"/>
                      <w:sz w:val="21"/>
                      <w:szCs w:val="21"/>
                    </w:rPr>
                    <w:t xml:space="preserve">102.36858, </w:t>
                  </w:r>
                  <w:r>
                    <w:rPr>
                      <w:rFonts w:hint="default" w:ascii="Times New Roman" w:hAnsi="Times New Roman" w:cs="Times New Roman"/>
                      <w:color w:val="auto"/>
                      <w:sz w:val="21"/>
                      <w:szCs w:val="21"/>
                      <w:lang w:val="en-US" w:eastAsia="zh-CN"/>
                    </w:rPr>
                    <w:t>N</w:t>
                  </w:r>
                  <w:r>
                    <w:rPr>
                      <w:rFonts w:hint="default" w:ascii="Times New Roman" w:hAnsi="Times New Roman" w:cs="Times New Roman"/>
                      <w:color w:val="auto"/>
                      <w:sz w:val="21"/>
                      <w:szCs w:val="21"/>
                    </w:rPr>
                    <w:t>24.68104</w:t>
                  </w:r>
                </w:p>
              </w:tc>
              <w:tc>
                <w:tcPr>
                  <w:tcW w:w="555" w:type="pct"/>
                  <w:vAlign w:val="center"/>
                </w:tcPr>
                <w:p w14:paraId="68B3CF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55</w:t>
                  </w:r>
                </w:p>
              </w:tc>
              <w:tc>
                <w:tcPr>
                  <w:tcW w:w="413" w:type="pct"/>
                  <w:vAlign w:val="center"/>
                </w:tcPr>
                <w:p w14:paraId="1B7221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居民</w:t>
                  </w:r>
                </w:p>
              </w:tc>
              <w:tc>
                <w:tcPr>
                  <w:tcW w:w="479" w:type="pct"/>
                  <w:vAlign w:val="center"/>
                </w:tcPr>
                <w:p w14:paraId="5192AF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288</w:t>
                  </w:r>
                </w:p>
              </w:tc>
              <w:tc>
                <w:tcPr>
                  <w:tcW w:w="581" w:type="pct"/>
                  <w:vMerge w:val="continue"/>
                  <w:vAlign w:val="center"/>
                </w:tcPr>
                <w:p w14:paraId="47BE6A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199B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58" w:type="pct"/>
                  <w:shd w:val="clear" w:color="auto" w:fill="auto"/>
                  <w:vAlign w:val="center"/>
                </w:tcPr>
                <w:p w14:paraId="0A4DA5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5</w:t>
                  </w:r>
                </w:p>
              </w:tc>
              <w:tc>
                <w:tcPr>
                  <w:tcW w:w="630" w:type="pct"/>
                  <w:shd w:val="clear" w:color="auto" w:fill="auto"/>
                  <w:vAlign w:val="center"/>
                </w:tcPr>
                <w:p w14:paraId="07C6E5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鸣矣河村</w:t>
                  </w:r>
                </w:p>
              </w:tc>
              <w:tc>
                <w:tcPr>
                  <w:tcW w:w="653" w:type="pct"/>
                  <w:shd w:val="clear" w:color="auto" w:fill="auto"/>
                  <w:vAlign w:val="center"/>
                </w:tcPr>
                <w:p w14:paraId="65FC84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Y22+0</w:t>
                  </w:r>
                  <w:r>
                    <w:rPr>
                      <w:rFonts w:hint="eastAsia" w:ascii="Times New Roman" w:hAnsi="Times New Roman" w:eastAsia="宋体" w:cs="Times New Roman"/>
                      <w:b w:val="0"/>
                      <w:bCs w:val="0"/>
                      <w:color w:val="auto"/>
                      <w:sz w:val="21"/>
                      <w:szCs w:val="21"/>
                      <w:vertAlign w:val="baseline"/>
                      <w:lang w:val="en-US" w:eastAsia="zh-CN"/>
                    </w:rPr>
                    <w:t>51</w:t>
                  </w:r>
                </w:p>
              </w:tc>
              <w:tc>
                <w:tcPr>
                  <w:tcW w:w="446" w:type="pct"/>
                  <w:shd w:val="clear" w:color="auto" w:fill="auto"/>
                  <w:vAlign w:val="center"/>
                </w:tcPr>
                <w:p w14:paraId="016AB8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右侧</w:t>
                  </w:r>
                </w:p>
              </w:tc>
              <w:tc>
                <w:tcPr>
                  <w:tcW w:w="979" w:type="pct"/>
                  <w:shd w:val="clear" w:color="auto" w:fill="auto"/>
                  <w:vAlign w:val="center"/>
                </w:tcPr>
                <w:p w14:paraId="42C353FE">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cs="Times New Roman"/>
                      <w:color w:val="auto"/>
                      <w:sz w:val="21"/>
                      <w:szCs w:val="21"/>
                      <w:lang w:val="en-US" w:eastAsia="zh-CN"/>
                    </w:rPr>
                    <w:t>E</w:t>
                  </w:r>
                  <w:r>
                    <w:rPr>
                      <w:rFonts w:hint="default" w:ascii="Times New Roman" w:hAnsi="Times New Roman" w:cs="Times New Roman"/>
                      <w:color w:val="auto"/>
                      <w:sz w:val="21"/>
                      <w:szCs w:val="21"/>
                    </w:rPr>
                    <w:t xml:space="preserve">102.42660, </w:t>
                  </w:r>
                  <w:r>
                    <w:rPr>
                      <w:rFonts w:hint="default" w:ascii="Times New Roman" w:hAnsi="Times New Roman" w:cs="Times New Roman"/>
                      <w:color w:val="auto"/>
                      <w:sz w:val="21"/>
                      <w:szCs w:val="21"/>
                      <w:lang w:val="en-US" w:eastAsia="zh-CN"/>
                    </w:rPr>
                    <w:t>N</w:t>
                  </w:r>
                  <w:r>
                    <w:rPr>
                      <w:rFonts w:hint="default" w:ascii="Times New Roman" w:hAnsi="Times New Roman" w:cs="Times New Roman"/>
                      <w:color w:val="auto"/>
                      <w:sz w:val="21"/>
                      <w:szCs w:val="21"/>
                    </w:rPr>
                    <w:t>24.78760</w:t>
                  </w:r>
                </w:p>
              </w:tc>
              <w:tc>
                <w:tcPr>
                  <w:tcW w:w="555" w:type="pct"/>
                  <w:shd w:val="clear" w:color="auto" w:fill="auto"/>
                  <w:vAlign w:val="center"/>
                </w:tcPr>
                <w:p w14:paraId="50EBE8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25</w:t>
                  </w:r>
                </w:p>
              </w:tc>
              <w:tc>
                <w:tcPr>
                  <w:tcW w:w="413" w:type="pct"/>
                  <w:shd w:val="clear" w:color="auto" w:fill="auto"/>
                  <w:vAlign w:val="center"/>
                </w:tcPr>
                <w:p w14:paraId="7AA126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居民</w:t>
                  </w:r>
                </w:p>
              </w:tc>
              <w:tc>
                <w:tcPr>
                  <w:tcW w:w="479" w:type="pct"/>
                  <w:shd w:val="clear" w:color="auto" w:fill="auto"/>
                  <w:vAlign w:val="center"/>
                </w:tcPr>
                <w:p w14:paraId="2AF9E2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890</w:t>
                  </w:r>
                </w:p>
              </w:tc>
              <w:tc>
                <w:tcPr>
                  <w:tcW w:w="581" w:type="pct"/>
                  <w:vMerge w:val="continue"/>
                  <w:vAlign w:val="center"/>
                </w:tcPr>
                <w:p w14:paraId="0E5EA0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632F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58" w:type="pct"/>
                  <w:shd w:val="clear" w:color="auto" w:fill="auto"/>
                  <w:vAlign w:val="center"/>
                </w:tcPr>
                <w:p w14:paraId="41D288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6</w:t>
                  </w:r>
                </w:p>
              </w:tc>
              <w:tc>
                <w:tcPr>
                  <w:tcW w:w="630" w:type="pct"/>
                  <w:shd w:val="clear" w:color="auto" w:fill="auto"/>
                  <w:vAlign w:val="center"/>
                </w:tcPr>
                <w:p w14:paraId="79194B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甸东村</w:t>
                  </w:r>
                </w:p>
              </w:tc>
              <w:tc>
                <w:tcPr>
                  <w:tcW w:w="653" w:type="pct"/>
                  <w:shd w:val="clear" w:color="auto" w:fill="auto"/>
                  <w:vAlign w:val="center"/>
                </w:tcPr>
                <w:p w14:paraId="5EB9B7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Y2</w:t>
                  </w:r>
                  <w:r>
                    <w:rPr>
                      <w:rFonts w:hint="eastAsia" w:ascii="Times New Roman" w:hAnsi="Times New Roman" w:eastAsia="宋体" w:cs="Times New Roman"/>
                      <w:b w:val="0"/>
                      <w:bCs w:val="0"/>
                      <w:color w:val="auto"/>
                      <w:sz w:val="21"/>
                      <w:szCs w:val="21"/>
                      <w:vertAlign w:val="baseline"/>
                      <w:lang w:val="en-US" w:eastAsia="zh-CN"/>
                    </w:rPr>
                    <w:t>4</w:t>
                  </w:r>
                  <w:r>
                    <w:rPr>
                      <w:rFonts w:hint="default" w:ascii="Times New Roman" w:hAnsi="Times New Roman" w:eastAsia="宋体" w:cs="Times New Roman"/>
                      <w:b w:val="0"/>
                      <w:bCs w:val="0"/>
                      <w:color w:val="auto"/>
                      <w:sz w:val="21"/>
                      <w:szCs w:val="21"/>
                      <w:vertAlign w:val="baseline"/>
                      <w:lang w:val="en-US" w:eastAsia="zh-CN"/>
                    </w:rPr>
                    <w:t>+</w:t>
                  </w:r>
                  <w:r>
                    <w:rPr>
                      <w:rFonts w:hint="eastAsia" w:ascii="Times New Roman" w:hAnsi="Times New Roman" w:eastAsia="宋体" w:cs="Times New Roman"/>
                      <w:b w:val="0"/>
                      <w:bCs w:val="0"/>
                      <w:color w:val="auto"/>
                      <w:sz w:val="21"/>
                      <w:szCs w:val="21"/>
                      <w:vertAlign w:val="baseline"/>
                      <w:lang w:val="en-US" w:eastAsia="zh-CN"/>
                    </w:rPr>
                    <w:t>089</w:t>
                  </w:r>
                </w:p>
              </w:tc>
              <w:tc>
                <w:tcPr>
                  <w:tcW w:w="446" w:type="pct"/>
                  <w:shd w:val="clear" w:color="auto" w:fill="auto"/>
                  <w:vAlign w:val="center"/>
                </w:tcPr>
                <w:p w14:paraId="44CF52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右侧</w:t>
                  </w:r>
                </w:p>
              </w:tc>
              <w:tc>
                <w:tcPr>
                  <w:tcW w:w="979" w:type="pct"/>
                  <w:shd w:val="clear" w:color="auto" w:fill="auto"/>
                  <w:vAlign w:val="center"/>
                </w:tcPr>
                <w:p w14:paraId="32267CAA">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cs="Times New Roman"/>
                      <w:color w:val="auto"/>
                      <w:sz w:val="21"/>
                      <w:szCs w:val="21"/>
                      <w:lang w:val="en-US" w:eastAsia="zh-CN"/>
                    </w:rPr>
                    <w:t>E</w:t>
                  </w:r>
                  <w:r>
                    <w:rPr>
                      <w:rFonts w:hint="default" w:ascii="Times New Roman" w:hAnsi="Times New Roman" w:cs="Times New Roman"/>
                      <w:color w:val="auto"/>
                      <w:sz w:val="21"/>
                      <w:szCs w:val="21"/>
                    </w:rPr>
                    <w:t xml:space="preserve">102.43270, </w:t>
                  </w:r>
                  <w:r>
                    <w:rPr>
                      <w:rFonts w:hint="default" w:ascii="Times New Roman" w:hAnsi="Times New Roman" w:cs="Times New Roman"/>
                      <w:color w:val="auto"/>
                      <w:sz w:val="21"/>
                      <w:szCs w:val="21"/>
                      <w:lang w:val="en-US" w:eastAsia="zh-CN"/>
                    </w:rPr>
                    <w:t>N</w:t>
                  </w:r>
                  <w:r>
                    <w:rPr>
                      <w:rFonts w:hint="default" w:ascii="Times New Roman" w:hAnsi="Times New Roman" w:cs="Times New Roman"/>
                      <w:color w:val="auto"/>
                      <w:sz w:val="21"/>
                      <w:szCs w:val="21"/>
                    </w:rPr>
                    <w:t>24.80618</w:t>
                  </w:r>
                </w:p>
              </w:tc>
              <w:tc>
                <w:tcPr>
                  <w:tcW w:w="555" w:type="pct"/>
                  <w:shd w:val="clear" w:color="auto" w:fill="auto"/>
                  <w:vAlign w:val="center"/>
                </w:tcPr>
                <w:p w14:paraId="6C2588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23</w:t>
                  </w:r>
                </w:p>
              </w:tc>
              <w:tc>
                <w:tcPr>
                  <w:tcW w:w="413" w:type="pct"/>
                  <w:shd w:val="clear" w:color="auto" w:fill="auto"/>
                  <w:vAlign w:val="center"/>
                </w:tcPr>
                <w:p w14:paraId="59D041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居民</w:t>
                  </w:r>
                </w:p>
              </w:tc>
              <w:tc>
                <w:tcPr>
                  <w:tcW w:w="479" w:type="pct"/>
                  <w:shd w:val="clear" w:color="auto" w:fill="auto"/>
                  <w:vAlign w:val="center"/>
                </w:tcPr>
                <w:p w14:paraId="4EF986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3</w:t>
                  </w:r>
                  <w:r>
                    <w:rPr>
                      <w:rFonts w:hint="default" w:ascii="Times New Roman" w:hAnsi="Times New Roman" w:eastAsia="宋体" w:cs="Times New Roman"/>
                      <w:b w:val="0"/>
                      <w:bCs w:val="0"/>
                      <w:color w:val="auto"/>
                      <w:sz w:val="21"/>
                      <w:szCs w:val="21"/>
                      <w:vertAlign w:val="baseline"/>
                      <w:lang w:val="en-US" w:eastAsia="zh-CN"/>
                    </w:rPr>
                    <w:t>80</w:t>
                  </w:r>
                </w:p>
              </w:tc>
              <w:tc>
                <w:tcPr>
                  <w:tcW w:w="581" w:type="pct"/>
                  <w:vMerge w:val="continue"/>
                  <w:vAlign w:val="center"/>
                </w:tcPr>
                <w:p w14:paraId="4FFA91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1A37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58" w:type="pct"/>
                  <w:shd w:val="clear" w:color="auto" w:fill="auto"/>
                  <w:vAlign w:val="center"/>
                </w:tcPr>
                <w:p w14:paraId="3BFB8D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7</w:t>
                  </w:r>
                </w:p>
              </w:tc>
              <w:tc>
                <w:tcPr>
                  <w:tcW w:w="630" w:type="pct"/>
                  <w:shd w:val="clear" w:color="auto" w:fill="auto"/>
                  <w:vAlign w:val="center"/>
                </w:tcPr>
                <w:p w14:paraId="197207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新民村</w:t>
                  </w:r>
                </w:p>
              </w:tc>
              <w:tc>
                <w:tcPr>
                  <w:tcW w:w="653" w:type="pct"/>
                  <w:shd w:val="clear" w:color="auto" w:fill="auto"/>
                  <w:vAlign w:val="center"/>
                </w:tcPr>
                <w:p w14:paraId="65F1A8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Y28+</w:t>
                  </w:r>
                  <w:r>
                    <w:rPr>
                      <w:rFonts w:hint="eastAsia" w:ascii="Times New Roman" w:hAnsi="Times New Roman" w:eastAsia="宋体" w:cs="Times New Roman"/>
                      <w:b w:val="0"/>
                      <w:bCs w:val="0"/>
                      <w:color w:val="auto"/>
                      <w:sz w:val="21"/>
                      <w:szCs w:val="21"/>
                      <w:vertAlign w:val="baseline"/>
                      <w:lang w:val="en-US" w:eastAsia="zh-CN"/>
                    </w:rPr>
                    <w:t>114</w:t>
                  </w:r>
                </w:p>
              </w:tc>
              <w:tc>
                <w:tcPr>
                  <w:tcW w:w="446" w:type="pct"/>
                  <w:shd w:val="clear" w:color="auto" w:fill="auto"/>
                  <w:vAlign w:val="center"/>
                </w:tcPr>
                <w:p w14:paraId="4A0BAF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右侧</w:t>
                  </w:r>
                </w:p>
              </w:tc>
              <w:tc>
                <w:tcPr>
                  <w:tcW w:w="979" w:type="pct"/>
                  <w:shd w:val="clear" w:color="auto" w:fill="auto"/>
                  <w:vAlign w:val="center"/>
                </w:tcPr>
                <w:p w14:paraId="2110D1A1">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cs="Times New Roman"/>
                      <w:color w:val="auto"/>
                      <w:sz w:val="21"/>
                      <w:szCs w:val="21"/>
                      <w:lang w:val="en-US" w:eastAsia="zh-CN"/>
                    </w:rPr>
                    <w:t>E</w:t>
                  </w:r>
                  <w:r>
                    <w:rPr>
                      <w:rFonts w:hint="default" w:ascii="Times New Roman" w:hAnsi="Times New Roman" w:cs="Times New Roman"/>
                      <w:color w:val="auto"/>
                      <w:sz w:val="21"/>
                      <w:szCs w:val="21"/>
                    </w:rPr>
                    <w:t xml:space="preserve">102.43682, </w:t>
                  </w:r>
                  <w:r>
                    <w:rPr>
                      <w:rFonts w:hint="default" w:ascii="Times New Roman" w:hAnsi="Times New Roman" w:cs="Times New Roman"/>
                      <w:color w:val="auto"/>
                      <w:sz w:val="21"/>
                      <w:szCs w:val="21"/>
                      <w:lang w:val="en-US" w:eastAsia="zh-CN"/>
                    </w:rPr>
                    <w:t>N</w:t>
                  </w:r>
                  <w:r>
                    <w:rPr>
                      <w:rFonts w:hint="default" w:ascii="Times New Roman" w:hAnsi="Times New Roman" w:cs="Times New Roman"/>
                      <w:color w:val="auto"/>
                      <w:sz w:val="21"/>
                      <w:szCs w:val="21"/>
                    </w:rPr>
                    <w:t>24.84060</w:t>
                  </w:r>
                </w:p>
              </w:tc>
              <w:tc>
                <w:tcPr>
                  <w:tcW w:w="555" w:type="pct"/>
                  <w:shd w:val="clear" w:color="auto" w:fill="auto"/>
                  <w:vAlign w:val="center"/>
                </w:tcPr>
                <w:p w14:paraId="228617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2</w:t>
                  </w:r>
                  <w:r>
                    <w:rPr>
                      <w:rFonts w:hint="default" w:ascii="Times New Roman" w:hAnsi="Times New Roman" w:eastAsia="宋体" w:cs="Times New Roman"/>
                      <w:b w:val="0"/>
                      <w:bCs w:val="0"/>
                      <w:color w:val="auto"/>
                      <w:sz w:val="21"/>
                      <w:szCs w:val="21"/>
                      <w:vertAlign w:val="baseline"/>
                      <w:lang w:val="en-US" w:eastAsia="zh-CN"/>
                    </w:rPr>
                    <w:t>9</w:t>
                  </w:r>
                </w:p>
              </w:tc>
              <w:tc>
                <w:tcPr>
                  <w:tcW w:w="413" w:type="pct"/>
                  <w:shd w:val="clear" w:color="auto" w:fill="auto"/>
                  <w:vAlign w:val="center"/>
                </w:tcPr>
                <w:p w14:paraId="65577C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居民</w:t>
                  </w:r>
                </w:p>
              </w:tc>
              <w:tc>
                <w:tcPr>
                  <w:tcW w:w="479" w:type="pct"/>
                  <w:shd w:val="clear" w:color="auto" w:fill="auto"/>
                  <w:vAlign w:val="center"/>
                </w:tcPr>
                <w:p w14:paraId="2BF912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154</w:t>
                  </w:r>
                </w:p>
              </w:tc>
              <w:tc>
                <w:tcPr>
                  <w:tcW w:w="581" w:type="pct"/>
                  <w:vMerge w:val="continue"/>
                  <w:vAlign w:val="center"/>
                </w:tcPr>
                <w:p w14:paraId="370629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3D26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58" w:type="pct"/>
                  <w:shd w:val="clear" w:color="auto" w:fill="auto"/>
                  <w:vAlign w:val="center"/>
                </w:tcPr>
                <w:p w14:paraId="08179E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8</w:t>
                  </w:r>
                </w:p>
              </w:tc>
              <w:tc>
                <w:tcPr>
                  <w:tcW w:w="630" w:type="pct"/>
                  <w:shd w:val="clear" w:color="auto" w:fill="auto"/>
                  <w:vAlign w:val="center"/>
                </w:tcPr>
                <w:p w14:paraId="202679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cs="Times New Roman"/>
                      <w:b w:val="0"/>
                      <w:bCs w:val="0"/>
                      <w:color w:val="auto"/>
                      <w:sz w:val="21"/>
                      <w:szCs w:val="21"/>
                      <w:lang w:val="en-US" w:eastAsia="zh-CN"/>
                    </w:rPr>
                    <w:t>车铺里</w:t>
                  </w:r>
                </w:p>
              </w:tc>
              <w:tc>
                <w:tcPr>
                  <w:tcW w:w="653" w:type="pct"/>
                  <w:shd w:val="clear" w:color="auto" w:fill="auto"/>
                  <w:vAlign w:val="center"/>
                </w:tcPr>
                <w:p w14:paraId="273482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Y</w:t>
                  </w:r>
                  <w:r>
                    <w:rPr>
                      <w:rFonts w:hint="eastAsia" w:ascii="Times New Roman" w:hAnsi="Times New Roman" w:eastAsia="宋体" w:cs="Times New Roman"/>
                      <w:b w:val="0"/>
                      <w:bCs w:val="0"/>
                      <w:color w:val="auto"/>
                      <w:sz w:val="21"/>
                      <w:szCs w:val="21"/>
                      <w:vertAlign w:val="baseline"/>
                      <w:lang w:val="en-US" w:eastAsia="zh-CN"/>
                    </w:rPr>
                    <w:t>′</w:t>
                  </w:r>
                  <w:r>
                    <w:rPr>
                      <w:rFonts w:hint="default" w:ascii="Times New Roman" w:hAnsi="Times New Roman" w:eastAsia="宋体" w:cs="Times New Roman"/>
                      <w:b w:val="0"/>
                      <w:bCs w:val="0"/>
                      <w:color w:val="auto"/>
                      <w:sz w:val="21"/>
                      <w:szCs w:val="21"/>
                      <w:vertAlign w:val="baseline"/>
                      <w:lang w:val="en-US" w:eastAsia="zh-CN"/>
                    </w:rPr>
                    <w:t>2+</w:t>
                  </w:r>
                  <w:r>
                    <w:rPr>
                      <w:rFonts w:hint="eastAsia" w:ascii="Times New Roman" w:hAnsi="Times New Roman" w:eastAsia="宋体" w:cs="Times New Roman"/>
                      <w:b w:val="0"/>
                      <w:bCs w:val="0"/>
                      <w:color w:val="auto"/>
                      <w:sz w:val="21"/>
                      <w:szCs w:val="21"/>
                      <w:vertAlign w:val="baseline"/>
                      <w:lang w:val="en-US" w:eastAsia="zh-CN"/>
                    </w:rPr>
                    <w:t>865</w:t>
                  </w:r>
                </w:p>
              </w:tc>
              <w:tc>
                <w:tcPr>
                  <w:tcW w:w="446" w:type="pct"/>
                  <w:shd w:val="clear" w:color="auto" w:fill="auto"/>
                  <w:vAlign w:val="center"/>
                </w:tcPr>
                <w:p w14:paraId="694DC0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右</w:t>
                  </w:r>
                  <w:r>
                    <w:rPr>
                      <w:rFonts w:hint="default" w:ascii="Times New Roman" w:hAnsi="Times New Roman" w:eastAsia="宋体" w:cs="Times New Roman"/>
                      <w:b w:val="0"/>
                      <w:bCs w:val="0"/>
                      <w:color w:val="auto"/>
                      <w:sz w:val="21"/>
                      <w:szCs w:val="21"/>
                      <w:vertAlign w:val="baseline"/>
                      <w:lang w:val="en-US" w:eastAsia="zh-CN"/>
                    </w:rPr>
                    <w:t>侧</w:t>
                  </w:r>
                </w:p>
              </w:tc>
              <w:tc>
                <w:tcPr>
                  <w:tcW w:w="979" w:type="pct"/>
                  <w:shd w:val="clear" w:color="auto" w:fill="auto"/>
                  <w:vAlign w:val="center"/>
                </w:tcPr>
                <w:p w14:paraId="1EBAF9BF">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cs="Times New Roman"/>
                      <w:color w:val="auto"/>
                      <w:sz w:val="21"/>
                      <w:szCs w:val="21"/>
                      <w:lang w:val="en-US" w:eastAsia="zh-CN"/>
                    </w:rPr>
                    <w:t>E</w:t>
                  </w:r>
                  <w:r>
                    <w:rPr>
                      <w:rFonts w:hint="default" w:ascii="Times New Roman" w:hAnsi="Times New Roman" w:cs="Times New Roman"/>
                      <w:color w:val="auto"/>
                      <w:sz w:val="21"/>
                      <w:szCs w:val="21"/>
                    </w:rPr>
                    <w:t xml:space="preserve">102.38130, </w:t>
                  </w:r>
                  <w:r>
                    <w:rPr>
                      <w:rFonts w:hint="default" w:ascii="Times New Roman" w:hAnsi="Times New Roman" w:cs="Times New Roman"/>
                      <w:color w:val="auto"/>
                      <w:sz w:val="21"/>
                      <w:szCs w:val="21"/>
                      <w:lang w:val="en-US" w:eastAsia="zh-CN"/>
                    </w:rPr>
                    <w:t>N</w:t>
                  </w:r>
                  <w:r>
                    <w:rPr>
                      <w:rFonts w:hint="default" w:ascii="Times New Roman" w:hAnsi="Times New Roman" w:cs="Times New Roman"/>
                      <w:color w:val="auto"/>
                      <w:sz w:val="21"/>
                      <w:szCs w:val="21"/>
                    </w:rPr>
                    <w:t>24.84222</w:t>
                  </w:r>
                </w:p>
              </w:tc>
              <w:tc>
                <w:tcPr>
                  <w:tcW w:w="555" w:type="pct"/>
                  <w:shd w:val="clear" w:color="auto" w:fill="auto"/>
                  <w:vAlign w:val="center"/>
                </w:tcPr>
                <w:p w14:paraId="55192D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17</w:t>
                  </w:r>
                </w:p>
              </w:tc>
              <w:tc>
                <w:tcPr>
                  <w:tcW w:w="413" w:type="pct"/>
                  <w:shd w:val="clear" w:color="auto" w:fill="auto"/>
                  <w:vAlign w:val="center"/>
                </w:tcPr>
                <w:p w14:paraId="160E6A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居民</w:t>
                  </w:r>
                </w:p>
              </w:tc>
              <w:tc>
                <w:tcPr>
                  <w:tcW w:w="479" w:type="pct"/>
                  <w:shd w:val="clear" w:color="auto" w:fill="auto"/>
                  <w:vAlign w:val="center"/>
                </w:tcPr>
                <w:p w14:paraId="112310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3</w:t>
                  </w:r>
                  <w:r>
                    <w:rPr>
                      <w:rFonts w:hint="default" w:ascii="Times New Roman" w:hAnsi="Times New Roman" w:eastAsia="宋体" w:cs="Times New Roman"/>
                      <w:b w:val="0"/>
                      <w:bCs w:val="0"/>
                      <w:color w:val="auto"/>
                      <w:sz w:val="21"/>
                      <w:szCs w:val="21"/>
                      <w:vertAlign w:val="baseline"/>
                      <w:lang w:val="en-US" w:eastAsia="zh-CN"/>
                    </w:rPr>
                    <w:t>52</w:t>
                  </w:r>
                </w:p>
              </w:tc>
              <w:tc>
                <w:tcPr>
                  <w:tcW w:w="581" w:type="pct"/>
                  <w:vMerge w:val="continue"/>
                  <w:vAlign w:val="center"/>
                </w:tcPr>
                <w:p w14:paraId="2F47D3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25D5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58" w:type="pct"/>
                  <w:shd w:val="clear" w:color="auto" w:fill="auto"/>
                  <w:vAlign w:val="center"/>
                </w:tcPr>
                <w:p w14:paraId="750559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9</w:t>
                  </w:r>
                </w:p>
              </w:tc>
              <w:tc>
                <w:tcPr>
                  <w:tcW w:w="630" w:type="pct"/>
                  <w:shd w:val="clear" w:color="auto" w:fill="auto"/>
                  <w:vAlign w:val="center"/>
                </w:tcPr>
                <w:p w14:paraId="4CD0D9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cs="Times New Roman"/>
                      <w:b w:val="0"/>
                      <w:bCs w:val="0"/>
                      <w:color w:val="auto"/>
                      <w:sz w:val="21"/>
                      <w:szCs w:val="21"/>
                      <w:lang w:val="en-US" w:eastAsia="zh-CN"/>
                    </w:rPr>
                    <w:t>中元良</w:t>
                  </w:r>
                </w:p>
              </w:tc>
              <w:tc>
                <w:tcPr>
                  <w:tcW w:w="653" w:type="pct"/>
                  <w:shd w:val="clear" w:color="auto" w:fill="auto"/>
                  <w:vAlign w:val="center"/>
                </w:tcPr>
                <w:p w14:paraId="18F918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Y</w:t>
                  </w:r>
                  <w:r>
                    <w:rPr>
                      <w:rFonts w:hint="eastAsia" w:ascii="Times New Roman" w:hAnsi="Times New Roman" w:eastAsia="宋体" w:cs="Times New Roman"/>
                      <w:b w:val="0"/>
                      <w:bCs w:val="0"/>
                      <w:color w:val="auto"/>
                      <w:sz w:val="21"/>
                      <w:szCs w:val="21"/>
                      <w:vertAlign w:val="baseline"/>
                      <w:lang w:val="en-US" w:eastAsia="zh-CN"/>
                    </w:rPr>
                    <w:t>′6</w:t>
                  </w:r>
                  <w:r>
                    <w:rPr>
                      <w:rFonts w:hint="default" w:ascii="Times New Roman" w:hAnsi="Times New Roman" w:eastAsia="宋体" w:cs="Times New Roman"/>
                      <w:b w:val="0"/>
                      <w:bCs w:val="0"/>
                      <w:color w:val="auto"/>
                      <w:sz w:val="21"/>
                      <w:szCs w:val="21"/>
                      <w:vertAlign w:val="baseline"/>
                      <w:lang w:val="en-US" w:eastAsia="zh-CN"/>
                    </w:rPr>
                    <w:t>+</w:t>
                  </w:r>
                  <w:r>
                    <w:rPr>
                      <w:rFonts w:hint="eastAsia" w:ascii="Times New Roman" w:hAnsi="Times New Roman" w:eastAsia="宋体" w:cs="Times New Roman"/>
                      <w:b w:val="0"/>
                      <w:bCs w:val="0"/>
                      <w:color w:val="auto"/>
                      <w:sz w:val="21"/>
                      <w:szCs w:val="21"/>
                      <w:vertAlign w:val="baseline"/>
                      <w:lang w:val="en-US" w:eastAsia="zh-CN"/>
                    </w:rPr>
                    <w:t>931</w:t>
                  </w:r>
                </w:p>
              </w:tc>
              <w:tc>
                <w:tcPr>
                  <w:tcW w:w="446" w:type="pct"/>
                  <w:shd w:val="clear" w:color="auto" w:fill="auto"/>
                  <w:vAlign w:val="center"/>
                </w:tcPr>
                <w:p w14:paraId="1385EF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右</w:t>
                  </w:r>
                  <w:r>
                    <w:rPr>
                      <w:rFonts w:hint="default" w:ascii="Times New Roman" w:hAnsi="Times New Roman" w:eastAsia="宋体" w:cs="Times New Roman"/>
                      <w:b w:val="0"/>
                      <w:bCs w:val="0"/>
                      <w:color w:val="auto"/>
                      <w:sz w:val="21"/>
                      <w:szCs w:val="21"/>
                      <w:vertAlign w:val="baseline"/>
                      <w:lang w:val="en-US" w:eastAsia="zh-CN"/>
                    </w:rPr>
                    <w:t>侧</w:t>
                  </w:r>
                </w:p>
              </w:tc>
              <w:tc>
                <w:tcPr>
                  <w:tcW w:w="979" w:type="pct"/>
                  <w:shd w:val="clear" w:color="auto" w:fill="auto"/>
                  <w:vAlign w:val="center"/>
                </w:tcPr>
                <w:p w14:paraId="3910FF15">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0"/>
                      <w:sz w:val="21"/>
                      <w:szCs w:val="21"/>
                      <w:vertAlign w:val="baseline"/>
                      <w:lang w:val="en-US" w:eastAsia="zh-CN" w:bidi="ar-SA"/>
                    </w:rPr>
                  </w:pPr>
                  <w:r>
                    <w:rPr>
                      <w:rFonts w:hint="default" w:ascii="Times New Roman" w:hAnsi="Times New Roman" w:cs="Times New Roman"/>
                      <w:color w:val="auto"/>
                      <w:sz w:val="21"/>
                      <w:szCs w:val="21"/>
                      <w:lang w:val="en-US" w:eastAsia="zh-CN"/>
                    </w:rPr>
                    <w:t>E</w:t>
                  </w:r>
                  <w:r>
                    <w:rPr>
                      <w:rFonts w:hint="default" w:ascii="Times New Roman" w:hAnsi="Times New Roman" w:cs="Times New Roman"/>
                      <w:color w:val="auto"/>
                      <w:sz w:val="21"/>
                      <w:szCs w:val="21"/>
                    </w:rPr>
                    <w:t xml:space="preserve">102.35873, </w:t>
                  </w:r>
                  <w:r>
                    <w:rPr>
                      <w:rFonts w:hint="default" w:ascii="Times New Roman" w:hAnsi="Times New Roman" w:cs="Times New Roman"/>
                      <w:color w:val="auto"/>
                      <w:sz w:val="21"/>
                      <w:szCs w:val="21"/>
                      <w:lang w:val="en-US" w:eastAsia="zh-CN"/>
                    </w:rPr>
                    <w:t>N</w:t>
                  </w:r>
                  <w:r>
                    <w:rPr>
                      <w:rFonts w:hint="default" w:ascii="Times New Roman" w:hAnsi="Times New Roman" w:cs="Times New Roman"/>
                      <w:color w:val="auto"/>
                      <w:sz w:val="21"/>
                      <w:szCs w:val="21"/>
                    </w:rPr>
                    <w:t>24.81788</w:t>
                  </w:r>
                </w:p>
              </w:tc>
              <w:tc>
                <w:tcPr>
                  <w:tcW w:w="555" w:type="pct"/>
                  <w:shd w:val="clear" w:color="auto" w:fill="auto"/>
                  <w:vAlign w:val="center"/>
                </w:tcPr>
                <w:p w14:paraId="4B962C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120</w:t>
                  </w:r>
                </w:p>
              </w:tc>
              <w:tc>
                <w:tcPr>
                  <w:tcW w:w="413" w:type="pct"/>
                  <w:shd w:val="clear" w:color="auto" w:fill="auto"/>
                  <w:vAlign w:val="center"/>
                </w:tcPr>
                <w:p w14:paraId="582F4C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居民</w:t>
                  </w:r>
                </w:p>
              </w:tc>
              <w:tc>
                <w:tcPr>
                  <w:tcW w:w="479" w:type="pct"/>
                  <w:shd w:val="clear" w:color="auto" w:fill="auto"/>
                  <w:vAlign w:val="center"/>
                </w:tcPr>
                <w:p w14:paraId="10894F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422</w:t>
                  </w:r>
                </w:p>
              </w:tc>
              <w:tc>
                <w:tcPr>
                  <w:tcW w:w="581" w:type="pct"/>
                  <w:vMerge w:val="continue"/>
                  <w:vAlign w:val="center"/>
                </w:tcPr>
                <w:p w14:paraId="00E248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177D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000" w:type="pct"/>
                  <w:gridSpan w:val="9"/>
                  <w:shd w:val="clear" w:color="auto" w:fill="auto"/>
                  <w:vAlign w:val="center"/>
                </w:tcPr>
                <w:p w14:paraId="5362546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备注：（1）Y0+000 新建DN1400管线桩号；</w:t>
                  </w:r>
                </w:p>
                <w:p w14:paraId="119CEDD0">
                  <w:pPr>
                    <w:keepNext w:val="0"/>
                    <w:keepLines w:val="0"/>
                    <w:pageBreakBefore w:val="0"/>
                    <w:widowControl w:val="0"/>
                    <w:kinsoku/>
                    <w:wordWrap/>
                    <w:overflowPunct/>
                    <w:topLinePunct w:val="0"/>
                    <w:autoSpaceDE/>
                    <w:autoSpaceDN/>
                    <w:bidi w:val="0"/>
                    <w:adjustRightInd w:val="0"/>
                    <w:snapToGrid w:val="0"/>
                    <w:spacing w:line="240" w:lineRule="auto"/>
                    <w:ind w:firstLine="630" w:firstLineChars="300"/>
                    <w:jc w:val="both"/>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（2）</w:t>
                  </w:r>
                  <w:r>
                    <w:rPr>
                      <w:rFonts w:hint="default" w:ascii="Times New Roman" w:hAnsi="Times New Roman" w:eastAsia="宋体" w:cs="Times New Roman"/>
                      <w:b w:val="0"/>
                      <w:bCs w:val="0"/>
                      <w:color w:val="auto"/>
                      <w:sz w:val="21"/>
                      <w:szCs w:val="21"/>
                      <w:vertAlign w:val="baseline"/>
                      <w:lang w:val="en-US" w:eastAsia="zh-CN"/>
                    </w:rPr>
                    <w:t>Y</w:t>
                  </w:r>
                  <w:r>
                    <w:rPr>
                      <w:rFonts w:hint="eastAsia" w:ascii="Times New Roman" w:hAnsi="Times New Roman" w:eastAsia="宋体" w:cs="Times New Roman"/>
                      <w:b w:val="0"/>
                      <w:bCs w:val="0"/>
                      <w:color w:val="auto"/>
                      <w:sz w:val="21"/>
                      <w:szCs w:val="21"/>
                      <w:vertAlign w:val="baseline"/>
                      <w:lang w:val="en-US" w:eastAsia="zh-CN"/>
                    </w:rPr>
                    <w:t>′0+000 新建DN400管线桩号。</w:t>
                  </w:r>
                </w:p>
              </w:tc>
            </w:tr>
          </w:tbl>
          <w:p w14:paraId="784C24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FF"/>
                <w:sz w:val="24"/>
                <w:szCs w:val="24"/>
              </w:rPr>
            </w:pPr>
          </w:p>
        </w:tc>
      </w:tr>
      <w:tr w14:paraId="70F924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709" w:type="dxa"/>
            <w:noWrap w:val="0"/>
            <w:vAlign w:val="center"/>
          </w:tcPr>
          <w:p w14:paraId="5C2BD07F">
            <w:pPr>
              <w:adjustRightInd w:val="0"/>
              <w:snapToGrid w:val="0"/>
              <w:jc w:val="center"/>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评价</w:t>
            </w:r>
          </w:p>
          <w:p w14:paraId="5557C048">
            <w:pPr>
              <w:adjustRightInd w:val="0"/>
              <w:snapToGrid w:val="0"/>
              <w:jc w:val="center"/>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rPr>
              <w:t>标准</w:t>
            </w:r>
          </w:p>
        </w:tc>
        <w:tc>
          <w:tcPr>
            <w:tcW w:w="8448" w:type="dxa"/>
            <w:noWrap w:val="0"/>
            <w:vAlign w:val="center"/>
          </w:tcPr>
          <w:p w14:paraId="60F1272B">
            <w:pPr>
              <w:adjustRightInd w:val="0"/>
              <w:snapToGrid w:val="0"/>
              <w:spacing w:before="156" w:beforeLines="50" w:line="360" w:lineRule="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1、环境质量标准</w:t>
            </w:r>
          </w:p>
          <w:p w14:paraId="683474CE">
            <w:pPr>
              <w:adjustRightInd w:val="0"/>
              <w:snapToGrid w:val="0"/>
              <w:spacing w:before="156" w:beforeLines="50" w:line="360" w:lineRule="auto"/>
              <w:rPr>
                <w:rFonts w:hint="default" w:ascii="Times New Roman" w:hAnsi="Times New Roman" w:eastAsia="宋体" w:cs="Times New Roman"/>
                <w:b/>
                <w:color w:val="auto"/>
                <w:sz w:val="24"/>
              </w:rPr>
            </w:pPr>
            <w:r>
              <w:rPr>
                <w:rFonts w:hint="eastAsia" w:ascii="Times New Roman" w:hAnsi="Times New Roman" w:eastAsia="宋体" w:cs="Times New Roman"/>
                <w:b/>
                <w:color w:val="auto"/>
                <w:sz w:val="24"/>
                <w:lang w:eastAsia="zh-CN"/>
              </w:rPr>
              <w:t>（</w:t>
            </w:r>
            <w:r>
              <w:rPr>
                <w:rFonts w:hint="default" w:ascii="Times New Roman" w:hAnsi="Times New Roman" w:eastAsia="宋体" w:cs="Times New Roman"/>
                <w:b/>
                <w:color w:val="auto"/>
                <w:sz w:val="24"/>
                <w:lang w:val="en-US" w:eastAsia="zh-CN"/>
              </w:rPr>
              <w:t>1</w:t>
            </w:r>
            <w:r>
              <w:rPr>
                <w:rFonts w:hint="default" w:ascii="Times New Roman" w:hAnsi="Times New Roman" w:eastAsia="宋体" w:cs="Times New Roman"/>
                <w:b/>
                <w:color w:val="auto"/>
                <w:sz w:val="24"/>
                <w:lang w:eastAsia="zh-CN"/>
              </w:rPr>
              <w:t>）</w:t>
            </w:r>
            <w:r>
              <w:rPr>
                <w:rFonts w:hint="default" w:ascii="Times New Roman" w:hAnsi="Times New Roman" w:eastAsia="宋体" w:cs="Times New Roman"/>
                <w:b/>
                <w:color w:val="auto"/>
                <w:sz w:val="24"/>
              </w:rPr>
              <w:t>水环境质量标准</w:t>
            </w:r>
          </w:p>
          <w:p w14:paraId="1D23CDD4">
            <w:pPr>
              <w:numPr>
                <w:ilvl w:val="0"/>
                <w:numId w:val="0"/>
              </w:numPr>
              <w:adjustRightInd w:val="0"/>
              <w:snapToGrid w:val="0"/>
              <w:spacing w:line="360" w:lineRule="auto"/>
              <w:ind w:leftChars="0" w:firstLine="480" w:firstLineChars="200"/>
              <w:jc w:val="both"/>
              <w:rPr>
                <w:rFonts w:hint="default" w:ascii="Times New Roman" w:hAnsi="Times New Roman" w:eastAsia="宋体" w:cs="Times New Roman"/>
                <w:b w:val="0"/>
                <w:bCs w:val="0"/>
                <w:color w:val="auto"/>
                <w:sz w:val="24"/>
                <w:szCs w:val="24"/>
                <w:highlight w:val="none"/>
                <w:lang w:val="zh-CN"/>
              </w:rPr>
            </w:pPr>
            <w:r>
              <w:rPr>
                <w:rFonts w:hint="default" w:ascii="Times New Roman" w:hAnsi="Times New Roman" w:eastAsia="宋体" w:cs="Times New Roman"/>
                <w:b w:val="0"/>
                <w:bCs w:val="0"/>
                <w:color w:val="auto"/>
                <w:sz w:val="24"/>
                <w:szCs w:val="24"/>
                <w:highlight w:val="none"/>
                <w:lang w:val="en-US" w:eastAsia="zh-CN"/>
              </w:rPr>
              <w:t>根据本次建设项目工程实施位置，项目所在区域周围地表水体分别为鸣矣河、</w:t>
            </w:r>
            <w:r>
              <w:rPr>
                <w:rFonts w:hint="eastAsia" w:ascii="Times New Roman" w:hAnsi="Times New Roman" w:eastAsia="宋体" w:cs="Times New Roman"/>
                <w:b w:val="0"/>
                <w:bCs w:val="0"/>
                <w:color w:val="auto"/>
                <w:sz w:val="24"/>
                <w:szCs w:val="24"/>
                <w:highlight w:val="none"/>
                <w:lang w:val="en-US" w:eastAsia="zh-CN"/>
              </w:rPr>
              <w:t>月子庄水库</w:t>
            </w:r>
            <w:r>
              <w:rPr>
                <w:rFonts w:hint="default" w:ascii="Times New Roman" w:hAnsi="Times New Roman" w:eastAsia="宋体" w:cs="Times New Roman"/>
                <w:b w:val="0"/>
                <w:bCs w:val="0"/>
                <w:color w:val="auto"/>
                <w:sz w:val="24"/>
                <w:szCs w:val="24"/>
                <w:highlight w:val="none"/>
                <w:lang w:val="en-US" w:eastAsia="zh-CN"/>
              </w:rPr>
              <w:t>、车木河水库。根据云南省水利厅发布的《云南省水功能区划</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2014 年修订版）》：根据本章节前述内容“3.3地表水环境质量现状”，项目内各子项涉及的地表水体所执行的</w:t>
            </w:r>
            <w:r>
              <w:rPr>
                <w:rFonts w:hint="default" w:ascii="Times New Roman" w:hAnsi="Times New Roman" w:eastAsia="宋体" w:cs="Times New Roman"/>
                <w:b w:val="0"/>
                <w:bCs w:val="0"/>
                <w:color w:val="auto"/>
                <w:sz w:val="24"/>
                <w:szCs w:val="24"/>
                <w:highlight w:val="none"/>
                <w:lang w:val="zh-CN"/>
              </w:rPr>
              <w:t>标准限值见</w:t>
            </w:r>
            <w:r>
              <w:rPr>
                <w:rFonts w:hint="default" w:ascii="Times New Roman" w:hAnsi="Times New Roman" w:eastAsia="宋体" w:cs="Times New Roman"/>
                <w:b w:val="0"/>
                <w:bCs w:val="0"/>
                <w:color w:val="auto"/>
                <w:sz w:val="24"/>
                <w:szCs w:val="24"/>
                <w:highlight w:val="none"/>
                <w:lang w:val="en-US" w:eastAsia="zh-CN"/>
              </w:rPr>
              <w:t>下</w:t>
            </w:r>
            <w:r>
              <w:rPr>
                <w:rFonts w:hint="default" w:ascii="Times New Roman" w:hAnsi="Times New Roman" w:eastAsia="宋体" w:cs="Times New Roman"/>
                <w:b w:val="0"/>
                <w:bCs w:val="0"/>
                <w:color w:val="auto"/>
                <w:sz w:val="24"/>
                <w:szCs w:val="24"/>
                <w:highlight w:val="none"/>
                <w:lang w:val="zh-CN"/>
              </w:rPr>
              <w:t>表。</w:t>
            </w:r>
          </w:p>
          <w:p w14:paraId="40BF0C27">
            <w:pPr>
              <w:adjustRightInd w:val="0"/>
              <w:snapToGrid w:val="0"/>
              <w:spacing w:line="360" w:lineRule="auto"/>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表</w:t>
            </w:r>
            <w:r>
              <w:rPr>
                <w:rFonts w:hint="default" w:ascii="Times New Roman" w:hAnsi="Times New Roman" w:eastAsia="宋体" w:cs="Times New Roman"/>
                <w:b/>
                <w:bCs/>
                <w:color w:val="auto"/>
                <w:sz w:val="24"/>
                <w:lang w:val="en-US" w:eastAsia="zh-CN"/>
              </w:rPr>
              <w:t>3-</w:t>
            </w:r>
            <w:r>
              <w:rPr>
                <w:rFonts w:hint="eastAsia" w:cs="Times New Roman"/>
                <w:b/>
                <w:bCs/>
                <w:color w:val="auto"/>
                <w:sz w:val="24"/>
                <w:lang w:val="en-US" w:eastAsia="zh-CN"/>
              </w:rPr>
              <w:t>12</w:t>
            </w:r>
            <w:r>
              <w:rPr>
                <w:rFonts w:hint="default" w:ascii="Times New Roman" w:hAnsi="Times New Roman" w:eastAsia="宋体" w:cs="Times New Roman"/>
                <w:b/>
                <w:bCs/>
                <w:color w:val="auto"/>
                <w:sz w:val="24"/>
              </w:rPr>
              <w:t xml:space="preserve">    地表水环境质量标准</w:t>
            </w:r>
            <w:r>
              <w:rPr>
                <w:rFonts w:hint="eastAsia"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rPr>
              <w:t>单位：除pH外，其余均为mg/L）</w:t>
            </w:r>
          </w:p>
          <w:tbl>
            <w:tblPr>
              <w:tblStyle w:val="2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71"/>
              <w:gridCol w:w="825"/>
              <w:gridCol w:w="825"/>
              <w:gridCol w:w="825"/>
              <w:gridCol w:w="825"/>
              <w:gridCol w:w="825"/>
              <w:gridCol w:w="825"/>
              <w:gridCol w:w="829"/>
            </w:tblGrid>
            <w:tr w14:paraId="1ED1E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271" w:type="dxa"/>
                  <w:noWrap w:val="0"/>
                  <w:vAlign w:val="center"/>
                </w:tcPr>
                <w:p w14:paraId="693D4DB5">
                  <w:pPr>
                    <w:snapToGrid w:val="0"/>
                    <w:jc w:val="center"/>
                    <w:rPr>
                      <w:rFonts w:hint="default" w:ascii="Times New Roman" w:hAnsi="Times New Roman" w:eastAsia="宋体" w:cs="Times New Roman"/>
                      <w:iCs/>
                      <w:color w:val="auto"/>
                      <w:sz w:val="21"/>
                      <w:szCs w:val="21"/>
                      <w:lang w:val="en-US" w:eastAsia="zh-CN"/>
                    </w:rPr>
                  </w:pPr>
                  <w:r>
                    <w:rPr>
                      <w:rFonts w:hint="default" w:ascii="Times New Roman" w:hAnsi="Times New Roman" w:eastAsia="宋体" w:cs="Times New Roman"/>
                      <w:iCs/>
                      <w:color w:val="auto"/>
                      <w:sz w:val="21"/>
                      <w:szCs w:val="21"/>
                      <w:lang w:val="en-US" w:eastAsia="zh-CN"/>
                    </w:rPr>
                    <w:t>地表水体</w:t>
                  </w:r>
                </w:p>
              </w:tc>
              <w:tc>
                <w:tcPr>
                  <w:tcW w:w="825" w:type="dxa"/>
                  <w:noWrap w:val="0"/>
                  <w:vAlign w:val="center"/>
                </w:tcPr>
                <w:p w14:paraId="7B53CD67">
                  <w:pPr>
                    <w:snapToGrid w:val="0"/>
                    <w:jc w:val="center"/>
                    <w:rPr>
                      <w:rFonts w:hint="default" w:ascii="Times New Roman" w:hAnsi="Times New Roman" w:eastAsia="宋体" w:cs="Times New Roman"/>
                      <w:iCs/>
                      <w:color w:val="auto"/>
                      <w:sz w:val="21"/>
                      <w:szCs w:val="21"/>
                    </w:rPr>
                  </w:pPr>
                  <w:r>
                    <w:rPr>
                      <w:rFonts w:hint="default" w:ascii="Times New Roman" w:hAnsi="Times New Roman" w:eastAsia="宋体" w:cs="Times New Roman"/>
                      <w:iCs/>
                      <w:color w:val="auto"/>
                      <w:sz w:val="21"/>
                      <w:szCs w:val="21"/>
                    </w:rPr>
                    <w:t>项目</w:t>
                  </w:r>
                </w:p>
              </w:tc>
              <w:tc>
                <w:tcPr>
                  <w:tcW w:w="825" w:type="dxa"/>
                  <w:noWrap w:val="0"/>
                  <w:vAlign w:val="center"/>
                </w:tcPr>
                <w:p w14:paraId="008A4BB6">
                  <w:pPr>
                    <w:snapToGrid w:val="0"/>
                    <w:jc w:val="center"/>
                    <w:rPr>
                      <w:rFonts w:hint="default" w:ascii="Times New Roman" w:hAnsi="Times New Roman" w:eastAsia="宋体" w:cs="Times New Roman"/>
                      <w:iCs/>
                      <w:color w:val="auto"/>
                      <w:sz w:val="21"/>
                      <w:szCs w:val="21"/>
                    </w:rPr>
                  </w:pPr>
                  <w:r>
                    <w:rPr>
                      <w:rFonts w:hint="default" w:ascii="Times New Roman" w:hAnsi="Times New Roman" w:eastAsia="宋体" w:cs="Times New Roman"/>
                      <w:iCs/>
                      <w:color w:val="auto"/>
                      <w:sz w:val="21"/>
                      <w:szCs w:val="21"/>
                    </w:rPr>
                    <w:t>COD</w:t>
                  </w:r>
                  <w:r>
                    <w:rPr>
                      <w:rFonts w:hint="default" w:ascii="Times New Roman" w:hAnsi="Times New Roman" w:eastAsia="宋体" w:cs="Times New Roman"/>
                      <w:iCs/>
                      <w:color w:val="auto"/>
                      <w:sz w:val="21"/>
                      <w:szCs w:val="21"/>
                      <w:vertAlign w:val="subscript"/>
                    </w:rPr>
                    <w:t>Cr</w:t>
                  </w:r>
                </w:p>
              </w:tc>
              <w:tc>
                <w:tcPr>
                  <w:tcW w:w="825" w:type="dxa"/>
                  <w:noWrap w:val="0"/>
                  <w:vAlign w:val="center"/>
                </w:tcPr>
                <w:p w14:paraId="116768A5">
                  <w:pPr>
                    <w:snapToGrid w:val="0"/>
                    <w:jc w:val="center"/>
                    <w:rPr>
                      <w:rFonts w:hint="default" w:ascii="Times New Roman" w:hAnsi="Times New Roman" w:eastAsia="宋体" w:cs="Times New Roman"/>
                      <w:iCs/>
                      <w:color w:val="auto"/>
                      <w:sz w:val="21"/>
                      <w:szCs w:val="21"/>
                    </w:rPr>
                  </w:pPr>
                  <w:r>
                    <w:rPr>
                      <w:rFonts w:hint="default" w:ascii="Times New Roman" w:hAnsi="Times New Roman" w:eastAsia="宋体" w:cs="Times New Roman"/>
                      <w:iCs/>
                      <w:color w:val="auto"/>
                      <w:sz w:val="21"/>
                      <w:szCs w:val="21"/>
                    </w:rPr>
                    <w:t>BOD</w:t>
                  </w:r>
                  <w:r>
                    <w:rPr>
                      <w:rFonts w:hint="default" w:ascii="Times New Roman" w:hAnsi="Times New Roman" w:eastAsia="宋体" w:cs="Times New Roman"/>
                      <w:iCs/>
                      <w:color w:val="auto"/>
                      <w:sz w:val="21"/>
                      <w:szCs w:val="21"/>
                      <w:vertAlign w:val="subscript"/>
                    </w:rPr>
                    <w:t>5</w:t>
                  </w:r>
                </w:p>
              </w:tc>
              <w:tc>
                <w:tcPr>
                  <w:tcW w:w="825" w:type="dxa"/>
                  <w:noWrap w:val="0"/>
                  <w:vAlign w:val="center"/>
                </w:tcPr>
                <w:p w14:paraId="105E6B45">
                  <w:pPr>
                    <w:snapToGrid w:val="0"/>
                    <w:jc w:val="center"/>
                    <w:rPr>
                      <w:rFonts w:hint="default" w:ascii="Times New Roman" w:hAnsi="Times New Roman" w:eastAsia="宋体" w:cs="Times New Roman"/>
                      <w:iCs/>
                      <w:color w:val="auto"/>
                      <w:sz w:val="21"/>
                      <w:szCs w:val="21"/>
                    </w:rPr>
                  </w:pPr>
                  <w:r>
                    <w:rPr>
                      <w:rFonts w:hint="default" w:ascii="Times New Roman" w:hAnsi="Times New Roman" w:eastAsia="宋体" w:cs="Times New Roman"/>
                      <w:iCs/>
                      <w:color w:val="auto"/>
                      <w:sz w:val="21"/>
                      <w:szCs w:val="21"/>
                    </w:rPr>
                    <w:t>TP</w:t>
                  </w:r>
                </w:p>
              </w:tc>
              <w:tc>
                <w:tcPr>
                  <w:tcW w:w="825" w:type="dxa"/>
                  <w:noWrap w:val="0"/>
                  <w:vAlign w:val="center"/>
                </w:tcPr>
                <w:p w14:paraId="71DCCD66">
                  <w:pPr>
                    <w:snapToGrid w:val="0"/>
                    <w:jc w:val="center"/>
                    <w:rPr>
                      <w:rFonts w:hint="default" w:ascii="Times New Roman" w:hAnsi="Times New Roman" w:eastAsia="宋体" w:cs="Times New Roman"/>
                      <w:iCs/>
                      <w:color w:val="auto"/>
                      <w:sz w:val="21"/>
                      <w:szCs w:val="21"/>
                    </w:rPr>
                  </w:pPr>
                  <w:r>
                    <w:rPr>
                      <w:rFonts w:hint="default" w:ascii="Times New Roman" w:hAnsi="Times New Roman" w:eastAsia="宋体" w:cs="Times New Roman"/>
                      <w:iCs/>
                      <w:color w:val="auto"/>
                      <w:sz w:val="21"/>
                      <w:szCs w:val="21"/>
                    </w:rPr>
                    <w:t>氨氮</w:t>
                  </w:r>
                </w:p>
              </w:tc>
              <w:tc>
                <w:tcPr>
                  <w:tcW w:w="825" w:type="dxa"/>
                  <w:noWrap w:val="0"/>
                  <w:vAlign w:val="center"/>
                </w:tcPr>
                <w:p w14:paraId="28CAEBB5">
                  <w:pPr>
                    <w:snapToGrid w:val="0"/>
                    <w:jc w:val="center"/>
                    <w:rPr>
                      <w:rFonts w:hint="default" w:ascii="Times New Roman" w:hAnsi="Times New Roman" w:eastAsia="宋体" w:cs="Times New Roman"/>
                      <w:iCs/>
                      <w:color w:val="auto"/>
                      <w:sz w:val="21"/>
                      <w:szCs w:val="21"/>
                    </w:rPr>
                  </w:pPr>
                  <w:r>
                    <w:rPr>
                      <w:rFonts w:hint="default" w:ascii="Times New Roman" w:hAnsi="Times New Roman" w:eastAsia="宋体" w:cs="Times New Roman"/>
                      <w:iCs/>
                      <w:color w:val="auto"/>
                      <w:sz w:val="21"/>
                      <w:szCs w:val="21"/>
                    </w:rPr>
                    <w:t>pH</w:t>
                  </w:r>
                </w:p>
              </w:tc>
              <w:tc>
                <w:tcPr>
                  <w:tcW w:w="829" w:type="dxa"/>
                  <w:noWrap w:val="0"/>
                  <w:vAlign w:val="center"/>
                </w:tcPr>
                <w:p w14:paraId="22FF51D8">
                  <w:pPr>
                    <w:snapToGrid w:val="0"/>
                    <w:jc w:val="center"/>
                    <w:rPr>
                      <w:rFonts w:hint="default" w:ascii="Times New Roman" w:hAnsi="Times New Roman" w:eastAsia="宋体" w:cs="Times New Roman"/>
                      <w:iCs/>
                      <w:color w:val="auto"/>
                      <w:sz w:val="21"/>
                      <w:szCs w:val="21"/>
                    </w:rPr>
                  </w:pPr>
                  <w:r>
                    <w:rPr>
                      <w:rFonts w:hint="default" w:ascii="Times New Roman" w:hAnsi="Times New Roman" w:eastAsia="宋体" w:cs="Times New Roman"/>
                      <w:iCs/>
                      <w:color w:val="auto"/>
                      <w:sz w:val="21"/>
                      <w:szCs w:val="21"/>
                    </w:rPr>
                    <w:t>石油类</w:t>
                  </w:r>
                </w:p>
              </w:tc>
            </w:tr>
            <w:tr w14:paraId="43B63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271" w:type="dxa"/>
                  <w:noWrap w:val="0"/>
                  <w:vAlign w:val="center"/>
                </w:tcPr>
                <w:p w14:paraId="20C6E22F">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鸣矣河“车木河水库—入螳螂川口”段；</w:t>
                  </w:r>
                  <w:r>
                    <w:rPr>
                      <w:rFonts w:hint="eastAsia" w:ascii="Times New Roman" w:hAnsi="Times New Roman" w:eastAsia="宋体" w:cs="Times New Roman"/>
                      <w:color w:val="auto"/>
                      <w:sz w:val="21"/>
                      <w:szCs w:val="21"/>
                      <w:lang w:val="en-US" w:eastAsia="zh-CN"/>
                    </w:rPr>
                    <w:t>月子庄水库</w:t>
                  </w:r>
                </w:p>
              </w:tc>
              <w:tc>
                <w:tcPr>
                  <w:tcW w:w="825" w:type="dxa"/>
                  <w:noWrap w:val="0"/>
                  <w:vAlign w:val="center"/>
                </w:tcPr>
                <w:p w14:paraId="0F1D7729">
                  <w:pPr>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Ⅳ类</w:t>
                  </w:r>
                </w:p>
              </w:tc>
              <w:tc>
                <w:tcPr>
                  <w:tcW w:w="825" w:type="dxa"/>
                  <w:noWrap w:val="0"/>
                  <w:vAlign w:val="center"/>
                </w:tcPr>
                <w:p w14:paraId="23956546">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w:t>
                  </w:r>
                </w:p>
              </w:tc>
              <w:tc>
                <w:tcPr>
                  <w:tcW w:w="825" w:type="dxa"/>
                  <w:noWrap w:val="0"/>
                  <w:vAlign w:val="center"/>
                </w:tcPr>
                <w:p w14:paraId="13A8D2FB">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825" w:type="dxa"/>
                  <w:noWrap w:val="0"/>
                  <w:vAlign w:val="center"/>
                </w:tcPr>
                <w:p w14:paraId="0042E7CF">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w:t>
                  </w:r>
                  <w:r>
                    <w:rPr>
                      <w:rFonts w:hint="eastAsia" w:ascii="Times New Roman" w:hAnsi="Times New Roman" w:eastAsia="宋体" w:cs="Times New Roman"/>
                      <w:color w:val="auto"/>
                      <w:sz w:val="21"/>
                      <w:szCs w:val="21"/>
                      <w:lang w:val="en-US" w:eastAsia="zh-CN"/>
                    </w:rPr>
                    <w:t>（0.1）</w:t>
                  </w:r>
                </w:p>
              </w:tc>
              <w:tc>
                <w:tcPr>
                  <w:tcW w:w="825" w:type="dxa"/>
                  <w:noWrap w:val="0"/>
                  <w:vAlign w:val="center"/>
                </w:tcPr>
                <w:p w14:paraId="72AED8EB">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825" w:type="dxa"/>
                  <w:noWrap w:val="0"/>
                  <w:vAlign w:val="center"/>
                </w:tcPr>
                <w:p w14:paraId="1ED51BEE">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6~9</w:t>
                  </w:r>
                </w:p>
              </w:tc>
              <w:tc>
                <w:tcPr>
                  <w:tcW w:w="829" w:type="dxa"/>
                  <w:noWrap w:val="0"/>
                  <w:vAlign w:val="center"/>
                </w:tcPr>
                <w:p w14:paraId="62A76B72">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0.05</w:t>
                  </w:r>
                </w:p>
              </w:tc>
            </w:tr>
            <w:tr w14:paraId="23FAD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271" w:type="dxa"/>
                  <w:noWrap w:val="0"/>
                  <w:vAlign w:val="center"/>
                </w:tcPr>
                <w:p w14:paraId="5FD3A594">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b w:val="0"/>
                      <w:bCs w:val="0"/>
                      <w:color w:val="auto"/>
                      <w:sz w:val="21"/>
                      <w:szCs w:val="21"/>
                    </w:rPr>
                    <w:t>车木河水库</w:t>
                  </w:r>
                </w:p>
              </w:tc>
              <w:tc>
                <w:tcPr>
                  <w:tcW w:w="825" w:type="dxa"/>
                  <w:noWrap w:val="0"/>
                  <w:vAlign w:val="center"/>
                </w:tcPr>
                <w:p w14:paraId="540608D7">
                  <w:pPr>
                    <w:snapToGrid w:val="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II类</w:t>
                  </w:r>
                </w:p>
              </w:tc>
              <w:tc>
                <w:tcPr>
                  <w:tcW w:w="825" w:type="dxa"/>
                  <w:noWrap w:val="0"/>
                  <w:vAlign w:val="center"/>
                </w:tcPr>
                <w:p w14:paraId="4EA25587">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825" w:type="dxa"/>
                  <w:noWrap w:val="0"/>
                  <w:vAlign w:val="center"/>
                </w:tcPr>
                <w:p w14:paraId="5C555BA9">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825" w:type="dxa"/>
                  <w:noWrap w:val="0"/>
                  <w:vAlign w:val="center"/>
                </w:tcPr>
                <w:p w14:paraId="69C0EFFF">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0.025</w:t>
                  </w:r>
                </w:p>
              </w:tc>
              <w:tc>
                <w:tcPr>
                  <w:tcW w:w="825" w:type="dxa"/>
                  <w:noWrap w:val="0"/>
                  <w:vAlign w:val="center"/>
                </w:tcPr>
                <w:p w14:paraId="301EED95">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0.5</w:t>
                  </w:r>
                </w:p>
              </w:tc>
              <w:tc>
                <w:tcPr>
                  <w:tcW w:w="825" w:type="dxa"/>
                  <w:noWrap w:val="0"/>
                  <w:vAlign w:val="center"/>
                </w:tcPr>
                <w:p w14:paraId="4FE85232">
                  <w:pPr>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6~9</w:t>
                  </w:r>
                </w:p>
              </w:tc>
              <w:tc>
                <w:tcPr>
                  <w:tcW w:w="829" w:type="dxa"/>
                  <w:noWrap w:val="0"/>
                  <w:vAlign w:val="center"/>
                </w:tcPr>
                <w:p w14:paraId="003A44C7">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0.05</w:t>
                  </w:r>
                </w:p>
              </w:tc>
            </w:tr>
          </w:tbl>
          <w:p w14:paraId="2DCAE373">
            <w:pPr>
              <w:adjustRightInd w:val="0"/>
              <w:snapToGrid w:val="0"/>
              <w:spacing w:before="156" w:beforeLines="50" w:line="360" w:lineRule="auto"/>
              <w:rPr>
                <w:rFonts w:hint="default" w:ascii="Times New Roman" w:hAnsi="Times New Roman" w:eastAsia="宋体" w:cs="Times New Roman"/>
                <w:b/>
                <w:color w:val="auto"/>
                <w:sz w:val="24"/>
              </w:rPr>
            </w:pPr>
            <w:r>
              <w:rPr>
                <w:rFonts w:hint="eastAsia" w:ascii="Times New Roman" w:hAnsi="Times New Roman" w:eastAsia="宋体" w:cs="Times New Roman"/>
                <w:b/>
                <w:color w:val="auto"/>
                <w:sz w:val="24"/>
                <w:lang w:eastAsia="zh-CN"/>
              </w:rPr>
              <w:t>（</w:t>
            </w:r>
            <w:r>
              <w:rPr>
                <w:rFonts w:hint="default" w:ascii="Times New Roman" w:hAnsi="Times New Roman" w:eastAsia="宋体" w:cs="Times New Roman"/>
                <w:b/>
                <w:color w:val="auto"/>
                <w:sz w:val="24"/>
                <w:lang w:val="en-US" w:eastAsia="zh-CN"/>
              </w:rPr>
              <w:t>2</w:t>
            </w:r>
            <w:r>
              <w:rPr>
                <w:rFonts w:hint="default" w:ascii="Times New Roman" w:hAnsi="Times New Roman" w:eastAsia="宋体" w:cs="Times New Roman"/>
                <w:b/>
                <w:color w:val="auto"/>
                <w:sz w:val="24"/>
                <w:lang w:eastAsia="zh-CN"/>
              </w:rPr>
              <w:t>）</w:t>
            </w:r>
            <w:r>
              <w:rPr>
                <w:rFonts w:hint="default" w:ascii="Times New Roman" w:hAnsi="Times New Roman" w:eastAsia="宋体" w:cs="Times New Roman"/>
                <w:b/>
                <w:color w:val="auto"/>
                <w:sz w:val="24"/>
              </w:rPr>
              <w:t>空气环境质量标准</w:t>
            </w:r>
          </w:p>
          <w:p w14:paraId="4583C0DF">
            <w:pPr>
              <w:tabs>
                <w:tab w:val="left" w:pos="2395"/>
              </w:tabs>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根据项目所在地区的环境空气质量功能区划，项目所处区域属二类区，环境空气执行《环境空气质量标准》</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GB3095-20</w:t>
            </w:r>
            <w:r>
              <w:rPr>
                <w:rFonts w:hint="eastAsia" w:cs="Times New Roman"/>
                <w:color w:val="auto"/>
                <w:sz w:val="24"/>
                <w:szCs w:val="24"/>
                <w:lang w:val="en-US" w:eastAsia="zh-CN"/>
              </w:rPr>
              <w:t>26</w:t>
            </w:r>
            <w:r>
              <w:rPr>
                <w:rFonts w:hint="default" w:ascii="Times New Roman" w:hAnsi="Times New Roman" w:eastAsia="宋体" w:cs="Times New Roman"/>
                <w:color w:val="auto"/>
                <w:sz w:val="24"/>
                <w:szCs w:val="24"/>
              </w:rPr>
              <w:t>）中</w:t>
            </w:r>
            <w:r>
              <w:rPr>
                <w:rFonts w:hint="eastAsia" w:cs="Times New Roman"/>
                <w:color w:val="auto"/>
                <w:sz w:val="24"/>
                <w:szCs w:val="24"/>
                <w:lang w:val="en-US" w:eastAsia="zh-CN"/>
              </w:rPr>
              <w:t>过渡阶段</w:t>
            </w:r>
            <w:r>
              <w:rPr>
                <w:rFonts w:hint="default" w:ascii="Times New Roman" w:hAnsi="Times New Roman" w:eastAsia="宋体" w:cs="Times New Roman"/>
                <w:color w:val="auto"/>
                <w:sz w:val="24"/>
                <w:szCs w:val="24"/>
              </w:rPr>
              <w:t>二级标准。</w:t>
            </w:r>
          </w:p>
          <w:p w14:paraId="559C4220">
            <w:pPr>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3-</w:t>
            </w:r>
            <w:r>
              <w:rPr>
                <w:rFonts w:hint="eastAsia" w:cs="Times New Roman"/>
                <w:b/>
                <w:bCs/>
                <w:color w:val="auto"/>
                <w:sz w:val="24"/>
                <w:szCs w:val="24"/>
                <w:lang w:val="en-US" w:eastAsia="zh-CN"/>
              </w:rPr>
              <w:t>13</w:t>
            </w:r>
            <w:r>
              <w:rPr>
                <w:rFonts w:hint="default" w:ascii="Times New Roman" w:hAnsi="Times New Roman" w:eastAsia="宋体" w:cs="Times New Roman"/>
                <w:b/>
                <w:bCs/>
                <w:color w:val="auto"/>
                <w:sz w:val="24"/>
                <w:szCs w:val="24"/>
              </w:rPr>
              <w:t xml:space="preserve">     环境空气评价标准    单位</w:t>
            </w:r>
            <w:r>
              <w:rPr>
                <w:rFonts w:hint="default" w:ascii="Times New Roman" w:hAnsi="Times New Roman" w:eastAsia="宋体" w:cs="Times New Roman"/>
                <w:color w:val="auto"/>
                <w:sz w:val="24"/>
                <w:szCs w:val="24"/>
              </w:rPr>
              <w:t>：</w:t>
            </w:r>
            <w:r>
              <w:rPr>
                <w:rFonts w:hint="default" w:ascii="Times New Roman" w:hAnsi="Times New Roman" w:eastAsia="宋体" w:cs="Times New Roman"/>
                <w:b/>
                <w:bCs/>
                <w:color w:val="auto"/>
                <w:lang w:val="zh-CN"/>
              </w:rPr>
              <w:t>μ</w:t>
            </w:r>
            <w:r>
              <w:rPr>
                <w:rFonts w:hint="default" w:ascii="Times New Roman" w:hAnsi="Times New Roman" w:eastAsia="宋体" w:cs="Times New Roman"/>
                <w:b/>
                <w:bCs/>
                <w:color w:val="auto"/>
                <w:sz w:val="24"/>
                <w:szCs w:val="24"/>
              </w:rPr>
              <w:t>g/m</w:t>
            </w:r>
            <w:r>
              <w:rPr>
                <w:rFonts w:hint="default" w:ascii="Times New Roman" w:hAnsi="Times New Roman" w:eastAsia="宋体" w:cs="Times New Roman"/>
                <w:b/>
                <w:bCs/>
                <w:color w:val="auto"/>
                <w:sz w:val="24"/>
                <w:szCs w:val="24"/>
                <w:vertAlign w:val="superscript"/>
              </w:rPr>
              <w:t>3</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2234"/>
              <w:gridCol w:w="2362"/>
              <w:gridCol w:w="2125"/>
            </w:tblGrid>
            <w:tr w14:paraId="7ABD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13" w:type="pct"/>
                  <w:vMerge w:val="restart"/>
                  <w:tcBorders>
                    <w:tl2br w:val="nil"/>
                    <w:tr2bl w:val="nil"/>
                  </w:tcBorders>
                  <w:vAlign w:val="center"/>
                </w:tcPr>
                <w:p w14:paraId="3D74E69F">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污染因子</w:t>
                  </w:r>
                </w:p>
              </w:tc>
              <w:tc>
                <w:tcPr>
                  <w:tcW w:w="4086" w:type="pct"/>
                  <w:gridSpan w:val="3"/>
                  <w:tcBorders>
                    <w:tl2br w:val="nil"/>
                    <w:tr2bl w:val="nil"/>
                  </w:tcBorders>
                  <w:vAlign w:val="center"/>
                </w:tcPr>
                <w:p w14:paraId="79A7212C">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《环境空气质量标准》GB3095-20</w:t>
                  </w:r>
                  <w:r>
                    <w:rPr>
                      <w:rFonts w:hint="eastAsia" w:ascii="Times New Roman" w:hAnsi="Times New Roman" w:cs="Times New Roman"/>
                      <w:b w:val="0"/>
                      <w:bCs/>
                      <w:color w:val="auto"/>
                      <w:kern w:val="0"/>
                      <w:highlight w:val="none"/>
                      <w:lang w:val="en-US" w:eastAsia="zh-CN"/>
                    </w:rPr>
                    <w:t>26</w:t>
                  </w:r>
                  <w:r>
                    <w:rPr>
                      <w:rFonts w:hint="default" w:ascii="Times New Roman" w:hAnsi="Times New Roman" w:cs="Times New Roman"/>
                      <w:b w:val="0"/>
                      <w:bCs/>
                      <w:color w:val="auto"/>
                      <w:kern w:val="0"/>
                      <w:highlight w:val="none"/>
                    </w:rPr>
                    <w:t>标准限值</w:t>
                  </w:r>
                </w:p>
              </w:tc>
            </w:tr>
            <w:tr w14:paraId="6EDD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13" w:type="pct"/>
                  <w:vMerge w:val="continue"/>
                  <w:tcBorders>
                    <w:tl2br w:val="nil"/>
                    <w:tr2bl w:val="nil"/>
                  </w:tcBorders>
                  <w:vAlign w:val="center"/>
                </w:tcPr>
                <w:p w14:paraId="3416D857">
                  <w:pPr>
                    <w:widowControl/>
                    <w:jc w:val="center"/>
                    <w:rPr>
                      <w:rFonts w:hint="default" w:ascii="Times New Roman" w:hAnsi="Times New Roman" w:cs="Times New Roman"/>
                      <w:b w:val="0"/>
                      <w:bCs/>
                      <w:color w:val="auto"/>
                      <w:kern w:val="0"/>
                      <w:highlight w:val="none"/>
                    </w:rPr>
                  </w:pPr>
                </w:p>
              </w:tc>
              <w:tc>
                <w:tcPr>
                  <w:tcW w:w="4086" w:type="pct"/>
                  <w:gridSpan w:val="3"/>
                  <w:tcBorders>
                    <w:tl2br w:val="nil"/>
                    <w:tr2bl w:val="nil"/>
                  </w:tcBorders>
                  <w:vAlign w:val="center"/>
                </w:tcPr>
                <w:p w14:paraId="75BF5489">
                  <w:pPr>
                    <w:widowControl/>
                    <w:jc w:val="center"/>
                    <w:rPr>
                      <w:rFonts w:hint="default" w:ascii="Times New Roman" w:hAnsi="Times New Roman" w:cs="Times New Roman"/>
                      <w:b w:val="0"/>
                      <w:bCs/>
                      <w:color w:val="auto"/>
                      <w:kern w:val="0"/>
                      <w:highlight w:val="none"/>
                    </w:rPr>
                  </w:pPr>
                  <w:r>
                    <w:rPr>
                      <w:rFonts w:hint="eastAsia" w:cs="Times New Roman"/>
                      <w:b w:val="0"/>
                      <w:bCs/>
                      <w:color w:val="auto"/>
                      <w:kern w:val="0"/>
                      <w:highlight w:val="none"/>
                      <w:lang w:val="en-US" w:eastAsia="zh-CN"/>
                    </w:rPr>
                    <w:t>过渡阶段浓度限值</w:t>
                  </w:r>
                </w:p>
              </w:tc>
            </w:tr>
            <w:tr w14:paraId="574F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13" w:type="pct"/>
                  <w:vMerge w:val="continue"/>
                  <w:tcBorders>
                    <w:tl2br w:val="nil"/>
                    <w:tr2bl w:val="nil"/>
                  </w:tcBorders>
                  <w:vAlign w:val="center"/>
                </w:tcPr>
                <w:p w14:paraId="4B37993D">
                  <w:pPr>
                    <w:widowControl/>
                    <w:jc w:val="center"/>
                    <w:rPr>
                      <w:rFonts w:hint="default" w:ascii="Times New Roman" w:hAnsi="Times New Roman" w:cs="Times New Roman"/>
                      <w:b w:val="0"/>
                      <w:bCs/>
                      <w:color w:val="auto"/>
                      <w:kern w:val="0"/>
                      <w:highlight w:val="none"/>
                    </w:rPr>
                  </w:pPr>
                </w:p>
              </w:tc>
              <w:tc>
                <w:tcPr>
                  <w:tcW w:w="1358" w:type="pct"/>
                  <w:tcBorders>
                    <w:tl2br w:val="nil"/>
                    <w:tr2bl w:val="nil"/>
                  </w:tcBorders>
                  <w:vAlign w:val="center"/>
                </w:tcPr>
                <w:p w14:paraId="4A3BA6BB">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1小时平均</w:t>
                  </w:r>
                </w:p>
              </w:tc>
              <w:tc>
                <w:tcPr>
                  <w:tcW w:w="1436" w:type="pct"/>
                  <w:tcBorders>
                    <w:tl2br w:val="nil"/>
                    <w:tr2bl w:val="nil"/>
                  </w:tcBorders>
                  <w:vAlign w:val="center"/>
                </w:tcPr>
                <w:p w14:paraId="794BF377">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24小时平均</w:t>
                  </w:r>
                </w:p>
              </w:tc>
              <w:tc>
                <w:tcPr>
                  <w:tcW w:w="1291" w:type="pct"/>
                  <w:tcBorders>
                    <w:tl2br w:val="nil"/>
                    <w:tr2bl w:val="nil"/>
                  </w:tcBorders>
                  <w:vAlign w:val="center"/>
                </w:tcPr>
                <w:p w14:paraId="1D11AE57">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年平均</w:t>
                  </w:r>
                </w:p>
              </w:tc>
            </w:tr>
            <w:tr w14:paraId="7B6A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3" w:type="pct"/>
                  <w:tcBorders>
                    <w:tl2br w:val="nil"/>
                    <w:tr2bl w:val="nil"/>
                  </w:tcBorders>
                  <w:vAlign w:val="center"/>
                </w:tcPr>
                <w:p w14:paraId="112B5F6E">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SO</w:t>
                  </w:r>
                  <w:r>
                    <w:rPr>
                      <w:rFonts w:hint="default" w:ascii="Times New Roman" w:hAnsi="Times New Roman" w:cs="Times New Roman"/>
                      <w:b w:val="0"/>
                      <w:bCs/>
                      <w:color w:val="auto"/>
                      <w:kern w:val="0"/>
                      <w:highlight w:val="none"/>
                      <w:vertAlign w:val="subscript"/>
                    </w:rPr>
                    <w:t>2</w:t>
                  </w:r>
                </w:p>
              </w:tc>
              <w:tc>
                <w:tcPr>
                  <w:tcW w:w="1358" w:type="pct"/>
                  <w:tcBorders>
                    <w:tl2br w:val="nil"/>
                    <w:tr2bl w:val="nil"/>
                  </w:tcBorders>
                  <w:vAlign w:val="center"/>
                </w:tcPr>
                <w:p w14:paraId="411A7CC1">
                  <w:pPr>
                    <w:widowControl/>
                    <w:jc w:val="center"/>
                    <w:rPr>
                      <w:rFonts w:hint="default" w:ascii="Times New Roman" w:hAnsi="Times New Roman" w:cs="Times New Roman"/>
                      <w:b w:val="0"/>
                      <w:bCs/>
                      <w:color w:val="auto"/>
                      <w:kern w:val="0"/>
                      <w:highlight w:val="none"/>
                    </w:rPr>
                  </w:pPr>
                  <w:r>
                    <w:rPr>
                      <w:rFonts w:hint="eastAsia" w:ascii="Times New Roman" w:hAnsi="Times New Roman" w:cs="Times New Roman"/>
                      <w:b w:val="0"/>
                      <w:bCs/>
                      <w:color w:val="auto"/>
                      <w:kern w:val="0"/>
                      <w:highlight w:val="none"/>
                      <w:lang w:val="en-US" w:eastAsia="zh-CN"/>
                    </w:rPr>
                    <w:t>50</w:t>
                  </w:r>
                  <w:r>
                    <w:rPr>
                      <w:rFonts w:hint="default" w:ascii="Times New Roman" w:hAnsi="Times New Roman" w:cs="Times New Roman"/>
                      <w:b w:val="0"/>
                      <w:bCs/>
                      <w:color w:val="auto"/>
                      <w:kern w:val="0"/>
                      <w:highlight w:val="none"/>
                    </w:rPr>
                    <w:t>0</w:t>
                  </w:r>
                </w:p>
              </w:tc>
              <w:tc>
                <w:tcPr>
                  <w:tcW w:w="1436" w:type="pct"/>
                  <w:tcBorders>
                    <w:tl2br w:val="nil"/>
                    <w:tr2bl w:val="nil"/>
                  </w:tcBorders>
                  <w:vAlign w:val="center"/>
                </w:tcPr>
                <w:p w14:paraId="4780D91C">
                  <w:pPr>
                    <w:widowControl/>
                    <w:jc w:val="center"/>
                    <w:rPr>
                      <w:rFonts w:hint="default" w:ascii="Times New Roman" w:hAnsi="Times New Roman" w:cs="Times New Roman"/>
                      <w:b w:val="0"/>
                      <w:bCs/>
                      <w:color w:val="auto"/>
                      <w:kern w:val="0"/>
                      <w:highlight w:val="none"/>
                    </w:rPr>
                  </w:pPr>
                  <w:r>
                    <w:rPr>
                      <w:rFonts w:hint="eastAsia" w:ascii="Times New Roman" w:hAnsi="Times New Roman" w:cs="Times New Roman"/>
                      <w:b w:val="0"/>
                      <w:bCs/>
                      <w:color w:val="auto"/>
                      <w:kern w:val="0"/>
                      <w:highlight w:val="none"/>
                      <w:lang w:val="en-US" w:eastAsia="zh-CN"/>
                    </w:rPr>
                    <w:t>1</w:t>
                  </w:r>
                  <w:r>
                    <w:rPr>
                      <w:rFonts w:hint="default" w:ascii="Times New Roman" w:hAnsi="Times New Roman" w:cs="Times New Roman"/>
                      <w:b w:val="0"/>
                      <w:bCs/>
                      <w:color w:val="auto"/>
                      <w:kern w:val="0"/>
                      <w:highlight w:val="none"/>
                    </w:rPr>
                    <w:t>50</w:t>
                  </w:r>
                </w:p>
              </w:tc>
              <w:tc>
                <w:tcPr>
                  <w:tcW w:w="1291" w:type="pct"/>
                  <w:tcBorders>
                    <w:tl2br w:val="nil"/>
                    <w:tr2bl w:val="nil"/>
                  </w:tcBorders>
                  <w:vAlign w:val="center"/>
                </w:tcPr>
                <w:p w14:paraId="12BC4DE2">
                  <w:pPr>
                    <w:widowControl/>
                    <w:jc w:val="center"/>
                    <w:rPr>
                      <w:rFonts w:hint="default" w:ascii="Times New Roman" w:hAnsi="Times New Roman" w:cs="Times New Roman"/>
                      <w:b w:val="0"/>
                      <w:bCs/>
                      <w:color w:val="auto"/>
                      <w:kern w:val="0"/>
                      <w:highlight w:val="none"/>
                    </w:rPr>
                  </w:pPr>
                  <w:r>
                    <w:rPr>
                      <w:rFonts w:hint="eastAsia" w:ascii="Times New Roman" w:hAnsi="Times New Roman" w:cs="Times New Roman"/>
                      <w:b w:val="0"/>
                      <w:bCs/>
                      <w:color w:val="auto"/>
                      <w:kern w:val="0"/>
                      <w:highlight w:val="none"/>
                      <w:lang w:val="en-US" w:eastAsia="zh-CN"/>
                    </w:rPr>
                    <w:t>6</w:t>
                  </w:r>
                  <w:r>
                    <w:rPr>
                      <w:rFonts w:hint="default" w:ascii="Times New Roman" w:hAnsi="Times New Roman" w:cs="Times New Roman"/>
                      <w:b w:val="0"/>
                      <w:bCs/>
                      <w:color w:val="auto"/>
                      <w:kern w:val="0"/>
                      <w:highlight w:val="none"/>
                    </w:rPr>
                    <w:t>0</w:t>
                  </w:r>
                </w:p>
              </w:tc>
            </w:tr>
            <w:tr w14:paraId="39DC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3" w:type="pct"/>
                  <w:tcBorders>
                    <w:tl2br w:val="nil"/>
                    <w:tr2bl w:val="nil"/>
                  </w:tcBorders>
                  <w:vAlign w:val="center"/>
                </w:tcPr>
                <w:p w14:paraId="58001B3C">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NO</w:t>
                  </w:r>
                  <w:r>
                    <w:rPr>
                      <w:rFonts w:hint="default" w:ascii="Times New Roman" w:hAnsi="Times New Roman" w:cs="Times New Roman"/>
                      <w:b w:val="0"/>
                      <w:bCs/>
                      <w:color w:val="auto"/>
                      <w:kern w:val="0"/>
                      <w:highlight w:val="none"/>
                      <w:vertAlign w:val="subscript"/>
                    </w:rPr>
                    <w:t>2</w:t>
                  </w:r>
                </w:p>
              </w:tc>
              <w:tc>
                <w:tcPr>
                  <w:tcW w:w="1358" w:type="pct"/>
                  <w:tcBorders>
                    <w:tl2br w:val="nil"/>
                    <w:tr2bl w:val="nil"/>
                  </w:tcBorders>
                  <w:vAlign w:val="center"/>
                </w:tcPr>
                <w:p w14:paraId="571B8CA0">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200</w:t>
                  </w:r>
                </w:p>
              </w:tc>
              <w:tc>
                <w:tcPr>
                  <w:tcW w:w="1436" w:type="pct"/>
                  <w:tcBorders>
                    <w:tl2br w:val="nil"/>
                    <w:tr2bl w:val="nil"/>
                  </w:tcBorders>
                  <w:vAlign w:val="center"/>
                </w:tcPr>
                <w:p w14:paraId="4A0A1C0A">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80</w:t>
                  </w:r>
                </w:p>
              </w:tc>
              <w:tc>
                <w:tcPr>
                  <w:tcW w:w="1291" w:type="pct"/>
                  <w:tcBorders>
                    <w:tl2br w:val="nil"/>
                    <w:tr2bl w:val="nil"/>
                  </w:tcBorders>
                  <w:vAlign w:val="center"/>
                </w:tcPr>
                <w:p w14:paraId="5EEB243E">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40</w:t>
                  </w:r>
                </w:p>
              </w:tc>
            </w:tr>
            <w:tr w14:paraId="4145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3" w:type="pct"/>
                  <w:tcBorders>
                    <w:tl2br w:val="nil"/>
                    <w:tr2bl w:val="nil"/>
                  </w:tcBorders>
                  <w:vAlign w:val="center"/>
                </w:tcPr>
                <w:p w14:paraId="6FA4A39C">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TSP</w:t>
                  </w:r>
                </w:p>
              </w:tc>
              <w:tc>
                <w:tcPr>
                  <w:tcW w:w="1358" w:type="pct"/>
                  <w:tcBorders>
                    <w:tl2br w:val="nil"/>
                    <w:tr2bl w:val="nil"/>
                  </w:tcBorders>
                  <w:vAlign w:val="center"/>
                </w:tcPr>
                <w:p w14:paraId="2C288E38">
                  <w:pPr>
                    <w:widowControl/>
                    <w:jc w:val="center"/>
                    <w:rPr>
                      <w:rFonts w:hint="default" w:ascii="Times New Roman" w:hAnsi="Times New Roman" w:cs="Times New Roman"/>
                      <w:b w:val="0"/>
                      <w:bCs/>
                      <w:color w:val="auto"/>
                      <w:kern w:val="0"/>
                      <w:highlight w:val="none"/>
                    </w:rPr>
                  </w:pPr>
                  <w:r>
                    <w:rPr>
                      <w:rFonts w:hint="default" w:ascii="Times New Roman" w:hAnsi="Times New Roman" w:cs="Times New Roman"/>
                      <w:b w:val="0"/>
                      <w:bCs/>
                      <w:color w:val="auto"/>
                      <w:kern w:val="0"/>
                      <w:highlight w:val="none"/>
                    </w:rPr>
                    <w:t>/</w:t>
                  </w:r>
                </w:p>
              </w:tc>
              <w:tc>
                <w:tcPr>
                  <w:tcW w:w="1436" w:type="pct"/>
                  <w:tcBorders>
                    <w:tl2br w:val="nil"/>
                    <w:tr2bl w:val="nil"/>
                  </w:tcBorders>
                  <w:vAlign w:val="center"/>
                </w:tcPr>
                <w:p w14:paraId="10C74FF4">
                  <w:pPr>
                    <w:widowControl/>
                    <w:jc w:val="center"/>
                    <w:rPr>
                      <w:rFonts w:hint="default" w:ascii="Times New Roman" w:hAnsi="Times New Roman" w:cs="Times New Roman"/>
                      <w:b w:val="0"/>
                      <w:bCs/>
                      <w:color w:val="auto"/>
                      <w:kern w:val="0"/>
                      <w:highlight w:val="none"/>
                    </w:rPr>
                  </w:pPr>
                  <w:r>
                    <w:rPr>
                      <w:rFonts w:hint="eastAsia" w:ascii="Times New Roman" w:hAnsi="Times New Roman" w:cs="Times New Roman"/>
                      <w:b w:val="0"/>
                      <w:bCs/>
                      <w:color w:val="auto"/>
                      <w:kern w:val="0"/>
                      <w:highlight w:val="none"/>
                      <w:lang w:val="en-US" w:eastAsia="zh-CN"/>
                    </w:rPr>
                    <w:t>30</w:t>
                  </w:r>
                  <w:r>
                    <w:rPr>
                      <w:rFonts w:hint="default" w:ascii="Times New Roman" w:hAnsi="Times New Roman" w:cs="Times New Roman"/>
                      <w:b w:val="0"/>
                      <w:bCs/>
                      <w:color w:val="auto"/>
                      <w:kern w:val="0"/>
                      <w:highlight w:val="none"/>
                    </w:rPr>
                    <w:t>0</w:t>
                  </w:r>
                </w:p>
              </w:tc>
              <w:tc>
                <w:tcPr>
                  <w:tcW w:w="1291" w:type="pct"/>
                  <w:tcBorders>
                    <w:tl2br w:val="nil"/>
                    <w:tr2bl w:val="nil"/>
                  </w:tcBorders>
                  <w:vAlign w:val="center"/>
                </w:tcPr>
                <w:p w14:paraId="04F3AC5E">
                  <w:pPr>
                    <w:widowControl/>
                    <w:jc w:val="center"/>
                    <w:rPr>
                      <w:rFonts w:hint="default" w:ascii="Times New Roman" w:hAnsi="Times New Roman" w:cs="Times New Roman"/>
                      <w:b w:val="0"/>
                      <w:bCs/>
                      <w:color w:val="auto"/>
                      <w:kern w:val="0"/>
                      <w:highlight w:val="none"/>
                    </w:rPr>
                  </w:pPr>
                  <w:r>
                    <w:rPr>
                      <w:rFonts w:hint="eastAsia" w:ascii="Times New Roman" w:hAnsi="Times New Roman" w:cs="Times New Roman"/>
                      <w:b w:val="0"/>
                      <w:bCs/>
                      <w:color w:val="auto"/>
                      <w:kern w:val="0"/>
                      <w:highlight w:val="none"/>
                      <w:lang w:val="en-US" w:eastAsia="zh-CN"/>
                    </w:rPr>
                    <w:t>20</w:t>
                  </w:r>
                  <w:r>
                    <w:rPr>
                      <w:rFonts w:hint="default" w:ascii="Times New Roman" w:hAnsi="Times New Roman" w:cs="Times New Roman"/>
                      <w:b w:val="0"/>
                      <w:bCs/>
                      <w:color w:val="auto"/>
                      <w:kern w:val="0"/>
                      <w:highlight w:val="none"/>
                    </w:rPr>
                    <w:t>0</w:t>
                  </w:r>
                </w:p>
              </w:tc>
            </w:tr>
            <w:tr w14:paraId="1063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3" w:type="pct"/>
                  <w:tcBorders>
                    <w:tl2br w:val="nil"/>
                    <w:tr2bl w:val="nil"/>
                  </w:tcBorders>
                  <w:vAlign w:val="center"/>
                </w:tcPr>
                <w:p w14:paraId="0C2DBA62">
                  <w:pPr>
                    <w:widowControl/>
                    <w:jc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PM</w:t>
                  </w:r>
                  <w:r>
                    <w:rPr>
                      <w:rFonts w:hint="default" w:ascii="Times New Roman" w:hAnsi="Times New Roman" w:cs="Times New Roman"/>
                      <w:color w:val="auto"/>
                      <w:kern w:val="0"/>
                      <w:highlight w:val="none"/>
                      <w:vertAlign w:val="subscript"/>
                    </w:rPr>
                    <w:t>10</w:t>
                  </w:r>
                </w:p>
              </w:tc>
              <w:tc>
                <w:tcPr>
                  <w:tcW w:w="1358" w:type="pct"/>
                  <w:tcBorders>
                    <w:tl2br w:val="nil"/>
                    <w:tr2bl w:val="nil"/>
                  </w:tcBorders>
                  <w:vAlign w:val="center"/>
                </w:tcPr>
                <w:p w14:paraId="06CA9D7E">
                  <w:pPr>
                    <w:widowControl/>
                    <w:jc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w:t>
                  </w:r>
                </w:p>
              </w:tc>
              <w:tc>
                <w:tcPr>
                  <w:tcW w:w="1436" w:type="pct"/>
                  <w:tcBorders>
                    <w:tl2br w:val="nil"/>
                    <w:tr2bl w:val="nil"/>
                  </w:tcBorders>
                  <w:vAlign w:val="center"/>
                </w:tcPr>
                <w:p w14:paraId="5F993AA9">
                  <w:pPr>
                    <w:widowControl/>
                    <w:jc w:val="center"/>
                    <w:rPr>
                      <w:rFonts w:hint="default"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12</w:t>
                  </w:r>
                  <w:r>
                    <w:rPr>
                      <w:rFonts w:hint="default" w:ascii="Times New Roman" w:hAnsi="Times New Roman" w:cs="Times New Roman"/>
                      <w:color w:val="auto"/>
                      <w:kern w:val="0"/>
                      <w:highlight w:val="none"/>
                    </w:rPr>
                    <w:t>0</w:t>
                  </w:r>
                </w:p>
              </w:tc>
              <w:tc>
                <w:tcPr>
                  <w:tcW w:w="1291" w:type="pct"/>
                  <w:tcBorders>
                    <w:tl2br w:val="nil"/>
                    <w:tr2bl w:val="nil"/>
                  </w:tcBorders>
                  <w:vAlign w:val="center"/>
                </w:tcPr>
                <w:p w14:paraId="69EF610F">
                  <w:pPr>
                    <w:widowControl/>
                    <w:jc w:val="center"/>
                    <w:rPr>
                      <w:rFonts w:hint="default"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6</w:t>
                  </w:r>
                  <w:r>
                    <w:rPr>
                      <w:rFonts w:hint="default" w:ascii="Times New Roman" w:hAnsi="Times New Roman" w:cs="Times New Roman"/>
                      <w:color w:val="auto"/>
                      <w:kern w:val="0"/>
                      <w:highlight w:val="none"/>
                    </w:rPr>
                    <w:t>0</w:t>
                  </w:r>
                </w:p>
              </w:tc>
            </w:tr>
            <w:tr w14:paraId="7797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3" w:type="pct"/>
                  <w:tcBorders>
                    <w:tl2br w:val="nil"/>
                    <w:tr2bl w:val="nil"/>
                  </w:tcBorders>
                  <w:vAlign w:val="center"/>
                </w:tcPr>
                <w:p w14:paraId="5D936DE3">
                  <w:pPr>
                    <w:widowControl/>
                    <w:jc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PM</w:t>
                  </w:r>
                  <w:r>
                    <w:rPr>
                      <w:rFonts w:hint="default" w:ascii="Times New Roman" w:hAnsi="Times New Roman" w:cs="Times New Roman"/>
                      <w:color w:val="auto"/>
                      <w:kern w:val="0"/>
                      <w:highlight w:val="none"/>
                      <w:vertAlign w:val="subscript"/>
                    </w:rPr>
                    <w:t>2.5</w:t>
                  </w:r>
                </w:p>
              </w:tc>
              <w:tc>
                <w:tcPr>
                  <w:tcW w:w="1358" w:type="pct"/>
                  <w:tcBorders>
                    <w:tl2br w:val="nil"/>
                    <w:tr2bl w:val="nil"/>
                  </w:tcBorders>
                  <w:vAlign w:val="center"/>
                </w:tcPr>
                <w:p w14:paraId="20CC919C">
                  <w:pPr>
                    <w:widowControl/>
                    <w:jc w:val="center"/>
                    <w:rPr>
                      <w:rFonts w:hint="eastAsia"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w:t>
                  </w:r>
                </w:p>
              </w:tc>
              <w:tc>
                <w:tcPr>
                  <w:tcW w:w="1436" w:type="pct"/>
                  <w:tcBorders>
                    <w:tl2br w:val="nil"/>
                    <w:tr2bl w:val="nil"/>
                  </w:tcBorders>
                  <w:vAlign w:val="center"/>
                </w:tcPr>
                <w:p w14:paraId="3E3B4297">
                  <w:pPr>
                    <w:widowControl/>
                    <w:jc w:val="center"/>
                    <w:rPr>
                      <w:rFonts w:hint="default" w:ascii="Times New Roman" w:hAnsi="Times New Roman" w:cs="Times New Roman"/>
                      <w:color w:val="auto"/>
                      <w:kern w:val="0"/>
                      <w:highlight w:val="none"/>
                      <w:lang w:val="en-US"/>
                    </w:rPr>
                  </w:pPr>
                  <w:r>
                    <w:rPr>
                      <w:rFonts w:hint="eastAsia" w:cs="Times New Roman"/>
                      <w:color w:val="auto"/>
                      <w:kern w:val="0"/>
                      <w:highlight w:val="none"/>
                      <w:lang w:val="en-US" w:eastAsia="zh-CN"/>
                    </w:rPr>
                    <w:t>60</w:t>
                  </w:r>
                </w:p>
              </w:tc>
              <w:tc>
                <w:tcPr>
                  <w:tcW w:w="1291" w:type="pct"/>
                  <w:tcBorders>
                    <w:tl2br w:val="nil"/>
                    <w:tr2bl w:val="nil"/>
                  </w:tcBorders>
                  <w:vAlign w:val="center"/>
                </w:tcPr>
                <w:p w14:paraId="1C842927">
                  <w:pPr>
                    <w:widowControl/>
                    <w:jc w:val="center"/>
                    <w:rPr>
                      <w:rFonts w:hint="eastAsia" w:ascii="Times New Roman" w:hAnsi="Times New Roman" w:eastAsia="宋体" w:cs="Times New Roman"/>
                      <w:color w:val="auto"/>
                      <w:kern w:val="0"/>
                      <w:highlight w:val="none"/>
                      <w:lang w:eastAsia="zh-CN"/>
                    </w:rPr>
                  </w:pPr>
                  <w:r>
                    <w:rPr>
                      <w:rFonts w:hint="eastAsia" w:cs="Times New Roman"/>
                      <w:color w:val="auto"/>
                      <w:kern w:val="0"/>
                      <w:highlight w:val="none"/>
                      <w:lang w:val="en-US" w:eastAsia="zh-CN"/>
                    </w:rPr>
                    <w:t>3</w:t>
                  </w:r>
                  <w:r>
                    <w:rPr>
                      <w:rFonts w:hint="eastAsia" w:ascii="Times New Roman" w:hAnsi="Times New Roman" w:cs="Times New Roman"/>
                      <w:color w:val="auto"/>
                      <w:kern w:val="0"/>
                      <w:highlight w:val="none"/>
                      <w:lang w:val="en-US" w:eastAsia="zh-CN"/>
                    </w:rPr>
                    <w:t>0</w:t>
                  </w:r>
                </w:p>
              </w:tc>
            </w:tr>
            <w:tr w14:paraId="1688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3" w:type="pct"/>
                  <w:tcBorders>
                    <w:tl2br w:val="nil"/>
                    <w:tr2bl w:val="nil"/>
                  </w:tcBorders>
                  <w:vAlign w:val="center"/>
                </w:tcPr>
                <w:p w14:paraId="133A9F35">
                  <w:pPr>
                    <w:widowControl/>
                    <w:jc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O</w:t>
                  </w:r>
                  <w:r>
                    <w:rPr>
                      <w:rFonts w:hint="default" w:ascii="Times New Roman" w:hAnsi="Times New Roman" w:cs="Times New Roman"/>
                      <w:color w:val="auto"/>
                      <w:kern w:val="0"/>
                      <w:highlight w:val="none"/>
                      <w:vertAlign w:val="subscript"/>
                    </w:rPr>
                    <w:t>3</w:t>
                  </w:r>
                </w:p>
              </w:tc>
              <w:tc>
                <w:tcPr>
                  <w:tcW w:w="1358" w:type="pct"/>
                  <w:tcBorders>
                    <w:tl2br w:val="nil"/>
                    <w:tr2bl w:val="nil"/>
                  </w:tcBorders>
                  <w:vAlign w:val="center"/>
                </w:tcPr>
                <w:p w14:paraId="530BA8B8">
                  <w:pPr>
                    <w:widowControl/>
                    <w:jc w:val="center"/>
                    <w:rPr>
                      <w:rFonts w:hint="default"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20</w:t>
                  </w:r>
                  <w:r>
                    <w:rPr>
                      <w:rFonts w:hint="default" w:ascii="Times New Roman" w:hAnsi="Times New Roman" w:cs="Times New Roman"/>
                      <w:color w:val="auto"/>
                      <w:kern w:val="0"/>
                      <w:highlight w:val="none"/>
                    </w:rPr>
                    <w:t>0</w:t>
                  </w:r>
                </w:p>
              </w:tc>
              <w:tc>
                <w:tcPr>
                  <w:tcW w:w="1436" w:type="pct"/>
                  <w:tcBorders>
                    <w:tl2br w:val="nil"/>
                    <w:tr2bl w:val="nil"/>
                  </w:tcBorders>
                  <w:vAlign w:val="center"/>
                </w:tcPr>
                <w:p w14:paraId="371A1B69">
                  <w:pPr>
                    <w:widowControl/>
                    <w:jc w:val="center"/>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1</w:t>
                  </w:r>
                  <w:r>
                    <w:rPr>
                      <w:rFonts w:hint="eastAsia" w:ascii="Times New Roman" w:hAnsi="Times New Roman" w:cs="Times New Roman"/>
                      <w:color w:val="auto"/>
                      <w:kern w:val="0"/>
                      <w:highlight w:val="none"/>
                      <w:lang w:val="en-US" w:eastAsia="zh-CN"/>
                    </w:rPr>
                    <w:t>6</w:t>
                  </w:r>
                  <w:r>
                    <w:rPr>
                      <w:rFonts w:hint="default" w:ascii="Times New Roman" w:hAnsi="Times New Roman" w:cs="Times New Roman"/>
                      <w:color w:val="auto"/>
                      <w:kern w:val="0"/>
                      <w:highlight w:val="none"/>
                    </w:rPr>
                    <w:t>0</w:t>
                  </w:r>
                  <w:r>
                    <w:rPr>
                      <w:rFonts w:hint="eastAsia"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日最大8h平均）</w:t>
                  </w:r>
                </w:p>
              </w:tc>
              <w:tc>
                <w:tcPr>
                  <w:tcW w:w="1291" w:type="pct"/>
                  <w:tcBorders>
                    <w:tl2br w:val="nil"/>
                    <w:tr2bl w:val="nil"/>
                  </w:tcBorders>
                  <w:vAlign w:val="center"/>
                </w:tcPr>
                <w:p w14:paraId="01AF32D9">
                  <w:pPr>
                    <w:widowControl/>
                    <w:jc w:val="center"/>
                    <w:rPr>
                      <w:rFonts w:hint="eastAsia"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w:t>
                  </w:r>
                </w:p>
              </w:tc>
            </w:tr>
          </w:tbl>
          <w:p w14:paraId="00431A9C">
            <w:pPr>
              <w:numPr>
                <w:ilvl w:val="0"/>
                <w:numId w:val="0"/>
              </w:numPr>
              <w:adjustRightInd w:val="0"/>
              <w:snapToGrid w:val="0"/>
              <w:spacing w:before="156" w:beforeLines="50" w:line="360" w:lineRule="auto"/>
              <w:ind w:leftChars="0"/>
              <w:rPr>
                <w:rFonts w:hint="default"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lang w:eastAsia="zh-CN"/>
              </w:rPr>
              <w:t>（</w:t>
            </w:r>
            <w:r>
              <w:rPr>
                <w:rFonts w:hint="default" w:ascii="Times New Roman" w:hAnsi="Times New Roman" w:eastAsia="宋体" w:cs="Times New Roman"/>
                <w:b/>
                <w:color w:val="auto"/>
                <w:sz w:val="24"/>
                <w:szCs w:val="24"/>
                <w:lang w:val="en-US" w:eastAsia="zh-CN"/>
              </w:rPr>
              <w:t>3</w:t>
            </w:r>
            <w:r>
              <w:rPr>
                <w:rFonts w:hint="default" w:ascii="Times New Roman" w:hAnsi="Times New Roman" w:eastAsia="宋体" w:cs="Times New Roman"/>
                <w:b/>
                <w:color w:val="auto"/>
                <w:sz w:val="24"/>
                <w:szCs w:val="24"/>
                <w:lang w:eastAsia="zh-CN"/>
              </w:rPr>
              <w:t>）</w:t>
            </w:r>
            <w:r>
              <w:rPr>
                <w:rFonts w:hint="default" w:ascii="Times New Roman" w:hAnsi="Times New Roman" w:eastAsia="宋体" w:cs="Times New Roman"/>
                <w:b/>
                <w:color w:val="auto"/>
                <w:sz w:val="24"/>
                <w:szCs w:val="24"/>
              </w:rPr>
              <w:t>声环境质量标准</w:t>
            </w:r>
          </w:p>
          <w:p w14:paraId="46DA280C">
            <w:pPr>
              <w:pStyle w:val="7"/>
              <w:adjustRightInd w:val="0"/>
              <w:snapToGrid w:val="0"/>
              <w:spacing w:line="360" w:lineRule="auto"/>
              <w:ind w:firstLine="480"/>
              <w:rPr>
                <w:rFonts w:hint="default" w:ascii="Times New Roman" w:hAnsi="Times New Roman" w:eastAsia="宋体" w:cs="Times New Roman"/>
                <w:color w:val="auto"/>
                <w:kern w:val="0"/>
                <w:sz w:val="24"/>
                <w:szCs w:val="24"/>
              </w:rPr>
            </w:pPr>
            <w:r>
              <w:rPr>
                <w:rFonts w:hint="default" w:ascii="Times New Roman" w:hAnsi="Times New Roman" w:eastAsia="宋体" w:cs="Times New Roman"/>
                <w:b w:val="0"/>
                <w:bCs w:val="0"/>
                <w:color w:val="auto"/>
                <w:sz w:val="24"/>
                <w:szCs w:val="24"/>
                <w:highlight w:val="none"/>
                <w:lang w:val="en-US" w:eastAsia="zh-CN"/>
              </w:rPr>
              <w:t>拟建项目位于安宁市</w:t>
            </w:r>
            <w:r>
              <w:rPr>
                <w:rFonts w:hint="eastAsia" w:cs="Times New Roman"/>
                <w:b w:val="0"/>
                <w:bCs w:val="0"/>
                <w:color w:val="auto"/>
                <w:sz w:val="24"/>
                <w:szCs w:val="24"/>
                <w:highlight w:val="none"/>
                <w:lang w:val="en-US" w:eastAsia="zh-CN"/>
              </w:rPr>
              <w:t>县街街道办事处、八街</w:t>
            </w:r>
            <w:r>
              <w:rPr>
                <w:rFonts w:hint="eastAsia" w:ascii="Times New Roman" w:hAnsi="Times New Roman" w:eastAsia="宋体" w:cs="Times New Roman"/>
                <w:b w:val="0"/>
                <w:bCs w:val="0"/>
                <w:color w:val="auto"/>
                <w:sz w:val="24"/>
                <w:szCs w:val="24"/>
                <w:highlight w:val="none"/>
                <w:lang w:val="en-US" w:eastAsia="zh-CN"/>
              </w:rPr>
              <w:t>街道办事处</w:t>
            </w:r>
            <w:r>
              <w:rPr>
                <w:rFonts w:hint="default" w:ascii="Times New Roman" w:hAnsi="Times New Roman" w:eastAsia="宋体" w:cs="Times New Roman"/>
                <w:b w:val="0"/>
                <w:bCs w:val="0"/>
                <w:color w:val="auto"/>
                <w:sz w:val="24"/>
                <w:szCs w:val="24"/>
                <w:highlight w:val="none"/>
                <w:lang w:val="en-US" w:eastAsia="zh-CN"/>
              </w:rPr>
              <w:t>等区域，区域执行《声环境质量标准》</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GB3096-2008）2 类区标准</w:t>
            </w:r>
            <w:r>
              <w:rPr>
                <w:rFonts w:hint="eastAsia" w:ascii="Times New Roman" w:hAnsi="Times New Roman" w:eastAsia="宋体" w:cs="Times New Roman"/>
                <w:b w:val="0"/>
                <w:bCs w:val="0"/>
                <w:color w:val="auto"/>
                <w:sz w:val="24"/>
                <w:szCs w:val="24"/>
                <w:highlight w:val="none"/>
                <w:lang w:val="en-US" w:eastAsia="zh-CN"/>
              </w:rPr>
              <w:t>，其中</w:t>
            </w:r>
            <w:r>
              <w:rPr>
                <w:rFonts w:hint="default" w:ascii="Times New Roman" w:hAnsi="Times New Roman" w:eastAsia="宋体" w:cs="Times New Roman"/>
                <w:b w:val="0"/>
                <w:bCs w:val="0"/>
                <w:color w:val="auto"/>
                <w:sz w:val="24"/>
                <w:szCs w:val="24"/>
                <w:highlight w:val="none"/>
                <w:lang w:val="en-US" w:eastAsia="zh-CN"/>
              </w:rPr>
              <w:t>城市主干道两侧35m范围内</w:t>
            </w:r>
            <w:r>
              <w:rPr>
                <w:rFonts w:hint="eastAsia" w:ascii="Times New Roman" w:hAnsi="Times New Roman" w:eastAsia="宋体" w:cs="Times New Roman"/>
                <w:b w:val="0"/>
                <w:bCs w:val="0"/>
                <w:color w:val="auto"/>
                <w:sz w:val="24"/>
                <w:szCs w:val="24"/>
                <w:highlight w:val="none"/>
                <w:lang w:val="en-US" w:eastAsia="zh-CN"/>
              </w:rPr>
              <w:t>执行</w:t>
            </w:r>
            <w:r>
              <w:rPr>
                <w:rFonts w:hint="default" w:ascii="Times New Roman" w:hAnsi="Times New Roman" w:eastAsia="宋体" w:cs="Times New Roman"/>
                <w:b w:val="0"/>
                <w:bCs w:val="0"/>
                <w:color w:val="auto"/>
                <w:sz w:val="24"/>
                <w:szCs w:val="24"/>
                <w:highlight w:val="none"/>
                <w:lang w:val="en-US" w:eastAsia="zh-CN"/>
              </w:rPr>
              <w:t>《声环境质量标准》</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GB3096-2008）</w:t>
            </w:r>
            <w:r>
              <w:rPr>
                <w:rFonts w:hint="eastAsia" w:ascii="Times New Roman" w:hAnsi="Times New Roman" w:eastAsia="宋体" w:cs="Times New Roman"/>
                <w:b w:val="0"/>
                <w:bCs w:val="0"/>
                <w:color w:val="auto"/>
                <w:sz w:val="24"/>
                <w:szCs w:val="24"/>
                <w:highlight w:val="none"/>
                <w:lang w:val="en-US" w:eastAsia="zh-CN"/>
              </w:rPr>
              <w:t>4a</w:t>
            </w:r>
            <w:r>
              <w:rPr>
                <w:rFonts w:hint="default" w:ascii="Times New Roman" w:hAnsi="Times New Roman" w:eastAsia="宋体" w:cs="Times New Roman"/>
                <w:b w:val="0"/>
                <w:bCs w:val="0"/>
                <w:color w:val="auto"/>
                <w:sz w:val="24"/>
                <w:szCs w:val="24"/>
                <w:highlight w:val="none"/>
                <w:lang w:val="en-US" w:eastAsia="zh-CN"/>
              </w:rPr>
              <w:t>类标准。标准限值见</w:t>
            </w:r>
            <w:r>
              <w:rPr>
                <w:rFonts w:hint="eastAsia" w:ascii="Times New Roman" w:hAnsi="Times New Roman" w:eastAsia="宋体" w:cs="Times New Roman"/>
                <w:b w:val="0"/>
                <w:bCs w:val="0"/>
                <w:color w:val="auto"/>
                <w:sz w:val="24"/>
                <w:szCs w:val="24"/>
                <w:highlight w:val="none"/>
                <w:lang w:val="en-US" w:eastAsia="zh-CN"/>
              </w:rPr>
              <w:t>下</w:t>
            </w:r>
            <w:r>
              <w:rPr>
                <w:rFonts w:hint="default" w:ascii="Times New Roman" w:hAnsi="Times New Roman" w:eastAsia="宋体" w:cs="Times New Roman"/>
                <w:b w:val="0"/>
                <w:bCs w:val="0"/>
                <w:color w:val="auto"/>
                <w:sz w:val="24"/>
                <w:szCs w:val="24"/>
                <w:highlight w:val="none"/>
                <w:lang w:val="en-US" w:eastAsia="zh-CN"/>
              </w:rPr>
              <w:t>表。</w:t>
            </w:r>
          </w:p>
          <w:p w14:paraId="24A5447F">
            <w:pPr>
              <w:adjustRightInd w:val="0"/>
              <w:snapToGrid w:val="0"/>
              <w:spacing w:line="360" w:lineRule="auto"/>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表</w:t>
            </w:r>
            <w:r>
              <w:rPr>
                <w:rFonts w:hint="default" w:ascii="Times New Roman" w:hAnsi="Times New Roman" w:eastAsia="宋体" w:cs="Times New Roman"/>
                <w:b/>
                <w:bCs/>
                <w:color w:val="auto"/>
                <w:sz w:val="24"/>
                <w:lang w:val="en-US" w:eastAsia="zh-CN"/>
              </w:rPr>
              <w:t>3-1</w:t>
            </w:r>
            <w:r>
              <w:rPr>
                <w:rFonts w:hint="eastAsia" w:cs="Times New Roman"/>
                <w:b/>
                <w:bCs/>
                <w:color w:val="auto"/>
                <w:sz w:val="24"/>
                <w:lang w:val="en-US" w:eastAsia="zh-CN"/>
              </w:rPr>
              <w:t>4</w:t>
            </w:r>
            <w:r>
              <w:rPr>
                <w:rFonts w:hint="default" w:ascii="Times New Roman" w:hAnsi="Times New Roman" w:eastAsia="宋体" w:cs="Times New Roman"/>
                <w:b/>
                <w:bCs/>
                <w:color w:val="auto"/>
                <w:sz w:val="24"/>
              </w:rPr>
              <w:t xml:space="preserve">     声环境质量标准</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3709"/>
              <w:gridCol w:w="1696"/>
              <w:gridCol w:w="1567"/>
            </w:tblGrid>
            <w:tr w14:paraId="4A0F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083" w:type="dxa"/>
                  <w:vMerge w:val="restart"/>
                  <w:noWrap w:val="0"/>
                  <w:vAlign w:val="center"/>
                </w:tcPr>
                <w:p w14:paraId="45D0B2E4">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类别</w:t>
                  </w:r>
                </w:p>
              </w:tc>
              <w:tc>
                <w:tcPr>
                  <w:tcW w:w="3709" w:type="dxa"/>
                  <w:vMerge w:val="restart"/>
                  <w:noWrap w:val="0"/>
                  <w:vAlign w:val="center"/>
                </w:tcPr>
                <w:p w14:paraId="5A0E9A55">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适用区域</w:t>
                  </w:r>
                </w:p>
              </w:tc>
              <w:tc>
                <w:tcPr>
                  <w:tcW w:w="3263" w:type="dxa"/>
                  <w:gridSpan w:val="2"/>
                  <w:noWrap w:val="0"/>
                  <w:vAlign w:val="center"/>
                </w:tcPr>
                <w:p w14:paraId="424D6C18">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等效声级[dB</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A</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w:t>
                  </w:r>
                </w:p>
              </w:tc>
            </w:tr>
            <w:tr w14:paraId="1F62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083" w:type="dxa"/>
                  <w:vMerge w:val="continue"/>
                  <w:noWrap w:val="0"/>
                  <w:vAlign w:val="center"/>
                </w:tcPr>
                <w:p w14:paraId="0C6E13C5">
                  <w:pPr>
                    <w:jc w:val="center"/>
                    <w:rPr>
                      <w:rFonts w:hint="default" w:ascii="Times New Roman" w:hAnsi="Times New Roman" w:eastAsia="宋体" w:cs="Times New Roman"/>
                      <w:color w:val="auto"/>
                      <w:sz w:val="21"/>
                      <w:szCs w:val="21"/>
                    </w:rPr>
                  </w:pPr>
                </w:p>
              </w:tc>
              <w:tc>
                <w:tcPr>
                  <w:tcW w:w="3709" w:type="dxa"/>
                  <w:vMerge w:val="continue"/>
                  <w:noWrap w:val="0"/>
                  <w:vAlign w:val="center"/>
                </w:tcPr>
                <w:p w14:paraId="4DAB1351">
                  <w:pPr>
                    <w:jc w:val="center"/>
                    <w:rPr>
                      <w:rFonts w:hint="default" w:ascii="Times New Roman" w:hAnsi="Times New Roman" w:eastAsia="宋体" w:cs="Times New Roman"/>
                      <w:color w:val="auto"/>
                      <w:sz w:val="21"/>
                      <w:szCs w:val="21"/>
                    </w:rPr>
                  </w:pPr>
                </w:p>
              </w:tc>
              <w:tc>
                <w:tcPr>
                  <w:tcW w:w="1696" w:type="dxa"/>
                  <w:noWrap w:val="0"/>
                  <w:vAlign w:val="center"/>
                </w:tcPr>
                <w:p w14:paraId="19CEBC7A">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昼间</w:t>
                  </w:r>
                </w:p>
              </w:tc>
              <w:tc>
                <w:tcPr>
                  <w:tcW w:w="1567" w:type="dxa"/>
                  <w:noWrap w:val="0"/>
                  <w:vAlign w:val="center"/>
                </w:tcPr>
                <w:p w14:paraId="45CF387F">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夜间</w:t>
                  </w:r>
                </w:p>
              </w:tc>
            </w:tr>
            <w:tr w14:paraId="352B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3" w:type="dxa"/>
                  <w:noWrap w:val="0"/>
                  <w:vAlign w:val="center"/>
                </w:tcPr>
                <w:p w14:paraId="4E6903DA">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2类</w:t>
                  </w:r>
                </w:p>
              </w:tc>
              <w:tc>
                <w:tcPr>
                  <w:tcW w:w="3709" w:type="dxa"/>
                  <w:noWrap w:val="0"/>
                  <w:vAlign w:val="center"/>
                </w:tcPr>
                <w:p w14:paraId="40CBA292">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适用于居住、商业、工业混杂区</w:t>
                  </w:r>
                </w:p>
              </w:tc>
              <w:tc>
                <w:tcPr>
                  <w:tcW w:w="1696" w:type="dxa"/>
                  <w:noWrap w:val="0"/>
                  <w:vAlign w:val="center"/>
                </w:tcPr>
                <w:p w14:paraId="3EF7712A">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1567" w:type="dxa"/>
                  <w:noWrap w:val="0"/>
                  <w:vAlign w:val="center"/>
                </w:tcPr>
                <w:p w14:paraId="6631277E">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r>
            <w:tr w14:paraId="670E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83" w:type="dxa"/>
                  <w:noWrap w:val="0"/>
                  <w:vAlign w:val="center"/>
                </w:tcPr>
                <w:p w14:paraId="082B0CF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4a类</w:t>
                  </w:r>
                </w:p>
              </w:tc>
              <w:tc>
                <w:tcPr>
                  <w:tcW w:w="3709" w:type="dxa"/>
                  <w:noWrap w:val="0"/>
                  <w:vAlign w:val="center"/>
                </w:tcPr>
                <w:p w14:paraId="2ED780D7">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rPr>
                    <w:t>城市主干道两侧35m范围内</w:t>
                  </w:r>
                </w:p>
              </w:tc>
              <w:tc>
                <w:tcPr>
                  <w:tcW w:w="1696" w:type="dxa"/>
                  <w:noWrap w:val="0"/>
                  <w:vAlign w:val="center"/>
                </w:tcPr>
                <w:p w14:paraId="73D49DA1">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w:t>
                  </w:r>
                </w:p>
              </w:tc>
              <w:tc>
                <w:tcPr>
                  <w:tcW w:w="1567" w:type="dxa"/>
                  <w:noWrap w:val="0"/>
                  <w:vAlign w:val="center"/>
                </w:tcPr>
                <w:p w14:paraId="3A63D9B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w:t>
                  </w:r>
                </w:p>
              </w:tc>
            </w:tr>
          </w:tbl>
          <w:p w14:paraId="29CAC0B2">
            <w:pPr>
              <w:adjustRightInd w:val="0"/>
              <w:snapToGrid w:val="0"/>
              <w:spacing w:before="156" w:beforeLines="50" w:line="360" w:lineRule="auto"/>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lang w:val="en-US" w:eastAsia="zh-CN"/>
              </w:rPr>
              <w:t>2、污染物排放标准</w:t>
            </w:r>
          </w:p>
          <w:p w14:paraId="63023ADA">
            <w:pPr>
              <w:numPr>
                <w:ilvl w:val="0"/>
                <w:numId w:val="0"/>
              </w:numPr>
              <w:adjustRightInd w:val="0"/>
              <w:snapToGrid w:val="0"/>
              <w:spacing w:before="156" w:beforeLines="50" w:line="360" w:lineRule="auto"/>
              <w:ind w:leftChars="0"/>
              <w:rPr>
                <w:rFonts w:hint="default"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lang w:eastAsia="zh-CN"/>
              </w:rPr>
              <w:t>（</w:t>
            </w:r>
            <w:r>
              <w:rPr>
                <w:rFonts w:hint="default" w:ascii="Times New Roman" w:hAnsi="Times New Roman" w:eastAsia="宋体" w:cs="Times New Roman"/>
                <w:b/>
                <w:color w:val="auto"/>
                <w:sz w:val="24"/>
                <w:szCs w:val="24"/>
                <w:lang w:val="en-US" w:eastAsia="zh-CN"/>
              </w:rPr>
              <w:t>1</w:t>
            </w:r>
            <w:r>
              <w:rPr>
                <w:rFonts w:hint="default" w:ascii="Times New Roman" w:hAnsi="Times New Roman" w:eastAsia="宋体" w:cs="Times New Roman"/>
                <w:b/>
                <w:color w:val="auto"/>
                <w:sz w:val="24"/>
                <w:szCs w:val="24"/>
                <w:lang w:eastAsia="zh-CN"/>
              </w:rPr>
              <w:t>）</w:t>
            </w:r>
            <w:r>
              <w:rPr>
                <w:rFonts w:hint="default" w:ascii="Times New Roman" w:hAnsi="Times New Roman" w:eastAsia="宋体" w:cs="Times New Roman"/>
                <w:b/>
                <w:color w:val="auto"/>
                <w:sz w:val="24"/>
                <w:szCs w:val="24"/>
              </w:rPr>
              <w:t>废气排放标准</w:t>
            </w:r>
          </w:p>
          <w:p w14:paraId="510ACBB6">
            <w:pPr>
              <w:pStyle w:val="7"/>
              <w:adjustRightInd w:val="0"/>
              <w:snapToGrid w:val="0"/>
              <w:spacing w:line="360" w:lineRule="auto"/>
              <w:ind w:firstLine="480"/>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lang w:eastAsia="zh-CN"/>
              </w:rPr>
              <w:t>施工期</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施工过程中过程中产生的无组织排放粉尘，执行</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GB16297-1996）《大气污染物综合排放标准》表 2 无组织排放监测浓度限值，即：周界外颗粒物浓度最高点≤1.0mg/m³。</w:t>
            </w:r>
          </w:p>
          <w:p w14:paraId="2E53FD72">
            <w:pPr>
              <w:pStyle w:val="7"/>
              <w:adjustRightInd w:val="0"/>
              <w:snapToGrid w:val="0"/>
              <w:spacing w:line="360" w:lineRule="auto"/>
              <w:ind w:firstLine="48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lang w:eastAsia="zh-CN"/>
              </w:rPr>
              <w:t>）运营期</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根据项目</w:t>
            </w:r>
            <w:r>
              <w:rPr>
                <w:rFonts w:hint="default" w:ascii="Times New Roman" w:hAnsi="Times New Roman" w:eastAsia="宋体" w:cs="Times New Roman"/>
                <w:color w:val="auto"/>
                <w:sz w:val="24"/>
                <w:szCs w:val="24"/>
                <w:highlight w:val="none"/>
                <w:lang w:val="en-US" w:eastAsia="zh-CN"/>
              </w:rPr>
              <w:t>运行特点，项目</w:t>
            </w:r>
            <w:r>
              <w:rPr>
                <w:rFonts w:hint="default" w:ascii="Times New Roman" w:hAnsi="Times New Roman" w:eastAsia="宋体" w:cs="Times New Roman"/>
                <w:color w:val="auto"/>
                <w:sz w:val="24"/>
                <w:lang w:val="en-US" w:eastAsia="zh-CN"/>
              </w:rPr>
              <w:t>在运行过程中基本不产生、排放废气</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不设置废气排放标准。</w:t>
            </w:r>
          </w:p>
          <w:p w14:paraId="2AF6509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default"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lang w:eastAsia="zh-CN"/>
              </w:rPr>
              <w:t>（</w:t>
            </w:r>
            <w:r>
              <w:rPr>
                <w:rFonts w:hint="default" w:ascii="Times New Roman" w:hAnsi="Times New Roman" w:eastAsia="宋体" w:cs="Times New Roman"/>
                <w:b/>
                <w:color w:val="auto"/>
                <w:sz w:val="24"/>
                <w:szCs w:val="24"/>
                <w:lang w:val="en-US" w:eastAsia="zh-CN"/>
              </w:rPr>
              <w:t>2</w:t>
            </w:r>
            <w:r>
              <w:rPr>
                <w:rFonts w:hint="default" w:ascii="Times New Roman" w:hAnsi="Times New Roman" w:eastAsia="宋体" w:cs="Times New Roman"/>
                <w:b/>
                <w:color w:val="auto"/>
                <w:sz w:val="24"/>
                <w:szCs w:val="24"/>
                <w:lang w:eastAsia="zh-CN"/>
              </w:rPr>
              <w:t>）</w:t>
            </w:r>
            <w:r>
              <w:rPr>
                <w:rFonts w:hint="default" w:ascii="Times New Roman" w:hAnsi="Times New Roman" w:eastAsia="宋体" w:cs="Times New Roman"/>
                <w:b/>
                <w:color w:val="auto"/>
                <w:sz w:val="24"/>
                <w:szCs w:val="24"/>
              </w:rPr>
              <w:t>废水</w:t>
            </w:r>
          </w:p>
          <w:p w14:paraId="4CF83CB0">
            <w:pPr>
              <w:pStyle w:val="7"/>
              <w:adjustRightInd w:val="0"/>
              <w:snapToGrid w:val="0"/>
              <w:spacing w:line="360" w:lineRule="auto"/>
              <w:ind w:firstLine="48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1）施工期</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项目区内不设置施工营地，员工不在项目区内食宿，同时项目区不设置厕所，厕所依托于项目</w:t>
            </w:r>
            <w:r>
              <w:rPr>
                <w:rFonts w:hint="default" w:ascii="Times New Roman" w:hAnsi="Times New Roman" w:eastAsia="宋体" w:cs="Times New Roman"/>
                <w:color w:val="auto"/>
                <w:sz w:val="24"/>
                <w:lang w:val="en-US" w:eastAsia="zh-CN"/>
              </w:rPr>
              <w:t>各施工段</w:t>
            </w:r>
            <w:r>
              <w:rPr>
                <w:rFonts w:hint="default" w:ascii="Times New Roman" w:hAnsi="Times New Roman" w:eastAsia="宋体" w:cs="Times New Roman"/>
                <w:color w:val="auto"/>
                <w:sz w:val="24"/>
              </w:rPr>
              <w:t>周边公共厕所，施工人员租用项目周边的民房，产生的生活污水依托现有民房生活设施处理后进入周边的市政污水管网，施工人员在施工区内仅产生少量洗手等卫生用水，经</w:t>
            </w:r>
            <w:r>
              <w:rPr>
                <w:rFonts w:hint="eastAsia" w:cs="Times New Roman"/>
                <w:color w:val="auto"/>
                <w:sz w:val="24"/>
                <w:lang w:eastAsia="zh-CN"/>
              </w:rPr>
              <w:t>隔油沉淀池</w:t>
            </w:r>
            <w:r>
              <w:rPr>
                <w:rFonts w:hint="default" w:ascii="Times New Roman" w:hAnsi="Times New Roman" w:eastAsia="宋体" w:cs="Times New Roman"/>
                <w:color w:val="auto"/>
                <w:sz w:val="24"/>
              </w:rPr>
              <w:t>处理后回用于场地洒水降尘；项目施工期施工废水产生量小，经临时沉砂池沉淀后回用于施工场地洒水降尘，施工废水不外排。</w:t>
            </w:r>
          </w:p>
          <w:p w14:paraId="7F3DDC1E">
            <w:pPr>
              <w:pStyle w:val="7"/>
              <w:adjustRightInd w:val="0"/>
              <w:snapToGrid w:val="0"/>
              <w:spacing w:line="360" w:lineRule="auto"/>
              <w:ind w:firstLine="480"/>
              <w:rPr>
                <w:rFonts w:hint="eastAsia" w:ascii="Times New Roman" w:hAnsi="Times New Roman" w:eastAsia="宋体" w:cs="Times New Roman"/>
                <w:color w:val="auto"/>
                <w:sz w:val="24"/>
                <w:lang w:eastAsia="zh-CN"/>
              </w:rPr>
            </w:pPr>
            <w:r>
              <w:rPr>
                <w:rFonts w:hint="default" w:ascii="Times New Roman" w:hAnsi="Times New Roman" w:eastAsia="宋体" w:cs="Times New Roman"/>
                <w:color w:val="auto"/>
                <w:sz w:val="24"/>
                <w:lang w:val="en-US" w:eastAsia="zh-CN"/>
              </w:rPr>
              <w:t>2）运营期</w:t>
            </w:r>
            <w:r>
              <w:rPr>
                <w:rFonts w:hint="eastAsia" w:ascii="Times New Roman" w:hAnsi="Times New Roman" w:eastAsia="宋体" w:cs="Times New Roman"/>
                <w:color w:val="auto"/>
                <w:sz w:val="24"/>
                <w:lang w:val="en-US" w:eastAsia="zh-CN"/>
              </w:rPr>
              <w:t>：项目运营期无废水产生</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故</w:t>
            </w:r>
            <w:r>
              <w:rPr>
                <w:rFonts w:hint="eastAsia" w:ascii="Times New Roman" w:hAnsi="Times New Roman" w:eastAsia="宋体" w:cs="Times New Roman"/>
                <w:color w:val="auto"/>
                <w:sz w:val="24"/>
                <w:lang w:eastAsia="zh-CN"/>
              </w:rPr>
              <w:t>不设置废水排放标准。</w:t>
            </w:r>
          </w:p>
          <w:p w14:paraId="684759A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default" w:ascii="Times New Roman" w:hAnsi="Times New Roman" w:eastAsia="宋体" w:cs="Times New Roman"/>
                <w:b/>
                <w:color w:val="auto"/>
                <w:sz w:val="24"/>
                <w:szCs w:val="24"/>
                <w:lang w:eastAsia="zh-CN"/>
              </w:rPr>
            </w:pPr>
            <w:r>
              <w:rPr>
                <w:rFonts w:hint="eastAsia" w:ascii="Times New Roman" w:hAnsi="Times New Roman" w:eastAsia="宋体" w:cs="Times New Roman"/>
                <w:b/>
                <w:color w:val="auto"/>
                <w:sz w:val="24"/>
                <w:szCs w:val="24"/>
                <w:lang w:eastAsia="zh-CN"/>
              </w:rPr>
              <w:t>（</w:t>
            </w:r>
            <w:r>
              <w:rPr>
                <w:rFonts w:hint="default" w:ascii="Times New Roman" w:hAnsi="Times New Roman" w:eastAsia="宋体" w:cs="Times New Roman"/>
                <w:b/>
                <w:color w:val="auto"/>
                <w:sz w:val="24"/>
                <w:szCs w:val="24"/>
                <w:lang w:val="en-US" w:eastAsia="zh-CN"/>
              </w:rPr>
              <w:t>3</w:t>
            </w:r>
            <w:r>
              <w:rPr>
                <w:rFonts w:hint="default" w:ascii="Times New Roman" w:hAnsi="Times New Roman" w:eastAsia="宋体" w:cs="Times New Roman"/>
                <w:b/>
                <w:color w:val="auto"/>
                <w:sz w:val="24"/>
                <w:szCs w:val="24"/>
                <w:lang w:eastAsia="zh-CN"/>
              </w:rPr>
              <w:t>）噪声</w:t>
            </w:r>
          </w:p>
          <w:p w14:paraId="7A8528D8">
            <w:pPr>
              <w:pStyle w:val="35"/>
              <w:snapToGrid/>
              <w:ind w:firstLine="560"/>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1）施工期</w:t>
            </w:r>
          </w:p>
          <w:p w14:paraId="62D4C7EE">
            <w:pPr>
              <w:pStyle w:val="35"/>
              <w:snapToGrid/>
              <w:ind w:firstLine="560"/>
              <w:rPr>
                <w:rFonts w:hint="default" w:ascii="Times New Roman" w:hAnsi="Times New Roman" w:eastAsia="宋体" w:cs="Times New Roman"/>
                <w:b w:val="0"/>
                <w:color w:val="auto"/>
                <w:sz w:val="24"/>
                <w:szCs w:val="24"/>
              </w:rPr>
            </w:pPr>
            <w:r>
              <w:rPr>
                <w:rFonts w:hint="default" w:ascii="Times New Roman" w:hAnsi="Times New Roman" w:eastAsia="宋体" w:cs="Times New Roman"/>
                <w:b w:val="0"/>
                <w:color w:val="auto"/>
                <w:sz w:val="24"/>
                <w:szCs w:val="24"/>
              </w:rPr>
              <w:t>项目施工期间噪声执行</w:t>
            </w:r>
            <w:r>
              <w:rPr>
                <w:rFonts w:hint="default" w:ascii="Times New Roman" w:hAnsi="Times New Roman" w:eastAsia="宋体" w:cs="Times New Roman"/>
                <w:b w:val="0"/>
                <w:bCs/>
                <w:color w:val="auto"/>
                <w:sz w:val="24"/>
                <w:szCs w:val="24"/>
              </w:rPr>
              <w:t>《</w:t>
            </w:r>
            <w:r>
              <w:rPr>
                <w:rFonts w:hint="eastAsia" w:cs="Times New Roman"/>
                <w:b w:val="0"/>
                <w:bCs/>
                <w:color w:val="auto"/>
                <w:sz w:val="24"/>
                <w:szCs w:val="24"/>
                <w:lang w:eastAsia="zh-CN"/>
              </w:rPr>
              <w:t>建筑施工噪声排放标准</w:t>
            </w:r>
            <w:r>
              <w:rPr>
                <w:rFonts w:hint="default" w:ascii="Times New Roman" w:hAnsi="Times New Roman" w:eastAsia="宋体" w:cs="Times New Roman"/>
                <w:b w:val="0"/>
                <w:bCs/>
                <w:color w:val="auto"/>
                <w:sz w:val="24"/>
                <w:szCs w:val="24"/>
              </w:rPr>
              <w:t>》</w:t>
            </w:r>
            <w:r>
              <w:rPr>
                <w:rFonts w:hint="eastAsia" w:ascii="Times New Roman" w:hAnsi="Times New Roman" w:eastAsia="宋体" w:cs="Times New Roman"/>
                <w:b w:val="0"/>
                <w:bCs/>
                <w:color w:val="auto"/>
                <w:sz w:val="24"/>
                <w:szCs w:val="24"/>
                <w:lang w:eastAsia="zh-CN"/>
              </w:rPr>
              <w:t>（</w:t>
            </w:r>
            <w:r>
              <w:rPr>
                <w:rFonts w:hint="eastAsia" w:cs="Times New Roman"/>
                <w:b w:val="0"/>
                <w:bCs/>
                <w:color w:val="auto"/>
                <w:sz w:val="24"/>
                <w:szCs w:val="24"/>
                <w:lang w:eastAsia="zh-CN"/>
              </w:rPr>
              <w:t>GB12523-2025</w:t>
            </w:r>
            <w:r>
              <w:rPr>
                <w:rFonts w:hint="default" w:ascii="Times New Roman" w:hAnsi="Times New Roman" w:eastAsia="宋体" w:cs="Times New Roman"/>
                <w:b w:val="0"/>
                <w:bCs/>
                <w:color w:val="auto"/>
                <w:sz w:val="24"/>
                <w:szCs w:val="24"/>
              </w:rPr>
              <w:t>）</w:t>
            </w:r>
            <w:r>
              <w:rPr>
                <w:rFonts w:hint="default" w:ascii="Times New Roman" w:hAnsi="Times New Roman" w:eastAsia="宋体" w:cs="Times New Roman"/>
                <w:b w:val="0"/>
                <w:color w:val="auto"/>
                <w:sz w:val="24"/>
                <w:szCs w:val="24"/>
              </w:rPr>
              <w:t>，标准值见表</w:t>
            </w:r>
            <w:r>
              <w:rPr>
                <w:rFonts w:hint="default" w:ascii="Times New Roman" w:hAnsi="Times New Roman" w:eastAsia="宋体" w:cs="Times New Roman"/>
                <w:b w:val="0"/>
                <w:color w:val="auto"/>
                <w:sz w:val="24"/>
                <w:szCs w:val="24"/>
                <w:lang w:val="en-US" w:eastAsia="zh-CN"/>
              </w:rPr>
              <w:t>3-1</w:t>
            </w:r>
            <w:r>
              <w:rPr>
                <w:rFonts w:hint="eastAsia" w:cs="Times New Roman"/>
                <w:b w:val="0"/>
                <w:color w:val="auto"/>
                <w:sz w:val="24"/>
                <w:szCs w:val="24"/>
                <w:lang w:val="en-US" w:eastAsia="zh-CN"/>
              </w:rPr>
              <w:t>5</w:t>
            </w:r>
            <w:r>
              <w:rPr>
                <w:rFonts w:hint="default" w:ascii="Times New Roman" w:hAnsi="Times New Roman" w:eastAsia="宋体" w:cs="Times New Roman"/>
                <w:b w:val="0"/>
                <w:color w:val="auto"/>
                <w:sz w:val="24"/>
                <w:szCs w:val="24"/>
              </w:rPr>
              <w:t>。</w:t>
            </w:r>
          </w:p>
          <w:p w14:paraId="713705F5">
            <w:pPr>
              <w:pStyle w:val="35"/>
              <w:snapToGrid/>
              <w:ind w:firstLine="560"/>
              <w:rPr>
                <w:rFonts w:hint="default" w:ascii="Times New Roman" w:hAnsi="Times New Roman" w:eastAsia="宋体" w:cs="Times New Roman"/>
                <w:b w:val="0"/>
                <w:color w:val="auto"/>
                <w:sz w:val="24"/>
                <w:szCs w:val="24"/>
              </w:rPr>
            </w:pPr>
          </w:p>
          <w:p w14:paraId="6561A586">
            <w:pPr>
              <w:spacing w:before="156" w:beforeLines="50" w:after="156" w:afterLines="50"/>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表</w:t>
            </w:r>
            <w:r>
              <w:rPr>
                <w:rFonts w:hint="default" w:ascii="Times New Roman" w:hAnsi="Times New Roman" w:eastAsia="宋体" w:cs="Times New Roman"/>
                <w:b/>
                <w:color w:val="auto"/>
                <w:sz w:val="24"/>
                <w:szCs w:val="24"/>
                <w:lang w:val="en-US" w:eastAsia="zh-CN"/>
              </w:rPr>
              <w:t>3-1</w:t>
            </w:r>
            <w:r>
              <w:rPr>
                <w:rFonts w:hint="eastAsia" w:ascii="Times New Roman" w:hAnsi="Times New Roman" w:eastAsia="宋体" w:cs="Times New Roman"/>
                <w:b/>
                <w:color w:val="auto"/>
                <w:sz w:val="24"/>
                <w:szCs w:val="24"/>
                <w:lang w:val="en-US" w:eastAsia="zh-CN"/>
              </w:rPr>
              <w:t>5</w:t>
            </w:r>
            <w:r>
              <w:rPr>
                <w:rFonts w:hint="default" w:ascii="Times New Roman" w:hAnsi="Times New Roman" w:eastAsia="宋体" w:cs="Times New Roman"/>
                <w:b/>
                <w:color w:val="auto"/>
                <w:sz w:val="24"/>
                <w:szCs w:val="24"/>
              </w:rPr>
              <w:t xml:space="preserve">    建筑施工噪声排放标准      单位</w:t>
            </w:r>
            <w:r>
              <w:rPr>
                <w:rFonts w:hint="eastAsia" w:ascii="Times New Roman" w:hAnsi="Times New Roman" w:eastAsia="宋体" w:cs="Times New Roman"/>
                <w:b/>
                <w:color w:val="auto"/>
                <w:sz w:val="24"/>
                <w:szCs w:val="24"/>
                <w:lang w:eastAsia="zh-CN"/>
              </w:rPr>
              <w:t>：</w:t>
            </w:r>
            <w:r>
              <w:rPr>
                <w:rFonts w:hint="default" w:ascii="Times New Roman" w:hAnsi="Times New Roman" w:eastAsia="宋体" w:cs="Times New Roman"/>
                <w:b/>
                <w:color w:val="auto"/>
                <w:sz w:val="24"/>
                <w:szCs w:val="24"/>
              </w:rPr>
              <w:t xml:space="preserve"> dB</w:t>
            </w:r>
            <w:r>
              <w:rPr>
                <w:rFonts w:hint="eastAsia" w:ascii="Times New Roman" w:hAnsi="Times New Roman" w:eastAsia="宋体" w:cs="Times New Roman"/>
                <w:b/>
                <w:color w:val="auto"/>
                <w:sz w:val="24"/>
                <w:szCs w:val="24"/>
                <w:lang w:eastAsia="zh-CN"/>
              </w:rPr>
              <w:t>（</w:t>
            </w:r>
            <w:r>
              <w:rPr>
                <w:rFonts w:hint="default" w:ascii="Times New Roman" w:hAnsi="Times New Roman" w:eastAsia="宋体" w:cs="Times New Roman"/>
                <w:b/>
                <w:color w:val="auto"/>
                <w:sz w:val="24"/>
                <w:szCs w:val="24"/>
              </w:rPr>
              <w:t>A）</w:t>
            </w:r>
          </w:p>
          <w:tbl>
            <w:tblPr>
              <w:tblStyle w:val="26"/>
              <w:tblW w:w="7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5"/>
              <w:gridCol w:w="4077"/>
            </w:tblGrid>
            <w:tr w14:paraId="4525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5" w:type="dxa"/>
                  <w:noWrap w:val="0"/>
                  <w:vAlign w:val="center"/>
                </w:tcPr>
                <w:p w14:paraId="32014E92">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昼间</w:t>
                  </w:r>
                </w:p>
              </w:tc>
              <w:tc>
                <w:tcPr>
                  <w:tcW w:w="4077" w:type="dxa"/>
                  <w:noWrap w:val="0"/>
                  <w:vAlign w:val="center"/>
                </w:tcPr>
                <w:p w14:paraId="711FAEEB">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夜间</w:t>
                  </w:r>
                </w:p>
              </w:tc>
            </w:tr>
            <w:tr w14:paraId="5E26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5" w:type="dxa"/>
                  <w:noWrap w:val="0"/>
                  <w:vAlign w:val="center"/>
                </w:tcPr>
                <w:p w14:paraId="1BFAA74C">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70</w:t>
                  </w:r>
                </w:p>
              </w:tc>
              <w:tc>
                <w:tcPr>
                  <w:tcW w:w="4077" w:type="dxa"/>
                  <w:noWrap w:val="0"/>
                  <w:vAlign w:val="center"/>
                </w:tcPr>
                <w:p w14:paraId="58AA353F">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55</w:t>
                  </w:r>
                </w:p>
              </w:tc>
            </w:tr>
          </w:tbl>
          <w:p w14:paraId="5B774757">
            <w:pPr>
              <w:pStyle w:val="35"/>
              <w:keepNext w:val="0"/>
              <w:keepLines w:val="0"/>
              <w:pageBreakBefore w:val="0"/>
              <w:widowControl w:val="0"/>
              <w:kinsoku/>
              <w:wordWrap/>
              <w:overflowPunct/>
              <w:topLinePunct w:val="0"/>
              <w:autoSpaceDE/>
              <w:autoSpaceDN/>
              <w:bidi w:val="0"/>
              <w:adjustRightInd/>
              <w:snapToGrid/>
              <w:spacing w:before="157" w:beforeLines="50"/>
              <w:ind w:firstLine="561"/>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2）运营期</w:t>
            </w:r>
          </w:p>
          <w:p w14:paraId="37DD4166">
            <w:pPr>
              <w:pStyle w:val="35"/>
              <w:snapToGrid/>
              <w:ind w:firstLine="560"/>
              <w:rPr>
                <w:rFonts w:hint="default" w:ascii="Times New Roman" w:hAnsi="Times New Roman" w:eastAsia="宋体" w:cs="Times New Roman"/>
                <w:b w:val="0"/>
                <w:color w:val="auto"/>
                <w:sz w:val="24"/>
                <w:szCs w:val="24"/>
              </w:rPr>
            </w:pPr>
            <w:r>
              <w:rPr>
                <w:rFonts w:hint="eastAsia" w:ascii="Times New Roman" w:hAnsi="Times New Roman" w:eastAsia="宋体" w:cs="Times New Roman"/>
                <w:b w:val="0"/>
                <w:color w:val="auto"/>
                <w:sz w:val="24"/>
                <w:szCs w:val="24"/>
                <w:lang w:val="en-US" w:eastAsia="zh-CN"/>
              </w:rPr>
              <w:t>本</w:t>
            </w:r>
            <w:r>
              <w:rPr>
                <w:rFonts w:hint="default" w:ascii="Times New Roman" w:hAnsi="Times New Roman" w:eastAsia="宋体" w:cs="Times New Roman"/>
                <w:b w:val="0"/>
                <w:color w:val="auto"/>
                <w:sz w:val="24"/>
                <w:szCs w:val="24"/>
              </w:rPr>
              <w:t>项目</w:t>
            </w:r>
            <w:r>
              <w:rPr>
                <w:rFonts w:hint="eastAsia" w:ascii="Times New Roman" w:hAnsi="Times New Roman" w:eastAsia="宋体" w:cs="Times New Roman"/>
                <w:b w:val="0"/>
                <w:color w:val="auto"/>
                <w:sz w:val="24"/>
                <w:szCs w:val="24"/>
                <w:lang w:val="en-US" w:eastAsia="zh-CN"/>
              </w:rPr>
              <w:t>属于引水工程，提升泵站内装有3</w:t>
            </w:r>
            <w:r>
              <w:rPr>
                <w:rFonts w:hint="eastAsia" w:ascii="Times New Roman" w:hAnsi="Times New Roman" w:eastAsia="宋体" w:cs="Times New Roman"/>
                <w:b w:val="0"/>
                <w:color w:val="auto"/>
                <w:sz w:val="24"/>
                <w:szCs w:val="24"/>
              </w:rPr>
              <w:t>台</w:t>
            </w:r>
            <w:r>
              <w:rPr>
                <w:rFonts w:hint="eastAsia" w:ascii="Times New Roman" w:hAnsi="Times New Roman" w:eastAsia="宋体" w:cs="Times New Roman"/>
                <w:b w:val="0"/>
                <w:color w:val="auto"/>
                <w:sz w:val="24"/>
                <w:szCs w:val="24"/>
                <w:lang w:val="en-US" w:eastAsia="zh-CN"/>
              </w:rPr>
              <w:t>90</w:t>
            </w:r>
            <w:r>
              <w:rPr>
                <w:rFonts w:hint="eastAsia" w:ascii="Times New Roman" w:hAnsi="Times New Roman" w:eastAsia="宋体" w:cs="Times New Roman"/>
                <w:b w:val="0"/>
                <w:color w:val="auto"/>
                <w:sz w:val="24"/>
                <w:szCs w:val="24"/>
              </w:rPr>
              <w:t>kW</w:t>
            </w:r>
            <w:r>
              <w:rPr>
                <w:rFonts w:hint="eastAsia" w:ascii="Times New Roman" w:hAnsi="Times New Roman" w:eastAsia="宋体" w:cs="Times New Roman"/>
                <w:b w:val="0"/>
                <w:color w:val="auto"/>
                <w:sz w:val="24"/>
                <w:szCs w:val="24"/>
                <w:lang w:val="en-US" w:eastAsia="zh-CN"/>
              </w:rPr>
              <w:t>（</w:t>
            </w:r>
            <w:r>
              <w:rPr>
                <w:rFonts w:hint="default" w:ascii="Times New Roman" w:hAnsi="Times New Roman" w:eastAsia="宋体" w:cs="Times New Roman"/>
                <w:b w:val="0"/>
                <w:color w:val="auto"/>
                <w:sz w:val="24"/>
                <w:szCs w:val="24"/>
                <w:lang w:val="en-US" w:eastAsia="zh-CN"/>
              </w:rPr>
              <w:t>2 用 1 备）</w:t>
            </w:r>
            <w:r>
              <w:rPr>
                <w:rFonts w:hint="eastAsia" w:ascii="Times New Roman" w:hAnsi="Times New Roman" w:eastAsia="宋体" w:cs="Times New Roman"/>
                <w:b w:val="0"/>
                <w:color w:val="auto"/>
                <w:sz w:val="24"/>
                <w:szCs w:val="24"/>
              </w:rPr>
              <w:t>的</w:t>
            </w:r>
            <w:r>
              <w:rPr>
                <w:rFonts w:hint="eastAsia" w:ascii="Times New Roman" w:hAnsi="Times New Roman" w:eastAsia="宋体" w:cs="Times New Roman"/>
                <w:b w:val="0"/>
                <w:color w:val="auto"/>
                <w:sz w:val="24"/>
                <w:szCs w:val="24"/>
                <w:lang w:val="en-US" w:eastAsia="zh-CN"/>
              </w:rPr>
              <w:t>小型</w:t>
            </w:r>
            <w:r>
              <w:rPr>
                <w:rFonts w:hint="eastAsia" w:ascii="Times New Roman" w:hAnsi="Times New Roman" w:eastAsia="宋体" w:cs="Times New Roman"/>
                <w:b w:val="0"/>
                <w:color w:val="auto"/>
                <w:sz w:val="24"/>
                <w:szCs w:val="24"/>
              </w:rPr>
              <w:t>水泵电机组，</w:t>
            </w:r>
            <w:r>
              <w:rPr>
                <w:rFonts w:hint="eastAsia" w:ascii="Times New Roman" w:hAnsi="Times New Roman" w:eastAsia="宋体" w:cs="Times New Roman"/>
                <w:b w:val="0"/>
                <w:color w:val="auto"/>
                <w:sz w:val="24"/>
                <w:szCs w:val="24"/>
                <w:lang w:val="en-US" w:eastAsia="zh-CN"/>
              </w:rPr>
              <w:t>泵站</w:t>
            </w:r>
            <w:r>
              <w:rPr>
                <w:rFonts w:hint="default" w:ascii="Times New Roman" w:hAnsi="Times New Roman" w:eastAsia="宋体" w:cs="Times New Roman"/>
                <w:b w:val="0"/>
                <w:color w:val="auto"/>
                <w:sz w:val="24"/>
                <w:szCs w:val="24"/>
              </w:rPr>
              <w:t>营运期噪声污染排放执行</w:t>
            </w:r>
            <w:r>
              <w:rPr>
                <w:rFonts w:hint="eastAsia" w:ascii="Times New Roman" w:hAnsi="Times New Roman" w:eastAsia="宋体" w:cs="Times New Roman"/>
                <w:b w:val="0"/>
                <w:color w:val="auto"/>
                <w:sz w:val="24"/>
                <w:szCs w:val="24"/>
              </w:rPr>
              <w:t>《工业企业厂界环境噪声排放标准》</w:t>
            </w:r>
            <w:r>
              <w:rPr>
                <w:rFonts w:hint="eastAsia" w:ascii="Times New Roman" w:hAnsi="Times New Roman" w:eastAsia="宋体" w:cs="Times New Roman"/>
                <w:b w:val="0"/>
                <w:color w:val="auto"/>
                <w:sz w:val="24"/>
                <w:szCs w:val="24"/>
                <w:lang w:eastAsia="zh-CN"/>
              </w:rPr>
              <w:t>（</w:t>
            </w:r>
            <w:r>
              <w:rPr>
                <w:rFonts w:hint="eastAsia" w:ascii="Times New Roman" w:hAnsi="Times New Roman" w:eastAsia="宋体" w:cs="Times New Roman"/>
                <w:b w:val="0"/>
                <w:color w:val="auto"/>
                <w:sz w:val="24"/>
                <w:szCs w:val="24"/>
              </w:rPr>
              <w:t>GB12348-2008）2类标准</w:t>
            </w:r>
            <w:r>
              <w:rPr>
                <w:rFonts w:hint="default" w:ascii="Times New Roman" w:hAnsi="Times New Roman" w:eastAsia="宋体" w:cs="Times New Roman"/>
                <w:b w:val="0"/>
                <w:color w:val="auto"/>
                <w:sz w:val="24"/>
                <w:szCs w:val="24"/>
              </w:rPr>
              <w:t>。标准值见</w:t>
            </w:r>
            <w:r>
              <w:rPr>
                <w:rFonts w:hint="eastAsia" w:ascii="Times New Roman" w:hAnsi="Times New Roman" w:eastAsia="宋体" w:cs="Times New Roman"/>
                <w:b w:val="0"/>
                <w:color w:val="auto"/>
                <w:sz w:val="24"/>
                <w:szCs w:val="24"/>
                <w:lang w:val="en-US" w:eastAsia="zh-CN"/>
              </w:rPr>
              <w:t>下</w:t>
            </w:r>
            <w:r>
              <w:rPr>
                <w:rFonts w:hint="default" w:ascii="Times New Roman" w:hAnsi="Times New Roman" w:eastAsia="宋体" w:cs="Times New Roman"/>
                <w:b w:val="0"/>
                <w:color w:val="auto"/>
                <w:sz w:val="24"/>
                <w:szCs w:val="24"/>
              </w:rPr>
              <w:t>表。</w:t>
            </w:r>
          </w:p>
          <w:p w14:paraId="53495DEF">
            <w:pPr>
              <w:adjustRightInd w:val="0"/>
              <w:snapToGrid w:val="0"/>
              <w:spacing w:line="360" w:lineRule="auto"/>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表</w:t>
            </w:r>
            <w:r>
              <w:rPr>
                <w:rFonts w:hint="default" w:ascii="Times New Roman" w:hAnsi="Times New Roman" w:eastAsia="宋体" w:cs="Times New Roman"/>
                <w:b/>
                <w:bCs/>
                <w:color w:val="auto"/>
                <w:sz w:val="24"/>
                <w:lang w:val="en-US" w:eastAsia="zh-CN"/>
              </w:rPr>
              <w:t>3-1</w:t>
            </w:r>
            <w:r>
              <w:rPr>
                <w:rFonts w:hint="eastAsia" w:cs="Times New Roman"/>
                <w:b/>
                <w:bCs/>
                <w:color w:val="auto"/>
                <w:sz w:val="24"/>
                <w:lang w:val="en-US" w:eastAsia="zh-CN"/>
              </w:rPr>
              <w:t>6</w:t>
            </w:r>
            <w:r>
              <w:rPr>
                <w:rFonts w:hint="default" w:ascii="Times New Roman" w:hAnsi="Times New Roman" w:eastAsia="宋体" w:cs="Times New Roman"/>
                <w:b/>
                <w:bCs/>
                <w:color w:val="auto"/>
                <w:sz w:val="24"/>
              </w:rPr>
              <w:t xml:space="preserve">     工业企业厂界环境噪声排放标准限值 Leq[dB</w:t>
            </w:r>
            <w:r>
              <w:rPr>
                <w:rFonts w:hint="eastAsia"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rPr>
              <w:t>A</w:t>
            </w:r>
            <w:r>
              <w:rPr>
                <w:rFonts w:hint="eastAsia"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rPr>
              <w:t>]</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3"/>
              <w:gridCol w:w="2189"/>
              <w:gridCol w:w="2100"/>
            </w:tblGrid>
            <w:tr w14:paraId="3F67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1" w:type="pct"/>
                  <w:tcBorders>
                    <w:tl2br w:val="single" w:color="auto" w:sz="4" w:space="0"/>
                  </w:tcBorders>
                  <w:noWrap w:val="0"/>
                  <w:vAlign w:val="center"/>
                </w:tcPr>
                <w:p w14:paraId="6DA12416">
                  <w:pPr>
                    <w:pStyle w:val="54"/>
                    <w:spacing w:line="240" w:lineRule="auto"/>
                    <w:rPr>
                      <w:rFonts w:hint="default" w:ascii="Times New Roman" w:hAnsi="Times New Roman" w:cs="Times New Roman"/>
                      <w:b w:val="0"/>
                      <w:bCs/>
                      <w:color w:val="auto"/>
                    </w:rPr>
                  </w:pPr>
                  <w:r>
                    <w:rPr>
                      <w:rFonts w:hint="default" w:ascii="Times New Roman" w:hAnsi="Times New Roman" w:cs="Times New Roman"/>
                      <w:b w:val="0"/>
                      <w:bCs/>
                      <w:color w:val="auto"/>
                    </w:rPr>
                    <w:t xml:space="preserve">            时段</w:t>
                  </w:r>
                </w:p>
                <w:p w14:paraId="52C76C79">
                  <w:pPr>
                    <w:pStyle w:val="54"/>
                    <w:spacing w:line="240" w:lineRule="auto"/>
                    <w:jc w:val="both"/>
                    <w:rPr>
                      <w:rFonts w:hint="default" w:ascii="Times New Roman" w:hAnsi="Times New Roman" w:cs="Times New Roman"/>
                      <w:b w:val="0"/>
                      <w:bCs/>
                      <w:color w:val="auto"/>
                    </w:rPr>
                  </w:pPr>
                  <w:r>
                    <w:rPr>
                      <w:rFonts w:hint="default" w:ascii="Times New Roman" w:hAnsi="Times New Roman" w:cs="Times New Roman"/>
                      <w:b w:val="0"/>
                      <w:bCs/>
                      <w:color w:val="auto"/>
                    </w:rPr>
                    <w:t>边界外声环境功能区类别</w:t>
                  </w:r>
                </w:p>
              </w:tc>
              <w:tc>
                <w:tcPr>
                  <w:tcW w:w="1331" w:type="pct"/>
                  <w:noWrap w:val="0"/>
                  <w:vAlign w:val="center"/>
                </w:tcPr>
                <w:p w14:paraId="27B3939E">
                  <w:pPr>
                    <w:pStyle w:val="54"/>
                    <w:spacing w:line="240" w:lineRule="auto"/>
                    <w:rPr>
                      <w:rFonts w:hint="default" w:ascii="Times New Roman" w:hAnsi="Times New Roman" w:cs="Times New Roman"/>
                      <w:b w:val="0"/>
                      <w:bCs/>
                      <w:color w:val="auto"/>
                    </w:rPr>
                  </w:pPr>
                  <w:r>
                    <w:rPr>
                      <w:rFonts w:hint="default" w:ascii="Times New Roman" w:hAnsi="Times New Roman" w:cs="Times New Roman"/>
                      <w:b w:val="0"/>
                      <w:bCs/>
                      <w:color w:val="auto"/>
                    </w:rPr>
                    <w:t>昼间</w:t>
                  </w:r>
                </w:p>
              </w:tc>
              <w:tc>
                <w:tcPr>
                  <w:tcW w:w="1276" w:type="pct"/>
                  <w:noWrap w:val="0"/>
                  <w:vAlign w:val="center"/>
                </w:tcPr>
                <w:p w14:paraId="7918FBCE">
                  <w:pPr>
                    <w:pStyle w:val="54"/>
                    <w:spacing w:line="240" w:lineRule="auto"/>
                    <w:rPr>
                      <w:rFonts w:hint="default" w:ascii="Times New Roman" w:hAnsi="Times New Roman" w:cs="Times New Roman"/>
                      <w:b w:val="0"/>
                      <w:bCs/>
                      <w:color w:val="auto"/>
                    </w:rPr>
                  </w:pPr>
                  <w:r>
                    <w:rPr>
                      <w:rFonts w:hint="default" w:ascii="Times New Roman" w:hAnsi="Times New Roman" w:cs="Times New Roman"/>
                      <w:b w:val="0"/>
                      <w:bCs/>
                      <w:color w:val="auto"/>
                    </w:rPr>
                    <w:t>夜间</w:t>
                  </w:r>
                </w:p>
              </w:tc>
            </w:tr>
            <w:tr w14:paraId="4A1A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1" w:type="pct"/>
                  <w:noWrap w:val="0"/>
                  <w:vAlign w:val="center"/>
                </w:tcPr>
                <w:p w14:paraId="36C2011C">
                  <w:pPr>
                    <w:pStyle w:val="54"/>
                    <w:spacing w:line="240" w:lineRule="auto"/>
                    <w:rPr>
                      <w:rFonts w:hint="default" w:ascii="Times New Roman" w:hAnsi="Times New Roman" w:eastAsia="宋体" w:cs="Times New Roman"/>
                      <w:b w:val="0"/>
                      <w:bCs/>
                      <w:color w:val="auto"/>
                      <w:lang w:val="en-US" w:eastAsia="zh-CN"/>
                    </w:rPr>
                  </w:pPr>
                  <w:r>
                    <w:rPr>
                      <w:rFonts w:hint="default" w:ascii="Times New Roman" w:hAnsi="Times New Roman" w:cs="Times New Roman"/>
                      <w:b w:val="0"/>
                      <w:bCs/>
                      <w:color w:val="auto"/>
                    </w:rPr>
                    <w:t>2</w:t>
                  </w:r>
                  <w:r>
                    <w:rPr>
                      <w:rFonts w:hint="default" w:ascii="Times New Roman" w:hAnsi="Times New Roman" w:cs="Times New Roman"/>
                      <w:b w:val="0"/>
                      <w:bCs/>
                      <w:color w:val="auto"/>
                      <w:lang w:val="en-US" w:eastAsia="zh-CN"/>
                    </w:rPr>
                    <w:t>类</w:t>
                  </w:r>
                </w:p>
              </w:tc>
              <w:tc>
                <w:tcPr>
                  <w:tcW w:w="1331" w:type="pct"/>
                  <w:noWrap w:val="0"/>
                  <w:vAlign w:val="center"/>
                </w:tcPr>
                <w:p w14:paraId="603B9423">
                  <w:pPr>
                    <w:pStyle w:val="54"/>
                    <w:spacing w:line="240" w:lineRule="auto"/>
                    <w:rPr>
                      <w:rFonts w:hint="default" w:ascii="Times New Roman" w:hAnsi="Times New Roman" w:cs="Times New Roman"/>
                      <w:b w:val="0"/>
                      <w:bCs/>
                      <w:color w:val="auto"/>
                    </w:rPr>
                  </w:pPr>
                  <w:r>
                    <w:rPr>
                      <w:rFonts w:hint="default" w:ascii="Times New Roman" w:hAnsi="Times New Roman" w:cs="Times New Roman"/>
                      <w:b w:val="0"/>
                      <w:bCs/>
                      <w:color w:val="auto"/>
                    </w:rPr>
                    <w:t>60</w:t>
                  </w:r>
                </w:p>
              </w:tc>
              <w:tc>
                <w:tcPr>
                  <w:tcW w:w="1276" w:type="pct"/>
                  <w:noWrap w:val="0"/>
                  <w:vAlign w:val="center"/>
                </w:tcPr>
                <w:p w14:paraId="346C9262">
                  <w:pPr>
                    <w:pStyle w:val="54"/>
                    <w:spacing w:line="240" w:lineRule="auto"/>
                    <w:rPr>
                      <w:rFonts w:hint="default" w:ascii="Times New Roman" w:hAnsi="Times New Roman" w:cs="Times New Roman"/>
                      <w:b w:val="0"/>
                      <w:bCs/>
                      <w:color w:val="auto"/>
                    </w:rPr>
                  </w:pPr>
                  <w:r>
                    <w:rPr>
                      <w:rFonts w:hint="default" w:ascii="Times New Roman" w:hAnsi="Times New Roman" w:cs="Times New Roman"/>
                      <w:b w:val="0"/>
                      <w:bCs/>
                      <w:color w:val="auto"/>
                    </w:rPr>
                    <w:t>50</w:t>
                  </w:r>
                </w:p>
              </w:tc>
            </w:tr>
          </w:tbl>
          <w:p w14:paraId="2A97C22B">
            <w:pPr>
              <w:numPr>
                <w:ilvl w:val="0"/>
                <w:numId w:val="0"/>
              </w:numPr>
              <w:adjustRightInd w:val="0"/>
              <w:snapToGrid w:val="0"/>
              <w:spacing w:before="156" w:beforeLines="50" w:line="360" w:lineRule="auto"/>
              <w:ind w:leftChars="0"/>
              <w:rPr>
                <w:rFonts w:hint="default" w:ascii="Times New Roman" w:hAnsi="Times New Roman" w:eastAsia="宋体" w:cs="Times New Roman"/>
                <w:b/>
                <w:color w:val="auto"/>
                <w:sz w:val="24"/>
                <w:szCs w:val="24"/>
                <w:lang w:eastAsia="zh-CN"/>
              </w:rPr>
            </w:pPr>
            <w:r>
              <w:rPr>
                <w:rFonts w:hint="eastAsia" w:ascii="Times New Roman" w:hAnsi="Times New Roman" w:eastAsia="宋体" w:cs="Times New Roman"/>
                <w:b/>
                <w:color w:val="auto"/>
                <w:sz w:val="24"/>
                <w:szCs w:val="24"/>
                <w:lang w:eastAsia="zh-CN"/>
              </w:rPr>
              <w:t>（</w:t>
            </w:r>
            <w:r>
              <w:rPr>
                <w:rFonts w:hint="default" w:ascii="Times New Roman" w:hAnsi="Times New Roman" w:eastAsia="宋体" w:cs="Times New Roman"/>
                <w:b/>
                <w:color w:val="auto"/>
                <w:sz w:val="24"/>
                <w:szCs w:val="24"/>
                <w:lang w:val="en-US" w:eastAsia="zh-CN"/>
              </w:rPr>
              <w:t>4</w:t>
            </w:r>
            <w:r>
              <w:rPr>
                <w:rFonts w:hint="default" w:ascii="Times New Roman" w:hAnsi="Times New Roman" w:eastAsia="宋体" w:cs="Times New Roman"/>
                <w:b/>
                <w:color w:val="auto"/>
                <w:sz w:val="24"/>
                <w:szCs w:val="24"/>
                <w:lang w:eastAsia="zh-CN"/>
              </w:rPr>
              <w:t>）固废排放标准</w:t>
            </w:r>
          </w:p>
          <w:p w14:paraId="3F724D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FF"/>
                <w:sz w:val="24"/>
                <w:szCs w:val="24"/>
              </w:rPr>
            </w:pPr>
            <w:r>
              <w:rPr>
                <w:rFonts w:hint="default" w:ascii="Times New Roman" w:hAnsi="Times New Roman" w:eastAsia="宋体" w:cs="Times New Roman"/>
                <w:color w:val="auto"/>
                <w:sz w:val="24"/>
                <w:highlight w:val="none"/>
                <w:lang w:eastAsia="zh-CN"/>
              </w:rPr>
              <w:t>一般固体废弃物堆存处置执行《一般工业固体废物贮存和填埋污染控制标准》</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eastAsia="zh-CN"/>
              </w:rPr>
              <w:t>GB18599-2020）。</w:t>
            </w:r>
          </w:p>
        </w:tc>
      </w:tr>
      <w:tr w14:paraId="00439E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709" w:type="dxa"/>
            <w:noWrap w:val="0"/>
            <w:vAlign w:val="center"/>
          </w:tcPr>
          <w:p w14:paraId="647C2194">
            <w:pPr>
              <w:adjustRightInd w:val="0"/>
              <w:snapToGrid w:val="0"/>
              <w:jc w:val="center"/>
              <w:rPr>
                <w:rFonts w:hint="default" w:ascii="Times New Roman" w:hAnsi="Times New Roman" w:cs="Times New Roman"/>
                <w:b/>
                <w:bCs/>
                <w:color w:val="auto"/>
                <w:kern w:val="0"/>
                <w:sz w:val="24"/>
                <w:szCs w:val="24"/>
              </w:rPr>
            </w:pPr>
            <w:r>
              <w:rPr>
                <w:rFonts w:hint="default" w:ascii="Times New Roman" w:hAnsi="Times New Roman" w:cs="Times New Roman"/>
                <w:b/>
                <w:bCs/>
                <w:color w:val="auto"/>
                <w:kern w:val="0"/>
                <w:sz w:val="24"/>
                <w:szCs w:val="24"/>
                <w:highlight w:val="none"/>
              </w:rPr>
              <w:t>其他</w:t>
            </w:r>
          </w:p>
        </w:tc>
        <w:tc>
          <w:tcPr>
            <w:tcW w:w="8448" w:type="dxa"/>
            <w:noWrap w:val="0"/>
            <w:vAlign w:val="center"/>
          </w:tcPr>
          <w:p w14:paraId="33540FC2">
            <w:pPr>
              <w:adjustRightInd w:val="0"/>
              <w:snapToGrid w:val="0"/>
              <w:spacing w:line="360" w:lineRule="auto"/>
              <w:jc w:val="both"/>
              <w:rPr>
                <w:rFonts w:hint="default" w:ascii="Times New Roman" w:hAnsi="Times New Roman" w:cs="Times New Roman"/>
                <w:b/>
                <w:bCs/>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总量控制指标</w:t>
            </w:r>
          </w:p>
          <w:p w14:paraId="0EF9F1E2">
            <w:pPr>
              <w:adjustRightInd w:val="0"/>
              <w:snapToGrid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根据国家对实施污染物排放总量的要求以及本项目的工艺特征和污染物排放特点，本项目</w:t>
            </w:r>
            <w:r>
              <w:rPr>
                <w:rFonts w:hint="eastAsia" w:cs="Times New Roman"/>
                <w:color w:val="auto"/>
                <w:sz w:val="24"/>
                <w:highlight w:val="none"/>
                <w:lang w:val="en-US" w:eastAsia="zh-CN"/>
              </w:rPr>
              <w:t>不涉及</w:t>
            </w:r>
            <w:r>
              <w:rPr>
                <w:rFonts w:hint="default" w:ascii="Times New Roman" w:hAnsi="Times New Roman" w:eastAsia="宋体" w:cs="Times New Roman"/>
                <w:color w:val="auto"/>
                <w:sz w:val="24"/>
                <w:highlight w:val="none"/>
                <w:lang w:eastAsia="zh-CN"/>
              </w:rPr>
              <w:t>污染物排放总量控制</w:t>
            </w:r>
            <w:r>
              <w:rPr>
                <w:rFonts w:hint="eastAsia" w:cs="Times New Roman"/>
                <w:color w:val="auto"/>
                <w:sz w:val="24"/>
                <w:highlight w:val="none"/>
                <w:lang w:val="en-US" w:eastAsia="zh-CN"/>
              </w:rPr>
              <w:t>指标</w:t>
            </w:r>
            <w:r>
              <w:rPr>
                <w:rFonts w:hint="default" w:ascii="Times New Roman" w:hAnsi="Times New Roman" w:eastAsia="宋体" w:cs="Times New Roman"/>
                <w:color w:val="auto"/>
                <w:sz w:val="24"/>
                <w:highlight w:val="none"/>
                <w:lang w:eastAsia="zh-CN"/>
              </w:rPr>
              <w:t>。</w:t>
            </w:r>
          </w:p>
          <w:p w14:paraId="5EC940B7">
            <w:pPr>
              <w:numPr>
                <w:ilvl w:val="0"/>
                <w:numId w:val="0"/>
              </w:numPr>
              <w:adjustRightInd w:val="0"/>
              <w:snapToGrid w:val="0"/>
              <w:spacing w:line="360" w:lineRule="auto"/>
              <w:ind w:firstLine="480" w:firstLineChars="200"/>
              <w:rPr>
                <w:rFonts w:hint="default" w:cs="Times New Roman"/>
                <w:color w:val="auto"/>
                <w:sz w:val="24"/>
                <w:szCs w:val="24"/>
                <w:highlight w:val="none"/>
                <w:lang w:val="en-US" w:eastAsia="zh-CN"/>
              </w:rPr>
            </w:pPr>
          </w:p>
          <w:p w14:paraId="285ED2FF">
            <w:pPr>
              <w:rPr>
                <w:rFonts w:hint="default" w:ascii="Times New Roman" w:hAnsi="Times New Roman" w:cs="Times New Roman"/>
                <w:b/>
                <w:bCs/>
                <w:color w:val="auto"/>
                <w:kern w:val="0"/>
                <w:sz w:val="28"/>
                <w:szCs w:val="28"/>
                <w:highlight w:val="none"/>
                <w:lang w:val="en-US" w:eastAsia="zh-CN"/>
              </w:rPr>
            </w:pPr>
          </w:p>
          <w:p w14:paraId="11A6B865">
            <w:pPr>
              <w:rPr>
                <w:rFonts w:hint="default" w:ascii="Times New Roman" w:hAnsi="Times New Roman" w:cs="Times New Roman"/>
                <w:b/>
                <w:bCs/>
                <w:color w:val="auto"/>
                <w:kern w:val="0"/>
                <w:sz w:val="28"/>
                <w:szCs w:val="28"/>
                <w:highlight w:val="none"/>
                <w:lang w:val="en-US" w:eastAsia="zh-CN"/>
              </w:rPr>
            </w:pPr>
          </w:p>
          <w:p w14:paraId="42FC9DF8">
            <w:pPr>
              <w:rPr>
                <w:rFonts w:hint="default" w:ascii="Times New Roman" w:hAnsi="Times New Roman" w:cs="Times New Roman"/>
                <w:b/>
                <w:bCs/>
                <w:color w:val="auto"/>
                <w:kern w:val="0"/>
                <w:sz w:val="28"/>
                <w:szCs w:val="28"/>
                <w:highlight w:val="none"/>
                <w:lang w:val="en-US" w:eastAsia="zh-CN"/>
              </w:rPr>
            </w:pPr>
          </w:p>
          <w:p w14:paraId="61E3C15B">
            <w:pPr>
              <w:rPr>
                <w:rFonts w:hint="default" w:ascii="Times New Roman" w:hAnsi="Times New Roman" w:cs="Times New Roman"/>
                <w:b/>
                <w:bCs/>
                <w:color w:val="auto"/>
                <w:kern w:val="0"/>
                <w:sz w:val="28"/>
                <w:szCs w:val="28"/>
                <w:highlight w:val="none"/>
                <w:lang w:val="en-US" w:eastAsia="zh-CN"/>
              </w:rPr>
            </w:pPr>
          </w:p>
          <w:p w14:paraId="14FE57D7">
            <w:pPr>
              <w:rPr>
                <w:rFonts w:hint="default" w:ascii="Times New Roman" w:hAnsi="Times New Roman" w:cs="Times New Roman"/>
                <w:b/>
                <w:bCs/>
                <w:color w:val="auto"/>
                <w:kern w:val="0"/>
                <w:sz w:val="28"/>
                <w:szCs w:val="28"/>
                <w:highlight w:val="none"/>
                <w:lang w:val="en-US" w:eastAsia="zh-CN"/>
              </w:rPr>
            </w:pPr>
          </w:p>
          <w:p w14:paraId="4593BE2A">
            <w:pPr>
              <w:rPr>
                <w:rFonts w:hint="default" w:ascii="Times New Roman" w:hAnsi="Times New Roman" w:cs="Times New Roman"/>
                <w:b/>
                <w:bCs/>
                <w:color w:val="auto"/>
                <w:kern w:val="0"/>
                <w:sz w:val="28"/>
                <w:szCs w:val="28"/>
                <w:highlight w:val="none"/>
                <w:lang w:val="en-US" w:eastAsia="zh-CN"/>
              </w:rPr>
            </w:pPr>
          </w:p>
          <w:p w14:paraId="279B8E9F">
            <w:pPr>
              <w:rPr>
                <w:rFonts w:hint="default" w:ascii="Times New Roman" w:hAnsi="Times New Roman" w:cs="Times New Roman"/>
                <w:b/>
                <w:bCs/>
                <w:color w:val="auto"/>
                <w:kern w:val="0"/>
                <w:sz w:val="28"/>
                <w:szCs w:val="28"/>
                <w:highlight w:val="none"/>
                <w:lang w:val="en-US" w:eastAsia="zh-CN"/>
              </w:rPr>
            </w:pPr>
          </w:p>
          <w:p w14:paraId="1B2CF011">
            <w:pPr>
              <w:rPr>
                <w:rFonts w:hint="default" w:ascii="Times New Roman" w:hAnsi="Times New Roman" w:cs="Times New Roman"/>
                <w:b/>
                <w:bCs/>
                <w:color w:val="auto"/>
                <w:kern w:val="0"/>
                <w:sz w:val="28"/>
                <w:szCs w:val="28"/>
                <w:highlight w:val="none"/>
                <w:lang w:val="en-US" w:eastAsia="zh-CN"/>
              </w:rPr>
            </w:pPr>
          </w:p>
          <w:p w14:paraId="29417BA6">
            <w:pPr>
              <w:rPr>
                <w:rFonts w:hint="default" w:ascii="Times New Roman" w:hAnsi="Times New Roman" w:cs="Times New Roman"/>
                <w:b/>
                <w:bCs/>
                <w:color w:val="auto"/>
                <w:kern w:val="0"/>
                <w:sz w:val="28"/>
                <w:szCs w:val="28"/>
                <w:highlight w:val="none"/>
                <w:lang w:val="en-US" w:eastAsia="zh-CN"/>
              </w:rPr>
            </w:pPr>
          </w:p>
          <w:p w14:paraId="59975BC7">
            <w:pPr>
              <w:rPr>
                <w:rFonts w:hint="default" w:ascii="Times New Roman" w:hAnsi="Times New Roman" w:cs="Times New Roman"/>
                <w:b/>
                <w:bCs/>
                <w:color w:val="auto"/>
                <w:kern w:val="0"/>
                <w:sz w:val="28"/>
                <w:szCs w:val="28"/>
                <w:highlight w:val="none"/>
                <w:lang w:val="en-US" w:eastAsia="zh-CN"/>
              </w:rPr>
            </w:pPr>
          </w:p>
          <w:p w14:paraId="4B48A227">
            <w:pPr>
              <w:rPr>
                <w:rFonts w:hint="default" w:ascii="Times New Roman" w:hAnsi="Times New Roman" w:cs="Times New Roman"/>
                <w:b/>
                <w:bCs/>
                <w:color w:val="auto"/>
                <w:kern w:val="0"/>
                <w:sz w:val="28"/>
                <w:szCs w:val="28"/>
                <w:highlight w:val="none"/>
                <w:lang w:val="en-US" w:eastAsia="zh-CN"/>
              </w:rPr>
            </w:pPr>
          </w:p>
          <w:p w14:paraId="3894BC4F">
            <w:pPr>
              <w:rPr>
                <w:rFonts w:hint="default" w:ascii="Times New Roman" w:hAnsi="Times New Roman" w:cs="Times New Roman"/>
                <w:b/>
                <w:bCs/>
                <w:color w:val="auto"/>
                <w:kern w:val="0"/>
                <w:sz w:val="28"/>
                <w:szCs w:val="28"/>
                <w:highlight w:val="none"/>
                <w:lang w:val="en-US" w:eastAsia="zh-CN"/>
              </w:rPr>
            </w:pPr>
          </w:p>
          <w:p w14:paraId="5A87B27E">
            <w:pPr>
              <w:rPr>
                <w:rFonts w:hint="default" w:ascii="Times New Roman" w:hAnsi="Times New Roman" w:cs="Times New Roman"/>
                <w:b/>
                <w:bCs/>
                <w:color w:val="auto"/>
                <w:kern w:val="0"/>
                <w:sz w:val="28"/>
                <w:szCs w:val="28"/>
                <w:highlight w:val="none"/>
                <w:lang w:val="en-US" w:eastAsia="zh-CN"/>
              </w:rPr>
            </w:pPr>
          </w:p>
          <w:p w14:paraId="7D0D2882">
            <w:pPr>
              <w:rPr>
                <w:rFonts w:hint="default" w:ascii="Times New Roman" w:hAnsi="Times New Roman" w:cs="Times New Roman"/>
                <w:b/>
                <w:bCs/>
                <w:color w:val="auto"/>
                <w:kern w:val="0"/>
                <w:sz w:val="28"/>
                <w:szCs w:val="28"/>
                <w:highlight w:val="none"/>
                <w:lang w:val="en-US" w:eastAsia="zh-CN"/>
              </w:rPr>
            </w:pPr>
          </w:p>
          <w:p w14:paraId="5FB054D6">
            <w:pPr>
              <w:rPr>
                <w:rFonts w:hint="default" w:ascii="Times New Roman" w:hAnsi="Times New Roman" w:cs="Times New Roman"/>
                <w:b/>
                <w:bCs/>
                <w:color w:val="auto"/>
                <w:kern w:val="0"/>
                <w:sz w:val="28"/>
                <w:szCs w:val="28"/>
                <w:highlight w:val="none"/>
                <w:lang w:val="en-US" w:eastAsia="zh-CN"/>
              </w:rPr>
            </w:pPr>
          </w:p>
          <w:p w14:paraId="3C83299A">
            <w:pPr>
              <w:rPr>
                <w:rFonts w:hint="default" w:ascii="Times New Roman" w:hAnsi="Times New Roman" w:cs="Times New Roman"/>
                <w:b/>
                <w:bCs/>
                <w:color w:val="auto"/>
                <w:kern w:val="0"/>
                <w:sz w:val="28"/>
                <w:szCs w:val="28"/>
                <w:highlight w:val="none"/>
                <w:lang w:val="en-US" w:eastAsia="zh-CN"/>
              </w:rPr>
            </w:pPr>
          </w:p>
          <w:p w14:paraId="1BF7B9BE">
            <w:pPr>
              <w:pStyle w:val="25"/>
              <w:ind w:left="420" w:leftChars="200" w:firstLine="480" w:firstLineChars="200"/>
              <w:rPr>
                <w:rFonts w:hint="default" w:ascii="Times New Roman" w:hAnsi="Times New Roman" w:eastAsia="宋体" w:cs="Times New Roman"/>
                <w:color w:val="0000FF"/>
                <w:sz w:val="24"/>
                <w:szCs w:val="24"/>
              </w:rPr>
            </w:pPr>
          </w:p>
        </w:tc>
      </w:tr>
    </w:tbl>
    <w:p w14:paraId="0D35F797">
      <w:pPr>
        <w:pStyle w:val="21"/>
        <w:adjustRightInd w:val="0"/>
        <w:snapToGrid w:val="0"/>
        <w:spacing w:before="0" w:beforeAutospacing="0" w:after="0" w:afterAutospacing="0" w:line="14" w:lineRule="auto"/>
        <w:jc w:val="center"/>
        <w:outlineLvl w:val="0"/>
        <w:rPr>
          <w:rFonts w:hint="default" w:ascii="Times New Roman" w:hAnsi="Times New Roman" w:eastAsia="黑体" w:cs="Times New Roman"/>
          <w:snapToGrid w:val="0"/>
          <w:color w:val="0000FF"/>
          <w:kern w:val="2"/>
          <w:sz w:val="36"/>
          <w:szCs w:val="36"/>
        </w:rPr>
      </w:pPr>
    </w:p>
    <w:p w14:paraId="20AD269F">
      <w:pPr>
        <w:pStyle w:val="21"/>
        <w:jc w:val="center"/>
        <w:outlineLvl w:val="0"/>
        <w:rPr>
          <w:rFonts w:hint="default" w:ascii="Times New Roman" w:hAnsi="Times New Roman" w:eastAsia="黑体" w:cs="Times New Roman"/>
          <w:snapToGrid w:val="0"/>
          <w:color w:val="0000FF"/>
          <w:kern w:val="2"/>
          <w:sz w:val="36"/>
          <w:szCs w:val="36"/>
        </w:rPr>
        <w:sectPr>
          <w:pgSz w:w="11906" w:h="16838"/>
          <w:pgMar w:top="1304" w:right="1531" w:bottom="1417" w:left="1531" w:header="851" w:footer="850" w:gutter="0"/>
          <w:cols w:space="720" w:num="1"/>
          <w:docGrid w:linePitch="312" w:charSpace="0"/>
        </w:sectPr>
      </w:pPr>
    </w:p>
    <w:p w14:paraId="3D7A758D">
      <w:pPr>
        <w:pStyle w:val="21"/>
        <w:jc w:val="center"/>
        <w:outlineLvl w:val="0"/>
        <w:rPr>
          <w:rFonts w:hint="default" w:ascii="Times New Roman" w:hAnsi="Times New Roman" w:eastAsia="黑体" w:cs="Times New Roman"/>
          <w:snapToGrid w:val="0"/>
          <w:color w:val="0000FF"/>
          <w:sz w:val="30"/>
          <w:szCs w:val="30"/>
        </w:rPr>
      </w:pPr>
      <w:bookmarkStart w:id="7" w:name="_Toc30621"/>
      <w:r>
        <w:rPr>
          <w:rFonts w:hint="default" w:ascii="Times New Roman" w:hAnsi="Times New Roman" w:eastAsia="黑体" w:cs="Times New Roman"/>
          <w:snapToGrid w:val="0"/>
          <w:color w:val="auto"/>
          <w:sz w:val="30"/>
          <w:szCs w:val="30"/>
        </w:rPr>
        <w:t>四、生态环境影响分析</w:t>
      </w:r>
      <w:bookmarkEnd w:id="7"/>
    </w:p>
    <w:tbl>
      <w:tblPr>
        <w:tblStyle w:val="26"/>
        <w:tblW w:w="518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8572"/>
      </w:tblGrid>
      <w:tr w14:paraId="17D6A2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3" w:type="pct"/>
            <w:noWrap w:val="0"/>
            <w:tcMar>
              <w:left w:w="28" w:type="dxa"/>
              <w:right w:w="28" w:type="dxa"/>
            </w:tcMar>
            <w:vAlign w:val="center"/>
          </w:tcPr>
          <w:p w14:paraId="67E66A68">
            <w:pPr>
              <w:pStyle w:val="21"/>
              <w:adjustRightInd w:val="0"/>
              <w:snapToGrid w:val="0"/>
              <w:spacing w:before="0" w:beforeAutospacing="0" w:after="0" w:afterAutospacing="0"/>
              <w:jc w:val="center"/>
              <w:rPr>
                <w:rFonts w:hint="default" w:ascii="Times New Roman" w:hAnsi="Times New Roman" w:cs="Times New Roman"/>
                <w:b/>
                <w:bCs w:val="0"/>
                <w:color w:val="auto"/>
                <w:kern w:val="2"/>
                <w:sz w:val="24"/>
                <w:szCs w:val="24"/>
              </w:rPr>
            </w:pPr>
            <w:bookmarkStart w:id="8" w:name="_Hlk49796138"/>
            <w:r>
              <w:rPr>
                <w:rFonts w:hint="default" w:ascii="Times New Roman" w:hAnsi="Times New Roman" w:cs="Times New Roman"/>
                <w:b/>
                <w:bCs w:val="0"/>
                <w:color w:val="auto"/>
                <w:spacing w:val="10"/>
                <w:kern w:val="2"/>
                <w:sz w:val="24"/>
                <w:szCs w:val="24"/>
              </w:rPr>
              <w:t>施工期生态环境影响分析</w:t>
            </w:r>
            <w:bookmarkEnd w:id="8"/>
          </w:p>
        </w:tc>
        <w:tc>
          <w:tcPr>
            <w:tcW w:w="4606" w:type="pct"/>
            <w:noWrap w:val="0"/>
            <w:vAlign w:val="top"/>
          </w:tcPr>
          <w:p w14:paraId="66DEBC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1</w:t>
            </w:r>
            <w:r>
              <w:rPr>
                <w:rFonts w:hint="default" w:ascii="Times New Roman" w:hAnsi="Times New Roman" w:eastAsia="宋体" w:cs="Times New Roman"/>
                <w:b/>
                <w:bCs/>
                <w:color w:val="auto"/>
                <w:sz w:val="24"/>
                <w:szCs w:val="24"/>
                <w:highlight w:val="none"/>
              </w:rPr>
              <w:t>、生态环境影响分析</w:t>
            </w:r>
          </w:p>
          <w:p w14:paraId="118589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本项目作为</w:t>
            </w:r>
            <w:r>
              <w:rPr>
                <w:rFonts w:hint="default" w:ascii="Times New Roman" w:hAnsi="Times New Roman" w:eastAsia="宋体" w:cs="Times New Roman"/>
                <w:color w:val="auto"/>
                <w:sz w:val="24"/>
                <w:szCs w:val="24"/>
                <w:highlight w:val="none"/>
                <w:lang w:val="en-US" w:eastAsia="zh-CN"/>
              </w:rPr>
              <w:t>引水管网</w:t>
            </w:r>
            <w:r>
              <w:rPr>
                <w:rFonts w:hint="default" w:ascii="Times New Roman" w:hAnsi="Times New Roman" w:eastAsia="宋体" w:cs="Times New Roman"/>
                <w:color w:val="auto"/>
                <w:sz w:val="24"/>
                <w:szCs w:val="24"/>
                <w:highlight w:val="none"/>
              </w:rPr>
              <w:t>建设项目，</w:t>
            </w:r>
            <w:r>
              <w:rPr>
                <w:rFonts w:hint="default" w:ascii="Times New Roman" w:hAnsi="Times New Roman" w:eastAsia="宋体" w:cs="Times New Roman"/>
                <w:color w:val="auto"/>
                <w:sz w:val="24"/>
                <w:szCs w:val="24"/>
                <w:highlight w:val="none"/>
                <w:lang w:val="en-US" w:eastAsia="zh-CN"/>
              </w:rPr>
              <w:t>根据其施工及运行特点，本次工程的</w:t>
            </w:r>
            <w:r>
              <w:rPr>
                <w:rFonts w:hint="default" w:ascii="Times New Roman" w:hAnsi="Times New Roman" w:eastAsia="宋体" w:cs="Times New Roman"/>
                <w:color w:val="auto"/>
                <w:sz w:val="24"/>
                <w:szCs w:val="24"/>
                <w:highlight w:val="none"/>
              </w:rPr>
              <w:t>建设</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实施</w:t>
            </w:r>
            <w:r>
              <w:rPr>
                <w:rFonts w:hint="default" w:ascii="Times New Roman" w:hAnsi="Times New Roman" w:eastAsia="宋体" w:cs="Times New Roman"/>
                <w:color w:val="auto"/>
                <w:sz w:val="24"/>
                <w:szCs w:val="24"/>
                <w:highlight w:val="none"/>
              </w:rPr>
              <w:t>对生态环境的影响大部分发生在施工期</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施工期对生态环境影响和破坏的途径主要是主体工程永久性占用和分割土地；</w:t>
            </w:r>
            <w:r>
              <w:rPr>
                <w:rFonts w:hint="default" w:ascii="Times New Roman" w:hAnsi="Times New Roman" w:eastAsia="宋体" w:cs="Times New Roman"/>
                <w:color w:val="auto"/>
                <w:sz w:val="24"/>
                <w:szCs w:val="24"/>
                <w:highlight w:val="none"/>
                <w:lang w:val="en-US" w:eastAsia="zh-CN"/>
              </w:rPr>
              <w:t>管线沟槽</w:t>
            </w:r>
            <w:r>
              <w:rPr>
                <w:rFonts w:hint="default" w:ascii="Times New Roman" w:hAnsi="Times New Roman" w:eastAsia="宋体" w:cs="Times New Roman"/>
                <w:color w:val="auto"/>
                <w:sz w:val="24"/>
                <w:szCs w:val="24"/>
                <w:highlight w:val="none"/>
              </w:rPr>
              <w:t>开挖</w:t>
            </w:r>
            <w:r>
              <w:rPr>
                <w:rFonts w:hint="default" w:ascii="Times New Roman" w:hAnsi="Times New Roman" w:cs="Times New Roman"/>
                <w:color w:val="auto"/>
                <w:sz w:val="24"/>
                <w:szCs w:val="24"/>
                <w:highlight w:val="none"/>
                <w:lang w:val="en-US" w:eastAsia="zh-CN"/>
              </w:rPr>
              <w:t>等工程活动破坏原有</w:t>
            </w:r>
            <w:r>
              <w:rPr>
                <w:rFonts w:hint="default" w:ascii="Times New Roman" w:hAnsi="Times New Roman" w:eastAsia="宋体" w:cs="Times New Roman"/>
                <w:color w:val="auto"/>
                <w:sz w:val="24"/>
                <w:szCs w:val="24"/>
                <w:highlight w:val="none"/>
              </w:rPr>
              <w:t>地貌和植被，并破坏土壤结构和肥力；工程活动扰动了自然的生态平衡，对</w:t>
            </w:r>
            <w:r>
              <w:rPr>
                <w:rFonts w:hint="default" w:ascii="Times New Roman" w:hAnsi="Times New Roman" w:cs="Times New Roman"/>
                <w:color w:val="auto"/>
                <w:sz w:val="24"/>
                <w:szCs w:val="24"/>
                <w:highlight w:val="none"/>
                <w:lang w:val="en-US" w:eastAsia="zh-CN"/>
              </w:rPr>
              <w:t>建设区域及管线</w:t>
            </w:r>
            <w:r>
              <w:rPr>
                <w:rFonts w:hint="default" w:ascii="Times New Roman" w:hAnsi="Times New Roman" w:eastAsia="宋体" w:cs="Times New Roman"/>
                <w:color w:val="auto"/>
                <w:sz w:val="24"/>
                <w:szCs w:val="24"/>
                <w:highlight w:val="none"/>
              </w:rPr>
              <w:t>沿线生物的生存将产生一定程度不利影响。</w:t>
            </w:r>
            <w:r>
              <w:rPr>
                <w:rFonts w:hint="default" w:ascii="Times New Roman" w:hAnsi="Times New Roman" w:eastAsia="宋体" w:cs="Times New Roman"/>
                <w:b w:val="0"/>
                <w:bCs w:val="0"/>
                <w:color w:val="auto"/>
                <w:sz w:val="24"/>
                <w:szCs w:val="24"/>
                <w:highlight w:val="none"/>
              </w:rPr>
              <w:t>生态环境影响分析</w:t>
            </w:r>
            <w:r>
              <w:rPr>
                <w:rFonts w:hint="default" w:ascii="Times New Roman" w:hAnsi="Times New Roman" w:eastAsia="宋体" w:cs="Times New Roman"/>
                <w:b w:val="0"/>
                <w:bCs w:val="0"/>
                <w:color w:val="auto"/>
                <w:sz w:val="24"/>
                <w:szCs w:val="24"/>
                <w:highlight w:val="none"/>
                <w:lang w:val="en-US" w:eastAsia="zh-CN"/>
              </w:rPr>
              <w:t>如下：</w:t>
            </w:r>
          </w:p>
          <w:p w14:paraId="14CEB284">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1.1</w:t>
            </w:r>
            <w:r>
              <w:rPr>
                <w:rFonts w:hint="default" w:ascii="Times New Roman" w:hAnsi="Times New Roman" w:eastAsia="宋体" w:cs="Times New Roman"/>
                <w:b/>
                <w:bCs/>
                <w:color w:val="auto"/>
                <w:sz w:val="24"/>
                <w:szCs w:val="24"/>
                <w:highlight w:val="none"/>
              </w:rPr>
              <w:t>工程占地影响分析</w:t>
            </w:r>
          </w:p>
          <w:p w14:paraId="0C5F2D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本项目评价区土地利用类型以旱地、水浇地、林地为主，局部零星分布水域，整体以农业生态系统为主体。施工期土地扰动主要来源于工程永久占地、临时占地占用，以及施工开挖、土方堆存、机械碾压等工程活动。</w:t>
            </w:r>
          </w:p>
          <w:p w14:paraId="24C028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项目永久占地主要为泵站主体及各类配套阀井用地，占地类型以灌木林地为主；输水管道沿线永久扰动区域主要涉及旱地、坡耕地、水田、永久基本农田、灌木林地及乔木林地等类型。</w:t>
            </w:r>
          </w:p>
          <w:p w14:paraId="186835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工程临时占地主要包括各管线施工作业带、管沟开挖区域、管侧临时堆土场、阀井施工坑位、临时施工场地及施工便道等，占地类型涵盖耕地、交通用地及各类林地。根据安宁市林业和草原局核查结果，项目临时占用林地均为Ⅲ、Ⅳ类林地，生态管控等级较低。</w:t>
            </w:r>
          </w:p>
          <w:p w14:paraId="3B8741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本工程管线施工采用分段开挖、分段施工的作业方式，严格控制施工作业带宽，最大限度缩减地表扰动范围，有效降低对沿线农田、植被的破坏。针对穿越农田及永久基本农田区段，施工期严格落实耕地保护措施，规范施工工序，减少土体扰动与地表损毁。</w:t>
            </w:r>
          </w:p>
          <w:p w14:paraId="4E2CA8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项目所有临时占地均为施工期暂时性利用，不改变区域原有土地利用功能。施工前对作业区表层腐殖土进行单独剥离、分区堆存并做好防护，施工结束后及时回铺覆土，同步开展土地复垦、植被恢复及地貌复原工作，确保临时占地恢复原有土地利用类型与生态功能。</w:t>
            </w:r>
          </w:p>
          <w:p w14:paraId="4E5399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项目管线沿线多位于村镇建成区及人类活动频繁区域，原生生态系统受人为干扰程度较高，工程施工不会改变区域整体土地利用格局与生态系统结构。施工造成的地表扰动具有暂时性、局部性、可恢复性特征，施工结束后可全面恢复原有土地利用功能，对评价区土地利用性质、土地利用格局及区域生态系统不会产生显著不利影响，对沿线道路绿化用地基本无影响。</w:t>
            </w:r>
          </w:p>
          <w:p w14:paraId="02EBB5BA">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1.2对植物及植物多样性的影响分析</w:t>
            </w:r>
          </w:p>
          <w:p w14:paraId="5299B3A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1）对植被及植物群落的影响分析</w:t>
            </w:r>
          </w:p>
          <w:p w14:paraId="5A5A25D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施工期人为活动、机械扰动及占地开挖将对区域现状植被产生一定的短期扰动。但评价区分布的植物群落、植被类型均为安宁市及云南省内广泛分布的常见次生植被与人工植被，区域植被资源替代性较强，工程扰动不会造成区域植被类型消失、植物群落退化或系统性破坏。施工结束后，通过及时开展植被复垦、复绿及生态修复措施，可有效恢复受损地表植被结构与功能，施工对区域植被的整体影响可控、可恢复，在可接受范围内。</w:t>
            </w:r>
          </w:p>
          <w:p w14:paraId="001111A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2）对植物资源的影响分析</w:t>
            </w:r>
          </w:p>
          <w:p w14:paraId="20BCE80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工程建设永久占地与临时占地将扰动、清除占地范围内原有地表植被，对局部植物种群及生境产生一定扰动。经现场调查及资料核查，项目占地范围内无国家、省级重点保护野生植物及狭域特有植物分布。评价区植被以区域性广布物种为主，主要包括云南松、高山栲、大叶栎、云南油杉等常见乡土树种及次生灌草植被，物种分布广泛、资源量大。</w:t>
            </w:r>
          </w:p>
          <w:p w14:paraId="57EED5A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工程建设仅造成局部植被生物量小幅损失，不会导致区域植物物种减少、种群结构改变，不会造成区域性生物多样性下降，对周边植物资源及群落稳定性影响较小。</w:t>
            </w:r>
          </w:p>
          <w:p w14:paraId="2410823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3）施工活动对植被的分项影响分析</w:t>
            </w:r>
          </w:p>
          <w:p w14:paraId="215BBF6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 施工扬尘对植被的影响</w:t>
            </w:r>
          </w:p>
          <w:p w14:paraId="4DA4990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区域地形开阔、雨量充沛、通风扩散条件良好，施工产生的扬尘易扩散、易被降雨冲刷沉降。同时本项目施工点位分散、单段施工周期短，无长期集中扬尘污染源，扬尘附着对植物光合作用、生长发育的抑制作用微弱，对区域植被整体影响较小。</w:t>
            </w:r>
          </w:p>
          <w:p w14:paraId="0555F38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② 施工废弃物及土方扰动对植被的影响</w:t>
            </w:r>
          </w:p>
          <w:p w14:paraId="6605EE3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工程施工将造成局部人工植被、次生灌草丛植被暂时性减少，但扰动类型均为区域广布植被，不会造成评价区植被类型消失和生物多样性显著流失，不存在物种灭绝风险。项目施工严格控制作业范围，规范弃土、弃渣堆放，施工废弃物统一收集处置，不随意侵占植被用地。项目建成后将配套开展区域绿化提升建设，可进一步优化局部景观与植被覆盖条件，对区域生态景观具有一定积极补偿作用。</w:t>
            </w:r>
          </w:p>
          <w:p w14:paraId="3CB1EEB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4）对植被生物量的影响</w:t>
            </w:r>
          </w:p>
          <w:p w14:paraId="5ED969F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管线工程以地下埋设为主，绝大部分施工占地为临时作业占地，施工结束后可通过地貌恢复、覆土复绿实现植被生物量恢复。项目永久占地仅为泵站、阀井等点状构筑物，占地面积小、占评价区总面积比例极低，造成的永久性生物量损失较小。总体来看，工程建设造成的植被生物量损失有限，处于区域生态可承载、可恢复水平。</w:t>
            </w:r>
          </w:p>
          <w:p w14:paraId="35EF543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5）对重点保护野生植物的影响分析及保护措施</w:t>
            </w:r>
          </w:p>
          <w:p w14:paraId="6B22942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经现场调查及资料核实，评价范围内无古树名木、重点保护野生植物及野生植物集中分布区，工程建设现状条件下对重点保护野生植物无不利影响。</w:t>
            </w:r>
          </w:p>
          <w:p w14:paraId="391A31AA">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为规避施工过</w:t>
            </w:r>
            <w:r>
              <w:rPr>
                <w:rFonts w:hint="eastAsia" w:ascii="Times New Roman" w:hAnsi="Times New Roman" w:eastAsia="宋体" w:cs="Times New Roman"/>
                <w:color w:val="auto"/>
                <w:sz w:val="24"/>
                <w:szCs w:val="24"/>
                <w:highlight w:val="none"/>
                <w:lang w:val="en-US" w:eastAsia="zh-CN"/>
              </w:rPr>
              <w:t>程中</w:t>
            </w:r>
            <w:r>
              <w:rPr>
                <w:rFonts w:hint="default" w:ascii="Times New Roman" w:hAnsi="Times New Roman" w:eastAsia="宋体" w:cs="Times New Roman"/>
                <w:color w:val="auto"/>
                <w:sz w:val="24"/>
                <w:szCs w:val="24"/>
                <w:highlight w:val="none"/>
                <w:lang w:val="en-US" w:eastAsia="zh-CN"/>
              </w:rPr>
              <w:t>偶然发现野生保护植物的潜在风险，本次评价提出预防性保护措施：施工前对施工人员开展野生植物保护科普与技术培训，提升物种识别能力与生态保护意识；施工过程中坚持随工调查，若发现疑似重点保护野生植物，立即停止作业、及时上报并优先采取避让措施；对确实无法避让的个体，委托专业单位开展科学移植、抚育管护，保障植株存活。在严格落实上述保护措施前提下，工程建设对区域重点保护野生植物资源基本无影响。</w:t>
            </w:r>
          </w:p>
          <w:p w14:paraId="7EA0FEC7">
            <w:pPr>
              <w:pStyle w:val="3"/>
              <w:numPr>
                <w:ilvl w:val="1"/>
                <w:numId w:val="0"/>
              </w:numPr>
              <w:bidi w:val="0"/>
              <w:ind w:leftChars="0"/>
              <w:rPr>
                <w:rFonts w:hint="default" w:ascii="Times New Roman" w:hAnsi="Times New Roman" w:cs="Times New Roman"/>
                <w:color w:val="auto"/>
                <w:sz w:val="24"/>
                <w:szCs w:val="24"/>
              </w:rPr>
            </w:pPr>
            <w:bookmarkStart w:id="9" w:name="_Toc19041"/>
            <w:r>
              <w:rPr>
                <w:rFonts w:hint="default" w:ascii="Times New Roman" w:hAnsi="Times New Roman" w:cs="Times New Roman"/>
                <w:color w:val="auto"/>
                <w:sz w:val="24"/>
                <w:szCs w:val="24"/>
                <w:lang w:val="en-US" w:eastAsia="zh-CN"/>
              </w:rPr>
              <w:t>1.3</w:t>
            </w:r>
            <w:r>
              <w:rPr>
                <w:rFonts w:hint="default" w:ascii="Times New Roman" w:hAnsi="Times New Roman" w:cs="Times New Roman"/>
                <w:color w:val="auto"/>
                <w:sz w:val="24"/>
                <w:szCs w:val="24"/>
              </w:rPr>
              <w:t>动物多样性影响分析</w:t>
            </w:r>
            <w:bookmarkEnd w:id="9"/>
          </w:p>
          <w:p w14:paraId="4E5A860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工程对野生动物的生态扰动主要集中在施工期，运营期基本无新增扰动影响。项目区动物区划隶属于东洋界、华南区滇中高原山地亚区。受长期人为活动干扰，区域原生植被结构较为单一，缺乏大面积连片森林生境，整体陆生脊椎动物物种丰度偏低、种群密度较小、群落结构简单。区域现存野生动物均为广布、常见乡土物种，无狭域特有种。其中两栖类主要为蟾蜍科、蛙科、树蛙科、姬蛙科常见物种；爬行类以壁虎科、石龙子科、游蛇科为主；鸟类以中小型广布型留鸟、繁殖鸟及过境鸟为主；兽类以啮齿类小型动物多见，主要包括赤腹松鼠、小家鼠、褐家鼠等。</w:t>
            </w:r>
          </w:p>
          <w:p w14:paraId="4CE3F7E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eastAsia" w:ascii="Times New Roman" w:hAnsi="Times New Roman" w:cs="Times New Roman"/>
                <w:b/>
                <w:bCs/>
                <w:color w:val="auto"/>
                <w:sz w:val="24"/>
                <w:szCs w:val="24"/>
                <w:lang w:eastAsia="zh-CN"/>
              </w:rPr>
              <w:t>（</w:t>
            </w:r>
            <w:r>
              <w:rPr>
                <w:rFonts w:hint="default"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lang w:eastAsia="zh-CN"/>
              </w:rPr>
              <w:t>）</w:t>
            </w:r>
            <w:r>
              <w:rPr>
                <w:rFonts w:hint="default" w:ascii="Times New Roman" w:hAnsi="Times New Roman" w:eastAsia="宋体" w:cs="Times New Roman"/>
                <w:b/>
                <w:bCs/>
                <w:color w:val="auto"/>
                <w:sz w:val="24"/>
                <w:szCs w:val="24"/>
              </w:rPr>
              <w:t>施工对野生动物的影响</w:t>
            </w:r>
          </w:p>
          <w:p w14:paraId="5E6C58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rPr>
              <w:t>栖息地改变对野生动物的影响</w:t>
            </w:r>
          </w:p>
          <w:p w14:paraId="11A478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项目沿线区域生境类型同质化程度较高，施工扰动范围外存在大量同质替代生境，可为野生动物提供就近迁徙、栖息条件。本工程采用分段开挖、分段施工、逐段恢复的施工模式，单段施工周期短、扰动范围集中且可控，不会造成大面积、永久性生境损毁。单段施工结束后立即开展覆土复原与植被恢复，原有栖息生境可快速修复，野生动物可回迁原区域，整体生境扰动具有局部性、暂时性、可恢复性特征</w:t>
            </w:r>
            <w:r>
              <w:rPr>
                <w:rFonts w:hint="default" w:ascii="Times New Roman" w:hAnsi="Times New Roman" w:eastAsia="宋体" w:cs="Times New Roman"/>
                <w:color w:val="auto"/>
                <w:sz w:val="24"/>
                <w:szCs w:val="24"/>
              </w:rPr>
              <w:t>。</w:t>
            </w:r>
          </w:p>
          <w:p w14:paraId="34F0F5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施工机械和施工方式对动物的影响</w:t>
            </w:r>
          </w:p>
          <w:p w14:paraId="7C622C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施工机械作业、人员活动、噪声振动等会对野生动物产生短时惊扰与驱赶效应。通过优化施工时序，尽量避开野生动物繁殖育幼关键期，采用“边开挖、边铺管、边回填、边治理”的流水作业方式，最大限度压缩扰动时长与扰动范围，可有效降低施工对野生动物活动、栖息的干扰程度。工程管线为地下敷设方式，无连续阻隔构造，不会形成生态隔离断裂带，不阻断区域野生动物正常迁徙、觅食活动</w:t>
            </w:r>
            <w:r>
              <w:rPr>
                <w:rFonts w:hint="default" w:ascii="Times New Roman" w:hAnsi="Times New Roman" w:eastAsia="宋体" w:cs="Times New Roman"/>
                <w:color w:val="auto"/>
                <w:sz w:val="24"/>
                <w:szCs w:val="24"/>
              </w:rPr>
              <w:t>。</w:t>
            </w:r>
          </w:p>
          <w:p w14:paraId="7C34E96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rPr>
            </w:pPr>
            <w:r>
              <w:rPr>
                <w:rFonts w:hint="eastAsia" w:ascii="Times New Roman" w:hAnsi="Times New Roman" w:cs="Times New Roman"/>
                <w:b/>
                <w:bCs/>
                <w:color w:val="auto"/>
                <w:sz w:val="24"/>
                <w:szCs w:val="24"/>
                <w:lang w:eastAsia="zh-CN"/>
              </w:rPr>
              <w:t>（</w:t>
            </w:r>
            <w:r>
              <w:rPr>
                <w:rFonts w:hint="default"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eastAsia="zh-CN"/>
              </w:rPr>
              <w:t>）</w:t>
            </w:r>
            <w:r>
              <w:rPr>
                <w:rFonts w:hint="default" w:ascii="Times New Roman" w:hAnsi="Times New Roman" w:eastAsia="宋体" w:cs="Times New Roman"/>
                <w:b/>
                <w:bCs/>
                <w:color w:val="auto"/>
                <w:sz w:val="24"/>
                <w:szCs w:val="24"/>
              </w:rPr>
              <w:t>施工对各类野生动物的具体影响表现</w:t>
            </w:r>
          </w:p>
          <w:p w14:paraId="10B2AF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1）兽类的影响 </w:t>
            </w:r>
          </w:p>
          <w:p w14:paraId="36BA6D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施工扰动主要影响区域内灌草丛生境栖息的小型啮齿类兽类。施工占地开挖、机械噪声及人员活动会降低局部生境适宜度，致使区域内小型兽类短时外迁，局部种群数量短暂下降。但小型兽类活动能力强、迁移范围广，可就近利用周边同质生境临时栖息。施工期通过加强现场管控、禁止非法捕猎、强化施工人员生态保护宣教，可杜绝人为捕杀影响。施工结束后，随着植被恢复、生境修复及人为扰动消退，外迁兽类可逐步回迁，区域兽类种群结构与数量可恢复至原有水平。工程对兽类仅存在短期局部扰动，无长期、不可逆不利影响。 </w:t>
            </w:r>
          </w:p>
          <w:p w14:paraId="70A46C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2）鸟类的影响 </w:t>
            </w:r>
          </w:p>
          <w:p w14:paraId="219479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评价区内无重点保护鸟类集中栖息地、固定繁殖地、觅食场及越冬地，无特殊不可替代鸟类生境。施工噪声、人员活动会对区域广布型中小型鸟类产生短时惊扰，促使鸟类临时避让施工区域。由于鸟类飞行活动范围大、环境适应性强，且项目沿线同质生境广泛分布，施工扰动不会造成鸟类种群消亡、物种减少及区域性生物多样性损失。施工期间严格落实管控措施，严禁捕杀、惊扰野生鸟类，可进一步降低扰动影响，工程对区域鸟类种群结构、群落稳定性基本无不利影响。 </w:t>
            </w:r>
          </w:p>
          <w:p w14:paraId="5CA97A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3）爬行类动物的影响 </w:t>
            </w:r>
          </w:p>
          <w:p w14:paraId="392962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施工便道修建、场地开挖及人员进场会短时惊扰、扰动施工范围内爬行类动物，破坏局部表层栖息生境，促使爬行类向周边未扰动区域迁徙。区域周边植被覆盖良好、生境条件相似，爬行类运动迁移与环境适应能力较强，可快速就近寻觅适宜栖息环境。工程仅造成局部个体短时迁移，不会改变区域爬行类物种组成，对其种群数量、群落结构无显著不利影响。 </w:t>
            </w:r>
          </w:p>
          <w:p w14:paraId="7827E3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4）两栖类动物的影响 </w:t>
            </w:r>
          </w:p>
          <w:p w14:paraId="7DA5AC5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区域两栖类主要栖息于管线沿线稻田、池塘、小型河道及浅表水域环境。本工程涉水施工采用分段短时作业模式，单段施工周期短、水体扰动范围小，仅短时提升局部水体悬浮物浓度，不会造成水域生态功能退化。施工结束后及时开展河床整形、岸坡修复及水生生境恢复，水域栖息环境可快速复原，两栖类动物可回迁原栖息区域。工程对两栖类栖息、繁殖及种群延续的影响轻微且可逆</w:t>
            </w:r>
            <w:r>
              <w:rPr>
                <w:rFonts w:hint="default" w:ascii="Times New Roman" w:hAnsi="Times New Roman" w:eastAsia="宋体" w:cs="Times New Roman"/>
                <w:color w:val="auto"/>
                <w:sz w:val="24"/>
                <w:szCs w:val="24"/>
              </w:rPr>
              <w:t>。</w:t>
            </w:r>
          </w:p>
          <w:p w14:paraId="3632BFD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bookmarkStart w:id="10" w:name="_bookmark54"/>
            <w:bookmarkEnd w:id="10"/>
            <w:bookmarkStart w:id="11" w:name="_bookmark55"/>
            <w:bookmarkEnd w:id="11"/>
            <w:bookmarkStart w:id="12" w:name="_Toc8020"/>
            <w:r>
              <w:rPr>
                <w:rFonts w:hint="eastAsia" w:ascii="Times New Roman" w:hAnsi="Times New Roman" w:cs="Times New Roman"/>
                <w:b/>
                <w:bCs/>
                <w:color w:val="auto"/>
                <w:sz w:val="24"/>
                <w:szCs w:val="24"/>
                <w:lang w:val="en-US" w:eastAsia="zh-CN"/>
              </w:rPr>
              <w:t>（</w:t>
            </w:r>
            <w:r>
              <w:rPr>
                <w:rFonts w:hint="default" w:ascii="Times New Roman" w:hAnsi="Times New Roman" w:eastAsia="宋体" w:cs="Times New Roman"/>
                <w:b/>
                <w:bCs/>
                <w:color w:val="auto"/>
                <w:sz w:val="24"/>
                <w:szCs w:val="24"/>
                <w:lang w:val="en-US" w:eastAsia="zh-CN"/>
              </w:rPr>
              <w:t>3）对重要野生动物影响分析</w:t>
            </w:r>
            <w:bookmarkEnd w:id="12"/>
          </w:p>
          <w:p w14:paraId="04C2EB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经现场调查、走访核查及资料检索，项目评价范围内无国家、省级重点保护野生鸟类、兽类、两栖爬行类物种的集中分布区、繁殖地、栖息地及关键生态位点，无珍稀濒危野生动物固定活动区域。工程施工及运营阶段不会对重点保护野生动物种群及生存环境造成不利影响。通过落实施工期常态化生态巡查、人员保护培训、严禁非法捕猎等管控措施，可彻底规避潜在扰动风险，对区域珍稀野生动物资源影响可忽略。</w:t>
            </w:r>
          </w:p>
          <w:p w14:paraId="6745080E">
            <w:pPr>
              <w:pStyle w:val="4"/>
              <w:numPr>
                <w:ilvl w:val="2"/>
                <w:numId w:val="0"/>
              </w:numPr>
              <w:bidi w:val="0"/>
              <w:ind w:leftChars="0"/>
              <w:rPr>
                <w:rFonts w:hint="default" w:ascii="Times New Roman" w:hAnsi="Times New Roman" w:eastAsia="宋体" w:cs="Times New Roman"/>
                <w:color w:val="auto"/>
                <w:sz w:val="24"/>
                <w:szCs w:val="24"/>
              </w:rPr>
            </w:pPr>
            <w:bookmarkStart w:id="13" w:name="_Toc5049"/>
            <w:r>
              <w:rPr>
                <w:rFonts w:hint="default" w:ascii="Times New Roman" w:hAnsi="Times New Roman" w:eastAsia="宋体" w:cs="Times New Roman"/>
                <w:color w:val="auto"/>
                <w:sz w:val="24"/>
                <w:szCs w:val="24"/>
                <w:lang w:val="en-US" w:eastAsia="zh-CN"/>
              </w:rPr>
              <w:t>1.4</w:t>
            </w:r>
            <w:r>
              <w:rPr>
                <w:rFonts w:hint="default" w:ascii="Times New Roman" w:hAnsi="Times New Roman" w:eastAsia="宋体" w:cs="Times New Roman"/>
                <w:color w:val="auto"/>
                <w:sz w:val="24"/>
                <w:szCs w:val="24"/>
              </w:rPr>
              <w:t>水生生物影响分析</w:t>
            </w:r>
            <w:bookmarkEnd w:id="13"/>
          </w:p>
          <w:p w14:paraId="5A9BF1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GB" w:eastAsia="zh-CN"/>
              </w:rPr>
            </w:pPr>
            <w:r>
              <w:rPr>
                <w:rFonts w:hint="default" w:ascii="Times New Roman" w:hAnsi="Times New Roman" w:eastAsia="宋体" w:cs="Times New Roman"/>
                <w:color w:val="auto"/>
                <w:sz w:val="24"/>
                <w:szCs w:val="24"/>
                <w:lang w:val="en-US" w:eastAsia="zh-CN"/>
              </w:rPr>
              <w:t>本工程管线穿越河道区段局部采用围堰导流施工工艺，施工期短时扰动河床，造成局部水体悬浮物浓度升高，对浮游生物、底栖生物及小型水生动物产生短暂扰动。项目全程采用“分段、短时、流水作业”施工模式，无长时间、大范围水体扰动；施工结束后立即开展河床平整、岸坡稳固、生态护岸修复等措施，快速恢复原有水域地形与水文条件。</w:t>
            </w:r>
          </w:p>
          <w:p w14:paraId="0F1E2F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施工扰动仅局限于施工窗口期，影响范围小、持续时间短、可逆性强，不会造成水生生物物种减少、种群结构改变及水域生态系统退化，底栖生境、浮游生境可快速自然恢复。整体而言，工程建设对区域水生生物群落结构、生物量及水域生态功能无显著不利影响。</w:t>
            </w:r>
          </w:p>
          <w:p w14:paraId="11E8C823">
            <w:pPr>
              <w:pStyle w:val="4"/>
              <w:numPr>
                <w:ilvl w:val="2"/>
                <w:numId w:val="0"/>
              </w:numPr>
              <w:bidi w:val="0"/>
              <w:ind w:leftChars="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1.5景观影响分析</w:t>
            </w:r>
          </w:p>
          <w:p w14:paraId="0E6034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GB" w:eastAsia="zh-CN"/>
              </w:rPr>
              <w:t>项目建设将破坏一定数量的地表植被，林地用途将发生改变，影响人们的视觉，对</w:t>
            </w:r>
            <w:r>
              <w:rPr>
                <w:rFonts w:hint="default" w:ascii="Times New Roman" w:hAnsi="Times New Roman" w:eastAsia="宋体" w:cs="Times New Roman"/>
                <w:color w:val="auto"/>
                <w:sz w:val="24"/>
                <w:szCs w:val="24"/>
                <w:lang w:val="en-US" w:eastAsia="zh-CN"/>
              </w:rPr>
              <w:t>区域</w:t>
            </w:r>
            <w:r>
              <w:rPr>
                <w:rFonts w:hint="default" w:ascii="Times New Roman" w:hAnsi="Times New Roman" w:eastAsia="宋体" w:cs="Times New Roman"/>
                <w:color w:val="auto"/>
                <w:sz w:val="24"/>
                <w:szCs w:val="24"/>
                <w:lang w:val="en-GB" w:eastAsia="zh-CN"/>
              </w:rPr>
              <w:t>的自然景观有一定影响。但使用林地范围</w:t>
            </w:r>
            <w:r>
              <w:rPr>
                <w:rFonts w:hint="default" w:ascii="Times New Roman" w:hAnsi="Times New Roman" w:eastAsia="宋体" w:cs="Times New Roman"/>
                <w:color w:val="auto"/>
                <w:sz w:val="24"/>
                <w:szCs w:val="24"/>
                <w:lang w:val="en-US" w:eastAsia="zh-CN"/>
              </w:rPr>
              <w:t>内、周边</w:t>
            </w:r>
            <w:r>
              <w:rPr>
                <w:rFonts w:hint="default" w:ascii="Times New Roman" w:hAnsi="Times New Roman" w:eastAsia="宋体" w:cs="Times New Roman"/>
                <w:color w:val="auto"/>
                <w:sz w:val="24"/>
                <w:szCs w:val="24"/>
                <w:lang w:val="en-GB" w:eastAsia="zh-CN"/>
              </w:rPr>
              <w:t>无风景名胜区，文物古迹，无特殊的森林景观和其它自然景观，</w:t>
            </w:r>
            <w:r>
              <w:rPr>
                <w:rFonts w:hint="default" w:ascii="Times New Roman" w:hAnsi="Times New Roman" w:eastAsia="宋体" w:cs="Times New Roman"/>
                <w:color w:val="auto"/>
                <w:sz w:val="24"/>
                <w:szCs w:val="24"/>
                <w:lang w:val="en-US" w:eastAsia="zh-CN"/>
              </w:rPr>
              <w:t>且</w:t>
            </w:r>
            <w:r>
              <w:rPr>
                <w:rFonts w:hint="default" w:ascii="Times New Roman" w:hAnsi="Times New Roman" w:eastAsia="宋体" w:cs="Times New Roman"/>
                <w:color w:val="auto"/>
                <w:sz w:val="24"/>
                <w:szCs w:val="24"/>
                <w:lang w:val="en-GB" w:eastAsia="zh-CN"/>
              </w:rPr>
              <w:t>不在主要交通干线的视野范围内，对于一定范围内的生态景观影响小。</w:t>
            </w:r>
          </w:p>
          <w:p w14:paraId="693D878A">
            <w:pPr>
              <w:pStyle w:val="4"/>
              <w:numPr>
                <w:ilvl w:val="2"/>
                <w:numId w:val="0"/>
              </w:numPr>
              <w:bidi w:val="0"/>
              <w:ind w:leftChars="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1.6生态系统影响分析</w:t>
            </w:r>
          </w:p>
          <w:p w14:paraId="42684B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经过分析，</w:t>
            </w:r>
            <w:r>
              <w:rPr>
                <w:rFonts w:hint="default" w:ascii="Times New Roman" w:hAnsi="Times New Roman" w:eastAsia="宋体" w:cs="Times New Roman"/>
                <w:color w:val="auto"/>
                <w:sz w:val="24"/>
                <w:szCs w:val="24"/>
                <w:lang w:val="en-GB" w:eastAsia="zh-CN"/>
              </w:rPr>
              <w:t>拟建项目对评价范围内的生态系统影响较小。</w:t>
            </w:r>
          </w:p>
          <w:p w14:paraId="3EDC9A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lang w:val="en-US" w:eastAsia="zh-CN"/>
              </w:rPr>
            </w:pPr>
            <w:r>
              <w:rPr>
                <w:rFonts w:hint="default" w:ascii="Times New Roman" w:hAnsi="Times New Roman" w:eastAsia="宋体" w:cs="Times New Roman"/>
                <w:color w:val="auto"/>
                <w:sz w:val="24"/>
                <w:szCs w:val="24"/>
                <w:lang w:val="en-US" w:eastAsia="zh-CN"/>
              </w:rPr>
              <w:t>总体而言，项目施工过程对评价区生态环境的影响可接受，从保护生态环境角度分析项目建设可</w:t>
            </w:r>
            <w:r>
              <w:rPr>
                <w:rFonts w:hint="default" w:ascii="Times New Roman" w:hAnsi="Times New Roman" w:cs="Times New Roman"/>
                <w:color w:val="auto"/>
                <w:sz w:val="24"/>
                <w:szCs w:val="24"/>
                <w:lang w:val="en-US" w:eastAsia="zh-CN"/>
              </w:rPr>
              <w:t>行</w:t>
            </w:r>
            <w:r>
              <w:rPr>
                <w:rFonts w:hint="default" w:ascii="Times New Roman" w:hAnsi="Times New Roman" w:eastAsia="宋体" w:cs="Times New Roman"/>
                <w:color w:val="auto"/>
                <w:sz w:val="24"/>
                <w:szCs w:val="24"/>
                <w:lang w:val="en-US" w:eastAsia="zh-CN"/>
              </w:rPr>
              <w:t>。</w:t>
            </w:r>
          </w:p>
          <w:p w14:paraId="782762A2">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TimesNewRomanPS-BoldMT"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rPr>
              <w:t>、环境空气影响分析</w:t>
            </w:r>
          </w:p>
          <w:p w14:paraId="5F9CE1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color w:val="auto"/>
                <w:sz w:val="24"/>
                <w:szCs w:val="24"/>
                <w:highlight w:val="none"/>
              </w:rPr>
              <w:t>结合项目工程分析结果，项目施工期对环境空气影响的主要污染物为施工扬尘，污染因子为TSP、PM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，呈无组织排放，经洒水降尘后</w:t>
            </w:r>
            <w:r>
              <w:rPr>
                <w:rFonts w:hint="default" w:ascii="Times New Roman" w:hAnsi="Times New Roman" w:cs="Times New Roman"/>
                <w:color w:val="auto"/>
                <w:sz w:val="24"/>
                <w:szCs w:val="24"/>
                <w:highlight w:val="none"/>
                <w:lang w:val="en-US" w:eastAsia="zh-CN"/>
              </w:rPr>
              <w:t>少量外排大气环境。</w:t>
            </w:r>
          </w:p>
          <w:p w14:paraId="35F9CE7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项目在施工时，土方开挖、</w:t>
            </w:r>
            <w:r>
              <w:rPr>
                <w:rFonts w:hint="default" w:ascii="Times New Roman" w:hAnsi="Times New Roman" w:eastAsia="宋体" w:cs="Times New Roman"/>
                <w:color w:val="auto"/>
                <w:sz w:val="24"/>
                <w:szCs w:val="24"/>
                <w:highlight w:val="none"/>
                <w:lang w:val="en-US" w:eastAsia="zh-CN"/>
              </w:rPr>
              <w:t>回填</w:t>
            </w:r>
            <w:r>
              <w:rPr>
                <w:rFonts w:hint="default" w:ascii="Times New Roman" w:hAnsi="Times New Roman" w:eastAsia="宋体" w:cs="Times New Roman"/>
                <w:color w:val="auto"/>
                <w:sz w:val="24"/>
                <w:szCs w:val="24"/>
                <w:highlight w:val="none"/>
              </w:rPr>
              <w:t>和材料运输、</w:t>
            </w:r>
            <w:r>
              <w:rPr>
                <w:rFonts w:hint="default" w:ascii="Times New Roman" w:hAnsi="Times New Roman" w:eastAsia="宋体" w:cs="Times New Roman"/>
                <w:color w:val="auto"/>
                <w:sz w:val="24"/>
                <w:szCs w:val="24"/>
                <w:highlight w:val="none"/>
                <w:lang w:val="en-US" w:eastAsia="zh-CN"/>
              </w:rPr>
              <w:t>提升泵站内建构筑物施工</w:t>
            </w:r>
            <w:r>
              <w:rPr>
                <w:rFonts w:hint="default" w:ascii="Times New Roman" w:hAnsi="Times New Roman" w:eastAsia="宋体" w:cs="Times New Roman"/>
                <w:color w:val="auto"/>
                <w:sz w:val="24"/>
                <w:szCs w:val="24"/>
                <w:highlight w:val="none"/>
              </w:rPr>
              <w:t>等工程工序中都会产生大气污染物，导致大气质量下降，在项目施工期主要大气污染物是施工扬尘、施工机械废气、施工车辆尾气等。</w:t>
            </w:r>
          </w:p>
          <w:p w14:paraId="57F3B67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1）施工期扬尘影响</w:t>
            </w:r>
          </w:p>
          <w:p w14:paraId="0F4B68D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施工场地产生的扬尘主要来源于施工作业、车辆运输、堆场物料装卸。</w:t>
            </w:r>
          </w:p>
          <w:p w14:paraId="470C700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扬尘与堆场面积、裸地面积和风速有关，本项目废弃土石一般都得到了及时的清运，裸地面积也较小，项目所在地平均风速较小；本项目施工场地面积较小，运输车辆在场地内运距极短，经冲洗后，所携带的扬尘量极小，可忽略不计。因此，本项目施工期产生的扬尘对周围环境空气质量影响较小。</w:t>
            </w:r>
          </w:p>
          <w:p w14:paraId="241E675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在整个施工期，产生扬尘的作业有土地平整、打桩、基础开挖、回填、建材运输、装卸等过程，如遇干旱无雨季节，加上大风，施工扬尘则更为严重。</w:t>
            </w:r>
          </w:p>
          <w:p w14:paraId="6B75F33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lang w:eastAsia="zh-CN"/>
              </w:rPr>
              <w:t>据有关调查</w:t>
            </w:r>
            <w:r>
              <w:rPr>
                <w:rFonts w:hint="default" w:ascii="Times New Roman" w:hAnsi="Times New Roman" w:eastAsia="宋体" w:cs="Times New Roman"/>
                <w:color w:val="auto"/>
                <w:sz w:val="24"/>
                <w:szCs w:val="24"/>
                <w:highlight w:val="none"/>
              </w:rPr>
              <w:t>，施工工地的扬尘主要是由运输车辆行驶产生，约占扬尘总量的60%，并与路面行驶速度有关，一般情况下，施工场地等在自然风作用下产生的扬尘所影响的范围在100m 以内。如果在施工期间对车辆行驶的路面实施洒水抑尘，每天洒水4-5 次，可使扬尘减少70%左右。</w:t>
            </w:r>
          </w:p>
          <w:p w14:paraId="5034761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施工期的扬尘属无组织排放，其产生量与施工范围、方式方法、土壤干湿度、气象等诸多因素有关，是一个复杂较难定量的问题。本项目采用类比方法对环境空气影响进行分析。</w:t>
            </w:r>
          </w:p>
          <w:p w14:paraId="3A6FD02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北京环境保护科学研究院曾对7 个建筑工程施工工地的扬尘情况进行了测定，测定时风速为2.4m/s，测试结果表明以下两点：</w:t>
            </w:r>
          </w:p>
          <w:p w14:paraId="30845B3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①建筑施工扬尘严重，当风速为2.4m/s 时，工地内TSP 浓度为上风向对照点的1.5～2.3 倍，平均1.88 倍，相当于空气环境标准的1.4～2.5 倍，平均1.98 倍。</w:t>
            </w:r>
          </w:p>
          <w:p w14:paraId="5C7713A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②建筑施工扬尘的影响范围为其下风向150m 之内，被影响地区的TSP浓度平均值为0.491mg/m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，为上风向对照点的1.5 倍，相当于空气环境标准的1.6 倍。</w:t>
            </w:r>
          </w:p>
          <w:p w14:paraId="64D820B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根据有关资料，在施工现场，近地面的扬尘浓度一般为0.5～12mg/m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，随地面风速、开挖土方和淤泥弃土的湿度而发生较大变化。在干燥和风速较大天气情况下，施工现场近地面粉尘浓度会超过《环境空气质量标准》</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GB3096-20</w:t>
            </w:r>
            <w:r>
              <w:rPr>
                <w:rFonts w:hint="default" w:ascii="Times New Roman" w:hAnsi="Times New Roman"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过渡阶段</w:t>
            </w:r>
            <w:r>
              <w:rPr>
                <w:rFonts w:hint="default" w:ascii="Times New Roman" w:hAnsi="Times New Roman" w:eastAsia="宋体" w:cs="Times New Roman"/>
                <w:color w:val="auto"/>
                <w:sz w:val="24"/>
                <w:szCs w:val="24"/>
                <w:highlight w:val="none"/>
              </w:rPr>
              <w:t>二级标准中日平均值0.3 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 xml:space="preserve"> 的1～40 倍，污染比较严重。</w:t>
            </w:r>
          </w:p>
          <w:p w14:paraId="63F99E5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lang w:val="en-US" w:eastAsia="zh-CN"/>
              </w:rPr>
              <w:t>安宁</w:t>
            </w:r>
            <w:r>
              <w:rPr>
                <w:rFonts w:hint="default" w:ascii="Times New Roman" w:hAnsi="Times New Roman" w:eastAsia="宋体" w:cs="Times New Roman"/>
                <w:color w:val="auto"/>
                <w:sz w:val="24"/>
                <w:szCs w:val="24"/>
                <w:highlight w:val="none"/>
              </w:rPr>
              <w:t>市常年主导风向为西南风，年平均风速2.2m/s，当地年均风速稍小于类比2.4m/s 风速，预计项目施工影响范围将在150m 范围内，在主导下风向超标范围将扩大。非雨期间、气候干燥，易产生扬尘污染。</w:t>
            </w:r>
          </w:p>
          <w:p w14:paraId="6BBDF3E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本项目工程建设总工期</w:t>
            </w:r>
            <w:r>
              <w:rPr>
                <w:rFonts w:hint="default" w:ascii="Times New Roman" w:hAnsi="Times New Roman" w:cs="Times New Roman"/>
                <w:color w:val="auto"/>
                <w:sz w:val="24"/>
                <w:szCs w:val="24"/>
                <w:highlight w:val="none"/>
                <w:lang w:val="en-US" w:eastAsia="zh-CN"/>
              </w:rPr>
              <w:t>11</w:t>
            </w:r>
            <w:r>
              <w:rPr>
                <w:rFonts w:hint="default" w:ascii="Times New Roman" w:hAnsi="Times New Roman" w:eastAsia="宋体" w:cs="Times New Roman"/>
                <w:color w:val="auto"/>
                <w:sz w:val="24"/>
                <w:szCs w:val="24"/>
                <w:highlight w:val="none"/>
              </w:rPr>
              <w:t>个月，扬尘的产生主要集中于基础施工和建筑物建设，主要对施工场区外50m和下风向150m范围会产生污染影响。据现场调查，项目施工场地周围150m范围内</w:t>
            </w:r>
            <w:r>
              <w:rPr>
                <w:rFonts w:hint="default" w:ascii="Times New Roman" w:hAnsi="Times New Roman" w:eastAsia="宋体" w:cs="Times New Roman"/>
                <w:color w:val="auto"/>
                <w:sz w:val="24"/>
                <w:szCs w:val="24"/>
                <w:highlight w:val="none"/>
                <w:lang w:val="en-US" w:eastAsia="zh-CN"/>
              </w:rPr>
              <w:t>有</w:t>
            </w:r>
            <w:r>
              <w:rPr>
                <w:rFonts w:hint="default" w:ascii="Times New Roman" w:hAnsi="Times New Roman" w:eastAsia="宋体" w:cs="Times New Roman"/>
                <w:color w:val="auto"/>
                <w:sz w:val="24"/>
                <w:szCs w:val="24"/>
                <w:highlight w:val="none"/>
              </w:rPr>
              <w:t>保护对象分布，</w:t>
            </w:r>
            <w:r>
              <w:rPr>
                <w:rFonts w:hint="default" w:ascii="Times New Roman" w:hAnsi="Times New Roman" w:eastAsia="宋体" w:cs="Times New Roman"/>
                <w:color w:val="auto"/>
                <w:sz w:val="24"/>
                <w:szCs w:val="24"/>
                <w:highlight w:val="none"/>
                <w:lang w:val="en-US" w:eastAsia="zh-CN"/>
              </w:rPr>
              <w:t>由于各管线施工段开挖量较少，且时间段较短，因此分析认为，工程施工对周边居民影响较小。</w:t>
            </w:r>
          </w:p>
          <w:p w14:paraId="5D7E63D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2）施工机械、施工车辆废气影响</w:t>
            </w:r>
          </w:p>
          <w:p w14:paraId="1E1771E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施工机械和运输车辆作业期间产生的尾气，也是影响空气环境的污染物之一。</w:t>
            </w:r>
          </w:p>
          <w:p w14:paraId="4C47A17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施工机械废气主要由施工期土石方阶段中使用的挖土机、装载机等产生的燃油尾气，主要集中产生于项目施工的初期阶段，施工机械废气主要是CO、碳氢化合物等，其产生量及废气中污染物浓度视其使用频率及发动机对燃料的燃烧情况而异。施工机械废气属于低架点源排放性质，具有间断性产生、产生量较小、产生点相对分散、具有易被稀释扩散等特点。项目施工时，各种机械分散地分布于施工场地的各处，施工机械和运输车辆还会不定期移动，尾气排放点也随着设备和车辆的移动而移动，为分散点源排放。一般情况下，由于施工区域相对广阔，而施工机械和运输车辆尾气排放相对较小，经自然扩散和稀释后，对评价区域的空气环境质量影响不大。运输汽车尾气主要成分为CO、N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、HC，尾气排放量小，浓度相对较低。</w:t>
            </w:r>
          </w:p>
          <w:p w14:paraId="34CC588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 xml:space="preserve">3）焊接烟尘 </w:t>
            </w:r>
          </w:p>
          <w:p w14:paraId="76DDA72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管道焊接过程中会产生少量焊接烟气，焊接工艺在开阔空间完成，焊接时间短，同时使用优质环保焊条，废气排放量小且间断性排放，对环境空气的影响有限。</w:t>
            </w:r>
          </w:p>
          <w:p w14:paraId="7AB92AE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总的来说，采取积极的大气污染防治措施后，工程施工对周边环境空气影响较小，可接受。 </w:t>
            </w:r>
          </w:p>
          <w:p w14:paraId="1A2620DD">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、噪声环境影响分析</w:t>
            </w:r>
          </w:p>
          <w:p w14:paraId="2C3DE9FC">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val="en-US" w:eastAsia="zh-CN"/>
              </w:rPr>
              <w:t>.1噪声源强</w:t>
            </w:r>
          </w:p>
          <w:p w14:paraId="2CCDF8D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施工期噪声主要来源于施工机械和运输车辆辐射噪声，对环境影响较大的是推土机、装载机、挖掘机、振捣机、夯实机等施工机械。根据《环境噪声与振动控制工程技术导则》</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HJ2034-2013）附录A 中的资料，项目施工机械噪声级约84~90 dB</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A）。</w:t>
            </w:r>
          </w:p>
          <w:p w14:paraId="00678625">
            <w:pPr>
              <w:spacing w:beforeLines="0" w:afterLines="0"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表</w:t>
            </w:r>
            <w:r>
              <w:rPr>
                <w:rFonts w:hint="default" w:ascii="Times New Roman" w:hAnsi="Times New Roman" w:eastAsia="TimesNewRomanPS-BoldMT" w:cs="Times New Roman"/>
                <w:b/>
                <w:bCs/>
                <w:color w:val="auto"/>
                <w:sz w:val="24"/>
                <w:szCs w:val="24"/>
                <w:highlight w:val="none"/>
              </w:rPr>
              <w:t>4-</w:t>
            </w:r>
            <w:r>
              <w:rPr>
                <w:rFonts w:hint="default" w:ascii="Times New Roman" w:hAnsi="Times New Roman" w:eastAsia="TimesNewRomanPS-BoldMT" w:cs="Times New Roman"/>
                <w:b/>
                <w:bCs/>
                <w:color w:val="auto"/>
                <w:sz w:val="24"/>
                <w:szCs w:val="24"/>
                <w:highlight w:val="none"/>
                <w:lang w:val="en-US" w:eastAsia="zh-CN"/>
              </w:rPr>
              <w:t xml:space="preserve">1    </w:t>
            </w:r>
            <w:r>
              <w:rPr>
                <w:rFonts w:hint="default" w:ascii="Times New Roman" w:hAnsi="Times New Roman" w:eastAsia="宋体" w:cs="Times New Roman"/>
                <w:b/>
                <w:bCs/>
                <w:color w:val="auto"/>
                <w:sz w:val="24"/>
                <w:szCs w:val="24"/>
                <w:highlight w:val="none"/>
              </w:rPr>
              <w:t>施工期主要噪声源噪声强度表</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1"/>
              <w:gridCol w:w="3646"/>
              <w:gridCol w:w="2737"/>
            </w:tblGrid>
            <w:tr w14:paraId="7DEF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5" w:type="pct"/>
                  <w:tcBorders>
                    <w:tl2br w:val="nil"/>
                    <w:tr2bl w:val="nil"/>
                  </w:tcBorders>
                  <w:noWrap w:val="0"/>
                  <w:vAlign w:val="center"/>
                </w:tcPr>
                <w:p w14:paraId="3FDF0500">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声源</w:t>
                  </w:r>
                </w:p>
              </w:tc>
              <w:tc>
                <w:tcPr>
                  <w:tcW w:w="2184" w:type="pct"/>
                  <w:tcBorders>
                    <w:tl2br w:val="nil"/>
                    <w:tr2bl w:val="nil"/>
                  </w:tcBorders>
                  <w:noWrap w:val="0"/>
                  <w:vAlign w:val="center"/>
                </w:tcPr>
                <w:p w14:paraId="35188CE1">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设备名称</w:t>
                  </w:r>
                </w:p>
              </w:tc>
              <w:tc>
                <w:tcPr>
                  <w:tcW w:w="1640" w:type="pct"/>
                  <w:tcBorders>
                    <w:tl2br w:val="nil"/>
                    <w:tr2bl w:val="nil"/>
                  </w:tcBorders>
                  <w:noWrap w:val="0"/>
                  <w:vAlign w:val="center"/>
                </w:tcPr>
                <w:p w14:paraId="2521E2E6">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Times New Roman" w:hAnsi="Times New Roman" w:eastAsia="宋体" w:cs="Times New Roman"/>
                      <w:color w:val="auto"/>
                      <w:sz w:val="21"/>
                      <w:szCs w:val="24"/>
                      <w:lang w:eastAsia="zh-CN"/>
                    </w:rPr>
                  </w:pPr>
                  <w:r>
                    <w:rPr>
                      <w:rFonts w:hint="default" w:ascii="Times New Roman" w:hAnsi="Times New Roman" w:eastAsia="宋体" w:cs="Times New Roman"/>
                      <w:color w:val="auto"/>
                      <w:sz w:val="21"/>
                      <w:szCs w:val="24"/>
                    </w:rPr>
                    <w:t xml:space="preserve">噪声强度 </w:t>
                  </w:r>
                  <w:r>
                    <w:rPr>
                      <w:rFonts w:hint="eastAsia" w:ascii="Times New Roman" w:hAnsi="Times New Roman" w:eastAsia="宋体" w:cs="Times New Roman"/>
                      <w:b/>
                      <w:color w:val="auto"/>
                      <w:sz w:val="21"/>
                      <w:szCs w:val="24"/>
                      <w:lang w:eastAsia="zh-CN"/>
                    </w:rPr>
                    <w:t>（</w:t>
                  </w:r>
                  <w:r>
                    <w:rPr>
                      <w:rFonts w:hint="default" w:ascii="Times New Roman" w:hAnsi="Times New Roman" w:eastAsia="Times New Roman" w:cs="Times New Roman"/>
                      <w:b/>
                      <w:color w:val="auto"/>
                      <w:sz w:val="21"/>
                      <w:szCs w:val="24"/>
                    </w:rPr>
                    <w:t>dB</w:t>
                  </w:r>
                  <w:r>
                    <w:rPr>
                      <w:rFonts w:hint="eastAsia" w:ascii="Times New Roman" w:hAnsi="Times New Roman" w:eastAsia="宋体" w:cs="Times New Roman"/>
                      <w:b/>
                      <w:color w:val="auto"/>
                      <w:sz w:val="21"/>
                      <w:szCs w:val="24"/>
                      <w:lang w:eastAsia="zh-CN"/>
                    </w:rPr>
                    <w:t>（</w:t>
                  </w:r>
                  <w:r>
                    <w:rPr>
                      <w:rFonts w:hint="default" w:ascii="Times New Roman" w:hAnsi="Times New Roman" w:eastAsia="Times New Roman" w:cs="Times New Roman"/>
                      <w:b/>
                      <w:color w:val="auto"/>
                      <w:sz w:val="21"/>
                      <w:szCs w:val="24"/>
                    </w:rPr>
                    <w:t>A</w:t>
                  </w:r>
                  <w:r>
                    <w:rPr>
                      <w:rFonts w:hint="eastAsia" w:ascii="Times New Roman" w:hAnsi="Times New Roman" w:eastAsia="宋体" w:cs="Times New Roman"/>
                      <w:b/>
                      <w:color w:val="auto"/>
                      <w:sz w:val="21"/>
                      <w:szCs w:val="24"/>
                      <w:lang w:eastAsia="zh-CN"/>
                    </w:rPr>
                    <w:t>））</w:t>
                  </w:r>
                </w:p>
              </w:tc>
            </w:tr>
            <w:tr w14:paraId="1204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5" w:type="pct"/>
                  <w:vMerge w:val="restart"/>
                  <w:tcBorders>
                    <w:tl2br w:val="nil"/>
                    <w:tr2bl w:val="nil"/>
                  </w:tcBorders>
                  <w:noWrap w:val="0"/>
                  <w:vAlign w:val="center"/>
                </w:tcPr>
                <w:p w14:paraId="3FCA1966">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施工机械</w:t>
                  </w:r>
                </w:p>
              </w:tc>
              <w:tc>
                <w:tcPr>
                  <w:tcW w:w="2184" w:type="pct"/>
                  <w:tcBorders>
                    <w:tl2br w:val="nil"/>
                    <w:tr2bl w:val="nil"/>
                  </w:tcBorders>
                  <w:noWrap w:val="0"/>
                  <w:vAlign w:val="center"/>
                </w:tcPr>
                <w:p w14:paraId="4191062C">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混凝土搅拌机</w:t>
                  </w:r>
                </w:p>
              </w:tc>
              <w:tc>
                <w:tcPr>
                  <w:tcW w:w="1640" w:type="pct"/>
                  <w:tcBorders>
                    <w:tl2br w:val="nil"/>
                    <w:tr2bl w:val="nil"/>
                  </w:tcBorders>
                  <w:noWrap w:val="0"/>
                  <w:vAlign w:val="center"/>
                </w:tcPr>
                <w:p w14:paraId="6A5A1945">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92</w:t>
                  </w:r>
                </w:p>
              </w:tc>
            </w:tr>
            <w:tr w14:paraId="2312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5" w:type="pct"/>
                  <w:vMerge w:val="continue"/>
                  <w:tcBorders>
                    <w:tl2br w:val="nil"/>
                    <w:tr2bl w:val="nil"/>
                  </w:tcBorders>
                  <w:noWrap w:val="0"/>
                  <w:vAlign w:val="center"/>
                </w:tcPr>
                <w:p w14:paraId="7C683BEF">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cs="Times New Roman"/>
                      <w:color w:val="auto"/>
                      <w:sz w:val="24"/>
                      <w:szCs w:val="24"/>
                    </w:rPr>
                  </w:pPr>
                </w:p>
              </w:tc>
              <w:tc>
                <w:tcPr>
                  <w:tcW w:w="2184" w:type="pct"/>
                  <w:tcBorders>
                    <w:tl2br w:val="nil"/>
                    <w:tr2bl w:val="nil"/>
                  </w:tcBorders>
                  <w:noWrap w:val="0"/>
                  <w:vAlign w:val="center"/>
                </w:tcPr>
                <w:p w14:paraId="4473A58F">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打桩机</w:t>
                  </w:r>
                </w:p>
              </w:tc>
              <w:tc>
                <w:tcPr>
                  <w:tcW w:w="1640" w:type="pct"/>
                  <w:tcBorders>
                    <w:tl2br w:val="nil"/>
                    <w:tr2bl w:val="nil"/>
                  </w:tcBorders>
                  <w:noWrap w:val="0"/>
                  <w:vAlign w:val="center"/>
                </w:tcPr>
                <w:p w14:paraId="4FDD4523">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90</w:t>
                  </w:r>
                </w:p>
              </w:tc>
            </w:tr>
            <w:tr w14:paraId="6353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5" w:type="pct"/>
                  <w:vMerge w:val="continue"/>
                  <w:tcBorders>
                    <w:tl2br w:val="nil"/>
                    <w:tr2bl w:val="nil"/>
                  </w:tcBorders>
                  <w:noWrap w:val="0"/>
                  <w:vAlign w:val="center"/>
                </w:tcPr>
                <w:p w14:paraId="7A2AE759">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cs="Times New Roman"/>
                      <w:color w:val="auto"/>
                      <w:sz w:val="24"/>
                      <w:szCs w:val="24"/>
                    </w:rPr>
                  </w:pPr>
                </w:p>
              </w:tc>
              <w:tc>
                <w:tcPr>
                  <w:tcW w:w="2184" w:type="pct"/>
                  <w:tcBorders>
                    <w:tl2br w:val="nil"/>
                    <w:tr2bl w:val="nil"/>
                  </w:tcBorders>
                  <w:noWrap w:val="0"/>
                  <w:vAlign w:val="center"/>
                </w:tcPr>
                <w:p w14:paraId="1AB0E118">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挖掘机</w:t>
                  </w:r>
                </w:p>
              </w:tc>
              <w:tc>
                <w:tcPr>
                  <w:tcW w:w="1640" w:type="pct"/>
                  <w:tcBorders>
                    <w:tl2br w:val="nil"/>
                    <w:tr2bl w:val="nil"/>
                  </w:tcBorders>
                  <w:noWrap w:val="0"/>
                  <w:vAlign w:val="center"/>
                </w:tcPr>
                <w:p w14:paraId="49CA5C12">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80</w:t>
                  </w:r>
                </w:p>
              </w:tc>
            </w:tr>
            <w:tr w14:paraId="6B18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5" w:type="pct"/>
                  <w:vMerge w:val="continue"/>
                  <w:tcBorders>
                    <w:tl2br w:val="nil"/>
                    <w:tr2bl w:val="nil"/>
                  </w:tcBorders>
                  <w:noWrap w:val="0"/>
                  <w:vAlign w:val="center"/>
                </w:tcPr>
                <w:p w14:paraId="30B2A5E3">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cs="Times New Roman"/>
                      <w:color w:val="auto"/>
                      <w:sz w:val="24"/>
                      <w:szCs w:val="24"/>
                    </w:rPr>
                  </w:pPr>
                </w:p>
              </w:tc>
              <w:tc>
                <w:tcPr>
                  <w:tcW w:w="2184" w:type="pct"/>
                  <w:tcBorders>
                    <w:tl2br w:val="nil"/>
                    <w:tr2bl w:val="nil"/>
                  </w:tcBorders>
                  <w:noWrap w:val="0"/>
                  <w:vAlign w:val="center"/>
                </w:tcPr>
                <w:p w14:paraId="529F708A">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推土机</w:t>
                  </w:r>
                </w:p>
              </w:tc>
              <w:tc>
                <w:tcPr>
                  <w:tcW w:w="1640" w:type="pct"/>
                  <w:tcBorders>
                    <w:tl2br w:val="nil"/>
                    <w:tr2bl w:val="nil"/>
                  </w:tcBorders>
                  <w:noWrap w:val="0"/>
                  <w:vAlign w:val="center"/>
                </w:tcPr>
                <w:p w14:paraId="0D1B79DF">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90</w:t>
                  </w:r>
                </w:p>
              </w:tc>
            </w:tr>
            <w:tr w14:paraId="10E5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5" w:type="pct"/>
                  <w:vMerge w:val="continue"/>
                  <w:tcBorders>
                    <w:tl2br w:val="nil"/>
                    <w:tr2bl w:val="nil"/>
                  </w:tcBorders>
                  <w:noWrap w:val="0"/>
                  <w:vAlign w:val="center"/>
                </w:tcPr>
                <w:p w14:paraId="6B6C19C0">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cs="Times New Roman"/>
                      <w:color w:val="auto"/>
                      <w:sz w:val="24"/>
                      <w:szCs w:val="24"/>
                    </w:rPr>
                  </w:pPr>
                </w:p>
              </w:tc>
              <w:tc>
                <w:tcPr>
                  <w:tcW w:w="2184" w:type="pct"/>
                  <w:tcBorders>
                    <w:tl2br w:val="nil"/>
                    <w:tr2bl w:val="nil"/>
                  </w:tcBorders>
                  <w:noWrap w:val="0"/>
                  <w:vAlign w:val="center"/>
                </w:tcPr>
                <w:p w14:paraId="5BADE190">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振捣器</w:t>
                  </w:r>
                </w:p>
              </w:tc>
              <w:tc>
                <w:tcPr>
                  <w:tcW w:w="1640" w:type="pct"/>
                  <w:tcBorders>
                    <w:tl2br w:val="nil"/>
                    <w:tr2bl w:val="nil"/>
                  </w:tcBorders>
                  <w:noWrap w:val="0"/>
                  <w:vAlign w:val="center"/>
                </w:tcPr>
                <w:p w14:paraId="00D33BCF">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90</w:t>
                  </w:r>
                </w:p>
              </w:tc>
            </w:tr>
            <w:tr w14:paraId="6F0F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5" w:type="pct"/>
                  <w:vMerge w:val="continue"/>
                  <w:tcBorders>
                    <w:tl2br w:val="nil"/>
                    <w:tr2bl w:val="nil"/>
                  </w:tcBorders>
                  <w:noWrap w:val="0"/>
                  <w:vAlign w:val="center"/>
                </w:tcPr>
                <w:p w14:paraId="4270CCAD">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cs="Times New Roman"/>
                      <w:color w:val="auto"/>
                      <w:sz w:val="24"/>
                      <w:szCs w:val="24"/>
                    </w:rPr>
                  </w:pPr>
                </w:p>
              </w:tc>
              <w:tc>
                <w:tcPr>
                  <w:tcW w:w="2184" w:type="pct"/>
                  <w:tcBorders>
                    <w:tl2br w:val="nil"/>
                    <w:tr2bl w:val="nil"/>
                  </w:tcBorders>
                  <w:noWrap w:val="0"/>
                  <w:vAlign w:val="center"/>
                </w:tcPr>
                <w:p w14:paraId="52EF0510">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蛙式夯实机</w:t>
                  </w:r>
                </w:p>
              </w:tc>
              <w:tc>
                <w:tcPr>
                  <w:tcW w:w="1640" w:type="pct"/>
                  <w:tcBorders>
                    <w:tl2br w:val="nil"/>
                    <w:tr2bl w:val="nil"/>
                  </w:tcBorders>
                  <w:noWrap w:val="0"/>
                  <w:vAlign w:val="center"/>
                </w:tcPr>
                <w:p w14:paraId="2DA8FE6E">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90</w:t>
                  </w:r>
                </w:p>
              </w:tc>
            </w:tr>
            <w:tr w14:paraId="2A6F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5" w:type="pct"/>
                  <w:vMerge w:val="continue"/>
                  <w:tcBorders>
                    <w:tl2br w:val="nil"/>
                    <w:tr2bl w:val="nil"/>
                  </w:tcBorders>
                  <w:noWrap w:val="0"/>
                  <w:vAlign w:val="center"/>
                </w:tcPr>
                <w:p w14:paraId="680E0B55">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cs="Times New Roman"/>
                      <w:color w:val="auto"/>
                      <w:sz w:val="24"/>
                      <w:szCs w:val="24"/>
                    </w:rPr>
                  </w:pPr>
                </w:p>
              </w:tc>
              <w:tc>
                <w:tcPr>
                  <w:tcW w:w="2184" w:type="pct"/>
                  <w:tcBorders>
                    <w:tl2br w:val="nil"/>
                    <w:tr2bl w:val="nil"/>
                  </w:tcBorders>
                  <w:noWrap w:val="0"/>
                  <w:vAlign w:val="center"/>
                </w:tcPr>
                <w:p w14:paraId="6415334F">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柴油发电机</w:t>
                  </w:r>
                </w:p>
              </w:tc>
              <w:tc>
                <w:tcPr>
                  <w:tcW w:w="1640" w:type="pct"/>
                  <w:tcBorders>
                    <w:tl2br w:val="nil"/>
                    <w:tr2bl w:val="nil"/>
                  </w:tcBorders>
                  <w:noWrap w:val="0"/>
                  <w:vAlign w:val="center"/>
                </w:tcPr>
                <w:p w14:paraId="7534622E">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90</w:t>
                  </w:r>
                </w:p>
              </w:tc>
            </w:tr>
            <w:tr w14:paraId="0DC3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5" w:type="pct"/>
                  <w:vMerge w:val="restart"/>
                  <w:tcBorders>
                    <w:tl2br w:val="nil"/>
                    <w:tr2bl w:val="nil"/>
                  </w:tcBorders>
                  <w:noWrap w:val="0"/>
                  <w:vAlign w:val="center"/>
                </w:tcPr>
                <w:p w14:paraId="2FC29EE4">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流动声源</w:t>
                  </w:r>
                </w:p>
              </w:tc>
              <w:tc>
                <w:tcPr>
                  <w:tcW w:w="2184" w:type="pct"/>
                  <w:tcBorders>
                    <w:tl2br w:val="nil"/>
                    <w:tr2bl w:val="nil"/>
                  </w:tcBorders>
                  <w:noWrap w:val="0"/>
                  <w:vAlign w:val="center"/>
                </w:tcPr>
                <w:p w14:paraId="23691FD8">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自卸汽车</w:t>
                  </w:r>
                </w:p>
              </w:tc>
              <w:tc>
                <w:tcPr>
                  <w:tcW w:w="1640" w:type="pct"/>
                  <w:tcBorders>
                    <w:tl2br w:val="nil"/>
                    <w:tr2bl w:val="nil"/>
                  </w:tcBorders>
                  <w:noWrap w:val="0"/>
                  <w:vAlign w:val="center"/>
                </w:tcPr>
                <w:p w14:paraId="3400C23F">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75</w:t>
                  </w:r>
                </w:p>
              </w:tc>
            </w:tr>
            <w:tr w14:paraId="2484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5" w:type="pct"/>
                  <w:vMerge w:val="continue"/>
                  <w:tcBorders>
                    <w:tl2br w:val="nil"/>
                    <w:tr2bl w:val="nil"/>
                  </w:tcBorders>
                  <w:noWrap w:val="0"/>
                  <w:vAlign w:val="center"/>
                </w:tcPr>
                <w:p w14:paraId="59FE3DB0">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cs="Times New Roman"/>
                      <w:color w:val="auto"/>
                      <w:sz w:val="24"/>
                      <w:szCs w:val="24"/>
                    </w:rPr>
                  </w:pPr>
                </w:p>
              </w:tc>
              <w:tc>
                <w:tcPr>
                  <w:tcW w:w="2184" w:type="pct"/>
                  <w:tcBorders>
                    <w:tl2br w:val="nil"/>
                    <w:tr2bl w:val="nil"/>
                  </w:tcBorders>
                  <w:noWrap w:val="0"/>
                  <w:vAlign w:val="center"/>
                </w:tcPr>
                <w:p w14:paraId="5BB3955F">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载重汽车</w:t>
                  </w:r>
                </w:p>
              </w:tc>
              <w:tc>
                <w:tcPr>
                  <w:tcW w:w="1640" w:type="pct"/>
                  <w:tcBorders>
                    <w:tl2br w:val="nil"/>
                    <w:tr2bl w:val="nil"/>
                  </w:tcBorders>
                  <w:noWrap w:val="0"/>
                  <w:vAlign w:val="center"/>
                </w:tcPr>
                <w:p w14:paraId="067E1E5F">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80</w:t>
                  </w:r>
                </w:p>
              </w:tc>
            </w:tr>
          </w:tbl>
          <w:p w14:paraId="1AD526E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根据工程分析，项目施工期噪声既有固定噪声源，也有流动噪声源。本项目仅昼间施工，夜间不施工，且属于不连续作业。</w:t>
            </w:r>
          </w:p>
          <w:p w14:paraId="3DC620DD">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val="en-US" w:eastAsia="zh-CN"/>
              </w:rPr>
              <w:t>.2噪声预测结果分析结论及对策措施</w:t>
            </w:r>
          </w:p>
          <w:p w14:paraId="16D8070A">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1）预测模式</w:t>
            </w:r>
          </w:p>
          <w:p w14:paraId="4D6BE82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项目主要噪声源源强见上表。噪声衰减公式如下：</w:t>
            </w:r>
          </w:p>
          <w:p w14:paraId="457D18DE">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L</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＝L</w:t>
            </w:r>
            <w:r>
              <w:rPr>
                <w:rFonts w:hint="default" w:ascii="Times New Roman" w:hAnsi="Times New Roman" w:eastAsia="宋体" w:cs="Times New Roman"/>
                <w:color w:val="auto"/>
                <w:sz w:val="24"/>
                <w:szCs w:val="24"/>
                <w:highlight w:val="none"/>
                <w:vertAlign w:val="subscript"/>
                <w:lang w:val="en-US" w:eastAsia="zh-CN"/>
              </w:rPr>
              <w:t>1</w:t>
            </w:r>
            <w:r>
              <w:rPr>
                <w:rFonts w:hint="default" w:ascii="Times New Roman" w:hAnsi="Times New Roman" w:eastAsia="宋体" w:cs="Times New Roman"/>
                <w:color w:val="auto"/>
                <w:sz w:val="24"/>
                <w:szCs w:val="24"/>
                <w:highlight w:val="none"/>
                <w:lang w:val="en-US" w:eastAsia="zh-CN"/>
              </w:rPr>
              <w:t>－20lgr</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/r</w:t>
            </w:r>
            <w:r>
              <w:rPr>
                <w:rFonts w:hint="default" w:ascii="Times New Roman" w:hAnsi="Times New Roman" w:eastAsia="宋体" w:cs="Times New Roman"/>
                <w:color w:val="auto"/>
                <w:sz w:val="24"/>
                <w:szCs w:val="24"/>
                <w:highlight w:val="none"/>
                <w:vertAlign w:val="subscript"/>
                <w:lang w:val="en-US" w:eastAsia="zh-CN"/>
              </w:rPr>
              <w:t>1</w:t>
            </w:r>
          </w:p>
          <w:p w14:paraId="4BE3193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式中：L</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——距声源r2 处声源值[dB</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A</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]；L</w:t>
            </w:r>
            <w:r>
              <w:rPr>
                <w:rFonts w:hint="default" w:ascii="Times New Roman" w:hAnsi="Times New Roman" w:eastAsia="宋体" w:cs="Times New Roman"/>
                <w:color w:val="auto"/>
                <w:sz w:val="24"/>
                <w:szCs w:val="24"/>
                <w:highlight w:val="none"/>
                <w:vertAlign w:val="subscript"/>
                <w:lang w:val="en-US" w:eastAsia="zh-CN"/>
              </w:rPr>
              <w:t>1</w:t>
            </w:r>
            <w:r>
              <w:rPr>
                <w:rFonts w:hint="default" w:ascii="Times New Roman" w:hAnsi="Times New Roman" w:eastAsia="宋体" w:cs="Times New Roman"/>
                <w:color w:val="auto"/>
                <w:sz w:val="24"/>
                <w:szCs w:val="24"/>
                <w:highlight w:val="none"/>
                <w:lang w:val="en-US" w:eastAsia="zh-CN"/>
              </w:rPr>
              <w:t>——距声源r1 处声源值[dB</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A</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]；r</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、r</w:t>
            </w:r>
            <w:r>
              <w:rPr>
                <w:rFonts w:hint="default" w:ascii="Times New Roman" w:hAnsi="Times New Roman" w:eastAsia="宋体" w:cs="Times New Roman"/>
                <w:color w:val="auto"/>
                <w:sz w:val="24"/>
                <w:szCs w:val="24"/>
                <w:highlight w:val="none"/>
                <w:vertAlign w:val="subscript"/>
                <w:lang w:val="en-US" w:eastAsia="zh-CN"/>
              </w:rPr>
              <w:t>1</w:t>
            </w:r>
            <w:r>
              <w:rPr>
                <w:rFonts w:hint="default" w:ascii="Times New Roman" w:hAnsi="Times New Roman" w:eastAsia="宋体" w:cs="Times New Roman"/>
                <w:color w:val="auto"/>
                <w:sz w:val="24"/>
                <w:szCs w:val="24"/>
                <w:highlight w:val="none"/>
                <w:lang w:val="en-US" w:eastAsia="zh-CN"/>
              </w:rPr>
              <w:t>——与声源的距离</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m</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w:t>
            </w:r>
          </w:p>
          <w:p w14:paraId="19FD27E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噪声叠加公式：</w:t>
            </w:r>
          </w:p>
          <w:p w14:paraId="66B0A4B3">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color w:val="auto"/>
                <w:sz w:val="24"/>
                <w:szCs w:val="24"/>
                <w:highlight w:val="none"/>
                <w:lang w:val="en-US" w:eastAsia="zh-CN"/>
              </w:rPr>
            </w:pPr>
            <m:oMathPara>
              <m:oMath>
                <m:r>
                  <m:rPr>
                    <m:nor/>
                    <m:sty m:val="p"/>
                  </m:rPr>
                  <w:rPr>
                    <w:rFonts w:hint="default" w:ascii="Times New Roman" w:hAnsi="Times New Roman" w:eastAsia="宋体" w:cs="Times New Roman"/>
                    <w:b w:val="0"/>
                    <w:i w:val="0"/>
                    <w:color w:val="auto"/>
                    <w:kern w:val="2"/>
                    <w:sz w:val="24"/>
                    <w:szCs w:val="24"/>
                    <w:highlight w:val="none"/>
                    <w:lang w:val="en-US" w:eastAsia="zh-CN" w:bidi="ar-SA"/>
                  </w:rPr>
                  <m:t>L=10lg</m:t>
                </m:r>
                <m:nary>
                  <m:naryPr>
                    <m:chr m:val="∑"/>
                    <m:limLoc m:val="undOvr"/>
                    <m:ctrlPr>
                      <w:rPr>
                        <w:rFonts w:hint="default" w:ascii="Cambria Math" w:hAnsi="Cambria Math" w:eastAsia="宋体" w:cs="Times New Roman"/>
                        <w:color w:val="auto"/>
                        <w:kern w:val="2"/>
                        <w:sz w:val="24"/>
                        <w:szCs w:val="24"/>
                        <w:highlight w:val="none"/>
                        <w:lang w:val="en-US" w:eastAsia="zh-CN" w:bidi="ar-SA"/>
                      </w:rPr>
                    </m:ctrlPr>
                  </m:naryPr>
                  <m:sub>
                    <m:r>
                      <m:rPr>
                        <m:nor/>
                        <m:sty m:val="p"/>
                      </m:rPr>
                      <w:rPr>
                        <w:rFonts w:hint="default" w:ascii="Times New Roman" w:hAnsi="Times New Roman" w:eastAsia="宋体" w:cs="Times New Roman"/>
                        <w:b w:val="0"/>
                        <w:i w:val="0"/>
                        <w:color w:val="auto"/>
                        <w:kern w:val="2"/>
                        <w:sz w:val="24"/>
                        <w:szCs w:val="24"/>
                        <w:highlight w:val="none"/>
                        <w:lang w:val="en-US" w:eastAsia="zh-CN" w:bidi="ar-SA"/>
                      </w:rPr>
                      <m:t>i=1</m:t>
                    </m:r>
                    <m:ctrlPr>
                      <w:rPr>
                        <w:rFonts w:hint="default" w:ascii="Cambria Math" w:hAnsi="Cambria Math" w:eastAsia="宋体" w:cs="Times New Roman"/>
                        <w:color w:val="auto"/>
                        <w:kern w:val="2"/>
                        <w:sz w:val="24"/>
                        <w:szCs w:val="24"/>
                        <w:highlight w:val="none"/>
                        <w:lang w:val="en-US" w:eastAsia="zh-CN" w:bidi="ar-SA"/>
                      </w:rPr>
                    </m:ctrlPr>
                  </m:sub>
                  <m:sup>
                    <m:r>
                      <m:rPr>
                        <m:nor/>
                        <m:sty m:val="p"/>
                      </m:rPr>
                      <w:rPr>
                        <w:rFonts w:hint="default" w:ascii="Times New Roman" w:hAnsi="Times New Roman" w:eastAsia="宋体" w:cs="Times New Roman"/>
                        <w:b w:val="0"/>
                        <w:i w:val="0"/>
                        <w:color w:val="auto"/>
                        <w:kern w:val="2"/>
                        <w:sz w:val="24"/>
                        <w:szCs w:val="24"/>
                        <w:highlight w:val="none"/>
                        <w:lang w:val="en-US" w:eastAsia="zh-CN" w:bidi="ar-SA"/>
                      </w:rPr>
                      <m:t>n</m:t>
                    </m:r>
                    <m:ctrlPr>
                      <w:rPr>
                        <w:rFonts w:hint="default" w:ascii="Cambria Math" w:hAnsi="Cambria Math" w:eastAsia="宋体" w:cs="Times New Roman"/>
                        <w:color w:val="auto"/>
                        <w:kern w:val="2"/>
                        <w:sz w:val="24"/>
                        <w:szCs w:val="24"/>
                        <w:highlight w:val="none"/>
                        <w:lang w:val="en-US" w:eastAsia="zh-CN" w:bidi="ar-SA"/>
                      </w:rPr>
                    </m:ctrlPr>
                  </m:sup>
                  <m:e>
                    <m:sSup>
                      <m:sSupPr>
                        <m:ctrlPr>
                          <w:rPr>
                            <w:rFonts w:hint="default" w:ascii="Cambria Math" w:hAnsi="Cambria Math" w:eastAsia="宋体" w:cs="Times New Roman"/>
                            <w:color w:val="auto"/>
                            <w:kern w:val="2"/>
                            <w:sz w:val="24"/>
                            <w:szCs w:val="24"/>
                            <w:highlight w:val="none"/>
                            <w:lang w:val="en-US" w:eastAsia="zh-CN" w:bidi="ar-SA"/>
                          </w:rPr>
                        </m:ctrlPr>
                      </m:sSupPr>
                      <m:e>
                        <m:r>
                          <m:rPr>
                            <m:nor/>
                            <m:sty m:val="p"/>
                          </m:rPr>
                          <w:rPr>
                            <w:rFonts w:hint="default" w:ascii="Times New Roman" w:hAnsi="Times New Roman" w:eastAsia="宋体" w:cs="Times New Roman"/>
                            <w:b w:val="0"/>
                            <w:i w:val="0"/>
                            <w:color w:val="auto"/>
                            <w:kern w:val="2"/>
                            <w:sz w:val="24"/>
                            <w:szCs w:val="24"/>
                            <w:highlight w:val="none"/>
                            <w:lang w:val="en-US" w:eastAsia="zh-CN" w:bidi="ar-SA"/>
                          </w:rPr>
                          <m:t>10</m:t>
                        </m:r>
                        <m:ctrlPr>
                          <w:rPr>
                            <w:rFonts w:hint="default" w:ascii="Cambria Math" w:hAnsi="Cambria Math" w:eastAsia="宋体" w:cs="Times New Roman"/>
                            <w:color w:val="auto"/>
                            <w:kern w:val="2"/>
                            <w:sz w:val="24"/>
                            <w:szCs w:val="24"/>
                            <w:highlight w:val="none"/>
                            <w:lang w:val="en-US" w:eastAsia="zh-CN" w:bidi="ar-SA"/>
                          </w:rPr>
                        </m:ctrlPr>
                      </m:e>
                      <m:sup>
                        <m:r>
                          <m:rPr>
                            <m:nor/>
                            <m:sty m:val="p"/>
                          </m:rPr>
                          <w:rPr>
                            <w:rFonts w:hint="default" w:ascii="Times New Roman" w:hAnsi="Times New Roman" w:eastAsia="宋体" w:cs="Times New Roman"/>
                            <w:b w:val="0"/>
                            <w:i w:val="0"/>
                            <w:color w:val="auto"/>
                            <w:kern w:val="2"/>
                            <w:sz w:val="24"/>
                            <w:szCs w:val="24"/>
                            <w:highlight w:val="none"/>
                            <w:lang w:val="en-US" w:eastAsia="zh-CN" w:bidi="ar-SA"/>
                          </w:rPr>
                          <m:t>0.1Li</m:t>
                        </m:r>
                        <m:ctrlPr>
                          <w:rPr>
                            <w:rFonts w:hint="default" w:ascii="Cambria Math" w:hAnsi="Cambria Math" w:eastAsia="宋体" w:cs="Times New Roman"/>
                            <w:color w:val="auto"/>
                            <w:kern w:val="2"/>
                            <w:sz w:val="24"/>
                            <w:szCs w:val="24"/>
                            <w:highlight w:val="none"/>
                            <w:lang w:val="en-US" w:eastAsia="zh-CN" w:bidi="ar-SA"/>
                          </w:rPr>
                        </m:ctrlPr>
                      </m:sup>
                    </m:sSup>
                    <m:ctrlPr>
                      <w:rPr>
                        <w:rFonts w:hint="default" w:ascii="Cambria Math" w:hAnsi="Cambria Math" w:eastAsia="宋体" w:cs="Times New Roman"/>
                        <w:color w:val="auto"/>
                        <w:kern w:val="2"/>
                        <w:sz w:val="24"/>
                        <w:szCs w:val="24"/>
                        <w:highlight w:val="none"/>
                        <w:lang w:val="en-US" w:eastAsia="zh-CN" w:bidi="ar-SA"/>
                      </w:rPr>
                    </m:ctrlPr>
                  </m:e>
                </m:nary>
              </m:oMath>
            </m:oMathPara>
          </w:p>
          <w:p w14:paraId="2818D18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式中：L——某点噪声总叠加值dB</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A</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；Li——第i 个声源的噪声值dB</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A</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；n——声源个数。</w:t>
            </w:r>
          </w:p>
          <w:p w14:paraId="34904A9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2）施工区域周界噪声预测结果</w:t>
            </w:r>
          </w:p>
          <w:p w14:paraId="7D0E16B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预测主要施工机械在不同距离贡献值及多声源叠加值，预测结果见下表。</w:t>
            </w:r>
          </w:p>
          <w:p w14:paraId="61ED151C">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表4-2     各主要施工机械在不同距离处的预测值</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828"/>
              <w:gridCol w:w="644"/>
              <w:gridCol w:w="644"/>
              <w:gridCol w:w="644"/>
              <w:gridCol w:w="644"/>
              <w:gridCol w:w="644"/>
              <w:gridCol w:w="644"/>
              <w:gridCol w:w="645"/>
              <w:gridCol w:w="645"/>
              <w:gridCol w:w="645"/>
              <w:gridCol w:w="645"/>
              <w:gridCol w:w="660"/>
            </w:tblGrid>
            <w:tr w14:paraId="2046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 w:type="pct"/>
                  <w:vMerge w:val="restart"/>
                  <w:tcBorders>
                    <w:tl2br w:val="nil"/>
                    <w:tr2bl w:val="nil"/>
                  </w:tcBorders>
                  <w:noWrap w:val="0"/>
                  <w:vAlign w:val="center"/>
                </w:tcPr>
                <w:p w14:paraId="4848886E">
                  <w:pPr>
                    <w:spacing w:beforeLines="0" w:afterLines="0"/>
                    <w:jc w:val="cente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序号</w:t>
                  </w:r>
                </w:p>
              </w:tc>
              <w:tc>
                <w:tcPr>
                  <w:tcW w:w="495" w:type="pct"/>
                  <w:vMerge w:val="restart"/>
                  <w:tcBorders>
                    <w:tl2br w:val="nil"/>
                    <w:tr2bl w:val="nil"/>
                  </w:tcBorders>
                  <w:noWrap w:val="0"/>
                  <w:vAlign w:val="center"/>
                </w:tcPr>
                <w:p w14:paraId="1065A0A0">
                  <w:pPr>
                    <w:spacing w:beforeLines="0" w:afterLines="0"/>
                    <w:jc w:val="cente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机械名称</w:t>
                  </w:r>
                </w:p>
              </w:tc>
              <w:tc>
                <w:tcPr>
                  <w:tcW w:w="4255" w:type="pct"/>
                  <w:gridSpan w:val="11"/>
                  <w:tcBorders>
                    <w:tl2br w:val="nil"/>
                    <w:tr2bl w:val="nil"/>
                  </w:tcBorders>
                  <w:noWrap w:val="0"/>
                  <w:vAlign w:val="center"/>
                </w:tcPr>
                <w:p w14:paraId="3FA30587">
                  <w:pPr>
                    <w:spacing w:beforeLines="0" w:afterLines="0"/>
                    <w:jc w:val="center"/>
                    <w:rPr>
                      <w:rFonts w:hint="eastAsia" w:ascii="Times New Roman" w:hAnsi="Times New Roman" w:eastAsia="宋体" w:cs="Times New Roman"/>
                      <w:b w:val="0"/>
                      <w:bCs w:val="0"/>
                      <w:color w:val="auto"/>
                      <w:sz w:val="18"/>
                      <w:szCs w:val="18"/>
                      <w:lang w:eastAsia="zh-CN"/>
                    </w:rPr>
                  </w:pPr>
                  <w:r>
                    <w:rPr>
                      <w:rFonts w:hint="default" w:ascii="Times New Roman" w:hAnsi="Times New Roman" w:eastAsia="宋体" w:cs="Times New Roman"/>
                      <w:b w:val="0"/>
                      <w:bCs w:val="0"/>
                      <w:color w:val="auto"/>
                      <w:sz w:val="18"/>
                      <w:szCs w:val="18"/>
                    </w:rPr>
                    <w:t xml:space="preserve">不同距离处的噪声预测 </w:t>
                  </w:r>
                  <w:r>
                    <w:rPr>
                      <w:rFonts w:hint="eastAsia" w:ascii="Times New Roman" w:hAnsi="Times New Roman" w:eastAsia="宋体" w:cs="Times New Roman"/>
                      <w:b w:val="0"/>
                      <w:bCs w:val="0"/>
                      <w:color w:val="auto"/>
                      <w:sz w:val="18"/>
                      <w:szCs w:val="18"/>
                      <w:lang w:eastAsia="zh-CN"/>
                    </w:rPr>
                    <w:t>（</w:t>
                  </w:r>
                  <w:r>
                    <w:rPr>
                      <w:rFonts w:hint="default" w:ascii="Times New Roman" w:hAnsi="Times New Roman" w:eastAsia="Times New Roman" w:cs="Times New Roman"/>
                      <w:b w:val="0"/>
                      <w:bCs w:val="0"/>
                      <w:color w:val="auto"/>
                      <w:sz w:val="18"/>
                      <w:szCs w:val="18"/>
                    </w:rPr>
                    <w:t>dB</w:t>
                  </w:r>
                  <w:r>
                    <w:rPr>
                      <w:rFonts w:hint="eastAsia" w:ascii="Times New Roman" w:hAnsi="Times New Roman" w:eastAsia="宋体" w:cs="Times New Roman"/>
                      <w:b w:val="0"/>
                      <w:bCs w:val="0"/>
                      <w:color w:val="auto"/>
                      <w:sz w:val="18"/>
                      <w:szCs w:val="18"/>
                      <w:lang w:eastAsia="zh-CN"/>
                    </w:rPr>
                    <w:t>（</w:t>
                  </w:r>
                  <w:r>
                    <w:rPr>
                      <w:rFonts w:hint="default" w:ascii="Times New Roman" w:hAnsi="Times New Roman" w:eastAsia="Times New Roman" w:cs="Times New Roman"/>
                      <w:b w:val="0"/>
                      <w:bCs w:val="0"/>
                      <w:color w:val="auto"/>
                      <w:sz w:val="18"/>
                      <w:szCs w:val="18"/>
                    </w:rPr>
                    <w:t>A</w:t>
                  </w:r>
                  <w:r>
                    <w:rPr>
                      <w:rFonts w:hint="eastAsia" w:ascii="Times New Roman" w:hAnsi="Times New Roman" w:eastAsia="宋体" w:cs="Times New Roman"/>
                      <w:b w:val="0"/>
                      <w:bCs w:val="0"/>
                      <w:color w:val="auto"/>
                      <w:sz w:val="18"/>
                      <w:szCs w:val="18"/>
                      <w:lang w:eastAsia="zh-CN"/>
                    </w:rPr>
                    <w:t>））</w:t>
                  </w:r>
                </w:p>
              </w:tc>
            </w:tr>
            <w:tr w14:paraId="76EE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 w:type="pct"/>
                  <w:vMerge w:val="continue"/>
                  <w:tcBorders>
                    <w:tl2br w:val="nil"/>
                    <w:tr2bl w:val="nil"/>
                  </w:tcBorders>
                  <w:noWrap w:val="0"/>
                  <w:vAlign w:val="center"/>
                </w:tcPr>
                <w:p w14:paraId="2A9A8E52">
                  <w:pPr>
                    <w:spacing w:beforeLines="0" w:afterLines="0"/>
                    <w:jc w:val="center"/>
                    <w:rPr>
                      <w:rFonts w:hint="default" w:ascii="Times New Roman" w:hAnsi="Times New Roman" w:cs="Times New Roman"/>
                      <w:b w:val="0"/>
                      <w:bCs w:val="0"/>
                      <w:color w:val="auto"/>
                      <w:sz w:val="18"/>
                      <w:szCs w:val="18"/>
                    </w:rPr>
                  </w:pPr>
                </w:p>
              </w:tc>
              <w:tc>
                <w:tcPr>
                  <w:tcW w:w="495" w:type="pct"/>
                  <w:vMerge w:val="continue"/>
                  <w:tcBorders>
                    <w:tl2br w:val="nil"/>
                    <w:tr2bl w:val="nil"/>
                  </w:tcBorders>
                  <w:noWrap w:val="0"/>
                  <w:vAlign w:val="center"/>
                </w:tcPr>
                <w:p w14:paraId="094023EA">
                  <w:pPr>
                    <w:spacing w:beforeLines="0" w:afterLines="0"/>
                    <w:jc w:val="center"/>
                    <w:rPr>
                      <w:rFonts w:hint="default" w:ascii="Times New Roman" w:hAnsi="Times New Roman" w:cs="Times New Roman"/>
                      <w:b w:val="0"/>
                      <w:bCs w:val="0"/>
                      <w:color w:val="auto"/>
                      <w:sz w:val="18"/>
                      <w:szCs w:val="18"/>
                    </w:rPr>
                  </w:pPr>
                </w:p>
              </w:tc>
              <w:tc>
                <w:tcPr>
                  <w:tcW w:w="386" w:type="pct"/>
                  <w:tcBorders>
                    <w:tl2br w:val="nil"/>
                    <w:tr2bl w:val="nil"/>
                  </w:tcBorders>
                  <w:noWrap w:val="0"/>
                  <w:vAlign w:val="center"/>
                </w:tcPr>
                <w:p w14:paraId="40EB1BBE">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5m</w:t>
                  </w:r>
                </w:p>
              </w:tc>
              <w:tc>
                <w:tcPr>
                  <w:tcW w:w="386" w:type="pct"/>
                  <w:tcBorders>
                    <w:tl2br w:val="nil"/>
                    <w:tr2bl w:val="nil"/>
                  </w:tcBorders>
                  <w:noWrap w:val="0"/>
                  <w:vAlign w:val="center"/>
                </w:tcPr>
                <w:p w14:paraId="7C0EC0EF">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10m</w:t>
                  </w:r>
                </w:p>
              </w:tc>
              <w:tc>
                <w:tcPr>
                  <w:tcW w:w="386" w:type="pct"/>
                  <w:tcBorders>
                    <w:tl2br w:val="nil"/>
                    <w:tr2bl w:val="nil"/>
                  </w:tcBorders>
                  <w:noWrap w:val="0"/>
                  <w:vAlign w:val="center"/>
                </w:tcPr>
                <w:p w14:paraId="17D9AC23">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15m</w:t>
                  </w:r>
                </w:p>
              </w:tc>
              <w:tc>
                <w:tcPr>
                  <w:tcW w:w="386" w:type="pct"/>
                  <w:tcBorders>
                    <w:tl2br w:val="nil"/>
                    <w:tr2bl w:val="nil"/>
                  </w:tcBorders>
                  <w:noWrap w:val="0"/>
                  <w:vAlign w:val="center"/>
                </w:tcPr>
                <w:p w14:paraId="16C50EB4">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2</w:t>
                  </w:r>
                  <w:r>
                    <w:rPr>
                      <w:rFonts w:hint="default" w:ascii="Times New Roman" w:hAnsi="Times New Roman" w:eastAsia="宋体" w:cs="Times New Roman"/>
                      <w:b w:val="0"/>
                      <w:bCs w:val="0"/>
                      <w:color w:val="auto"/>
                      <w:sz w:val="18"/>
                      <w:szCs w:val="18"/>
                      <w:lang w:val="en-US" w:eastAsia="zh-CN"/>
                    </w:rPr>
                    <w:t>5</w:t>
                  </w:r>
                  <w:r>
                    <w:rPr>
                      <w:rFonts w:hint="default" w:ascii="Times New Roman" w:hAnsi="Times New Roman" w:eastAsia="Times New Roman" w:cs="Times New Roman"/>
                      <w:b w:val="0"/>
                      <w:bCs w:val="0"/>
                      <w:color w:val="auto"/>
                      <w:sz w:val="18"/>
                      <w:szCs w:val="18"/>
                    </w:rPr>
                    <w:t>m</w:t>
                  </w:r>
                </w:p>
              </w:tc>
              <w:tc>
                <w:tcPr>
                  <w:tcW w:w="386" w:type="pct"/>
                  <w:tcBorders>
                    <w:tl2br w:val="nil"/>
                    <w:tr2bl w:val="nil"/>
                  </w:tcBorders>
                  <w:noWrap w:val="0"/>
                  <w:vAlign w:val="center"/>
                </w:tcPr>
                <w:p w14:paraId="65446D07">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30m</w:t>
                  </w:r>
                </w:p>
              </w:tc>
              <w:tc>
                <w:tcPr>
                  <w:tcW w:w="386" w:type="pct"/>
                  <w:tcBorders>
                    <w:tl2br w:val="nil"/>
                    <w:tr2bl w:val="nil"/>
                  </w:tcBorders>
                  <w:noWrap w:val="0"/>
                  <w:vAlign w:val="center"/>
                </w:tcPr>
                <w:p w14:paraId="3902CD5A">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3</w:t>
                  </w:r>
                  <w:r>
                    <w:rPr>
                      <w:rFonts w:hint="default" w:ascii="Times New Roman" w:hAnsi="Times New Roman" w:eastAsia="宋体" w:cs="Times New Roman"/>
                      <w:b w:val="0"/>
                      <w:bCs w:val="0"/>
                      <w:color w:val="auto"/>
                      <w:sz w:val="18"/>
                      <w:szCs w:val="18"/>
                      <w:lang w:val="en-US" w:eastAsia="zh-CN"/>
                    </w:rPr>
                    <w:t>5</w:t>
                  </w:r>
                  <w:r>
                    <w:rPr>
                      <w:rFonts w:hint="default" w:ascii="Times New Roman" w:hAnsi="Times New Roman" w:eastAsia="Times New Roman" w:cs="Times New Roman"/>
                      <w:b w:val="0"/>
                      <w:bCs w:val="0"/>
                      <w:color w:val="auto"/>
                      <w:sz w:val="18"/>
                      <w:szCs w:val="18"/>
                    </w:rPr>
                    <w:t>m</w:t>
                  </w:r>
                </w:p>
              </w:tc>
              <w:tc>
                <w:tcPr>
                  <w:tcW w:w="386" w:type="pct"/>
                  <w:tcBorders>
                    <w:tl2br w:val="nil"/>
                    <w:tr2bl w:val="nil"/>
                  </w:tcBorders>
                  <w:noWrap w:val="0"/>
                  <w:vAlign w:val="center"/>
                </w:tcPr>
                <w:p w14:paraId="0943A0F3">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45m</w:t>
                  </w:r>
                </w:p>
              </w:tc>
              <w:tc>
                <w:tcPr>
                  <w:tcW w:w="386" w:type="pct"/>
                  <w:tcBorders>
                    <w:tl2br w:val="nil"/>
                    <w:tr2bl w:val="nil"/>
                  </w:tcBorders>
                  <w:noWrap w:val="0"/>
                  <w:vAlign w:val="center"/>
                </w:tcPr>
                <w:p w14:paraId="4B615526">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50m</w:t>
                  </w:r>
                </w:p>
              </w:tc>
              <w:tc>
                <w:tcPr>
                  <w:tcW w:w="386" w:type="pct"/>
                  <w:tcBorders>
                    <w:tl2br w:val="nil"/>
                    <w:tr2bl w:val="nil"/>
                  </w:tcBorders>
                  <w:noWrap w:val="0"/>
                  <w:vAlign w:val="center"/>
                </w:tcPr>
                <w:p w14:paraId="46EB2A2F">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100m</w:t>
                  </w:r>
                </w:p>
              </w:tc>
              <w:tc>
                <w:tcPr>
                  <w:tcW w:w="386" w:type="pct"/>
                  <w:tcBorders>
                    <w:tl2br w:val="nil"/>
                    <w:tr2bl w:val="nil"/>
                  </w:tcBorders>
                  <w:noWrap w:val="0"/>
                  <w:vAlign w:val="center"/>
                </w:tcPr>
                <w:p w14:paraId="2BFDA6F7">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15</w:t>
                  </w:r>
                  <w:r>
                    <w:rPr>
                      <w:rFonts w:hint="default" w:ascii="Times New Roman" w:hAnsi="Times New Roman" w:eastAsia="宋体" w:cs="Times New Roman"/>
                      <w:b w:val="0"/>
                      <w:bCs w:val="0"/>
                      <w:color w:val="auto"/>
                      <w:sz w:val="18"/>
                      <w:szCs w:val="18"/>
                      <w:lang w:val="en-US" w:eastAsia="zh-CN"/>
                    </w:rPr>
                    <w:t>0</w:t>
                  </w:r>
                  <w:r>
                    <w:rPr>
                      <w:rFonts w:hint="default" w:ascii="Times New Roman" w:hAnsi="Times New Roman" w:eastAsia="Times New Roman" w:cs="Times New Roman"/>
                      <w:b w:val="0"/>
                      <w:bCs w:val="0"/>
                      <w:color w:val="auto"/>
                      <w:sz w:val="18"/>
                      <w:szCs w:val="18"/>
                    </w:rPr>
                    <w:t>m</w:t>
                  </w:r>
                </w:p>
              </w:tc>
              <w:tc>
                <w:tcPr>
                  <w:tcW w:w="390" w:type="pct"/>
                  <w:tcBorders>
                    <w:tl2br w:val="nil"/>
                    <w:tr2bl w:val="nil"/>
                  </w:tcBorders>
                  <w:noWrap w:val="0"/>
                  <w:vAlign w:val="center"/>
                </w:tcPr>
                <w:p w14:paraId="0F87482D">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200m</w:t>
                  </w:r>
                </w:p>
              </w:tc>
            </w:tr>
            <w:tr w14:paraId="52B3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 w:type="pct"/>
                  <w:tcBorders>
                    <w:tl2br w:val="nil"/>
                    <w:tr2bl w:val="nil"/>
                  </w:tcBorders>
                  <w:noWrap w:val="0"/>
                  <w:vAlign w:val="center"/>
                </w:tcPr>
                <w:p w14:paraId="684B24FA">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1</w:t>
                  </w:r>
                </w:p>
              </w:tc>
              <w:tc>
                <w:tcPr>
                  <w:tcW w:w="495" w:type="pct"/>
                  <w:tcBorders>
                    <w:tl2br w:val="nil"/>
                    <w:tr2bl w:val="nil"/>
                  </w:tcBorders>
                  <w:noWrap w:val="0"/>
                  <w:vAlign w:val="center"/>
                </w:tcPr>
                <w:p w14:paraId="174CA0BF">
                  <w:pPr>
                    <w:spacing w:beforeLines="0" w:afterLines="0"/>
                    <w:jc w:val="cente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混凝土搅拌机</w:t>
                  </w:r>
                </w:p>
              </w:tc>
              <w:tc>
                <w:tcPr>
                  <w:tcW w:w="386" w:type="pct"/>
                  <w:tcBorders>
                    <w:tl2br w:val="nil"/>
                    <w:tr2bl w:val="nil"/>
                  </w:tcBorders>
                  <w:noWrap w:val="0"/>
                  <w:vAlign w:val="center"/>
                </w:tcPr>
                <w:p w14:paraId="05AEF5F5">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78.0</w:t>
                  </w:r>
                </w:p>
              </w:tc>
              <w:tc>
                <w:tcPr>
                  <w:tcW w:w="386" w:type="pct"/>
                  <w:tcBorders>
                    <w:tl2br w:val="nil"/>
                    <w:tr2bl w:val="nil"/>
                  </w:tcBorders>
                  <w:noWrap w:val="0"/>
                  <w:vAlign w:val="center"/>
                </w:tcPr>
                <w:p w14:paraId="18A43A10">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72.0</w:t>
                  </w:r>
                </w:p>
              </w:tc>
              <w:tc>
                <w:tcPr>
                  <w:tcW w:w="386" w:type="pct"/>
                  <w:tcBorders>
                    <w:tl2br w:val="nil"/>
                    <w:tr2bl w:val="nil"/>
                  </w:tcBorders>
                  <w:noWrap w:val="0"/>
                  <w:vAlign w:val="center"/>
                </w:tcPr>
                <w:p w14:paraId="2ECC29CD">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68.5</w:t>
                  </w:r>
                </w:p>
              </w:tc>
              <w:tc>
                <w:tcPr>
                  <w:tcW w:w="386" w:type="pct"/>
                  <w:tcBorders>
                    <w:tl2br w:val="nil"/>
                    <w:tr2bl w:val="nil"/>
                  </w:tcBorders>
                  <w:noWrap w:val="0"/>
                  <w:vAlign w:val="center"/>
                </w:tcPr>
                <w:p w14:paraId="11E10697">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64.4</w:t>
                  </w:r>
                </w:p>
              </w:tc>
              <w:tc>
                <w:tcPr>
                  <w:tcW w:w="386" w:type="pct"/>
                  <w:tcBorders>
                    <w:tl2br w:val="nil"/>
                    <w:tr2bl w:val="nil"/>
                  </w:tcBorders>
                  <w:noWrap w:val="0"/>
                  <w:vAlign w:val="center"/>
                </w:tcPr>
                <w:p w14:paraId="33BB9BFA">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62.5</w:t>
                  </w:r>
                </w:p>
              </w:tc>
              <w:tc>
                <w:tcPr>
                  <w:tcW w:w="386" w:type="pct"/>
                  <w:tcBorders>
                    <w:tl2br w:val="nil"/>
                    <w:tr2bl w:val="nil"/>
                  </w:tcBorders>
                  <w:noWrap w:val="0"/>
                  <w:vAlign w:val="center"/>
                </w:tcPr>
                <w:p w14:paraId="271C3969">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60.9</w:t>
                  </w:r>
                </w:p>
              </w:tc>
              <w:tc>
                <w:tcPr>
                  <w:tcW w:w="386" w:type="pct"/>
                  <w:tcBorders>
                    <w:tl2br w:val="nil"/>
                    <w:tr2bl w:val="nil"/>
                  </w:tcBorders>
                  <w:noWrap w:val="0"/>
                  <w:vAlign w:val="center"/>
                </w:tcPr>
                <w:p w14:paraId="1CF82794">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58.9</w:t>
                  </w:r>
                </w:p>
              </w:tc>
              <w:tc>
                <w:tcPr>
                  <w:tcW w:w="386" w:type="pct"/>
                  <w:tcBorders>
                    <w:tl2br w:val="nil"/>
                    <w:tr2bl w:val="nil"/>
                  </w:tcBorders>
                  <w:noWrap w:val="0"/>
                  <w:vAlign w:val="center"/>
                </w:tcPr>
                <w:p w14:paraId="058E776F">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56.6</w:t>
                  </w:r>
                </w:p>
              </w:tc>
              <w:tc>
                <w:tcPr>
                  <w:tcW w:w="386" w:type="pct"/>
                  <w:tcBorders>
                    <w:tl2br w:val="nil"/>
                    <w:tr2bl w:val="nil"/>
                  </w:tcBorders>
                  <w:noWrap w:val="0"/>
                  <w:vAlign w:val="center"/>
                </w:tcPr>
                <w:p w14:paraId="335BD6FA">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52</w:t>
                  </w:r>
                </w:p>
              </w:tc>
              <w:tc>
                <w:tcPr>
                  <w:tcW w:w="386" w:type="pct"/>
                  <w:tcBorders>
                    <w:tl2br w:val="nil"/>
                    <w:tr2bl w:val="nil"/>
                  </w:tcBorders>
                  <w:noWrap w:val="0"/>
                  <w:vAlign w:val="center"/>
                </w:tcPr>
                <w:p w14:paraId="03E7D531">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48.1</w:t>
                  </w:r>
                </w:p>
              </w:tc>
              <w:tc>
                <w:tcPr>
                  <w:tcW w:w="390" w:type="pct"/>
                  <w:tcBorders>
                    <w:tl2br w:val="nil"/>
                    <w:tr2bl w:val="nil"/>
                  </w:tcBorders>
                  <w:noWrap w:val="0"/>
                  <w:vAlign w:val="center"/>
                </w:tcPr>
                <w:p w14:paraId="49C0BF29">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46</w:t>
                  </w:r>
                </w:p>
              </w:tc>
            </w:tr>
            <w:tr w14:paraId="7271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 w:type="pct"/>
                  <w:tcBorders>
                    <w:tl2br w:val="nil"/>
                    <w:tr2bl w:val="nil"/>
                  </w:tcBorders>
                  <w:noWrap w:val="0"/>
                  <w:vAlign w:val="center"/>
                </w:tcPr>
                <w:p w14:paraId="2B1FED60">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2</w:t>
                  </w:r>
                </w:p>
              </w:tc>
              <w:tc>
                <w:tcPr>
                  <w:tcW w:w="495" w:type="pct"/>
                  <w:tcBorders>
                    <w:tl2br w:val="nil"/>
                    <w:tr2bl w:val="nil"/>
                  </w:tcBorders>
                  <w:noWrap w:val="0"/>
                  <w:vAlign w:val="center"/>
                </w:tcPr>
                <w:p w14:paraId="7CD93C46">
                  <w:pPr>
                    <w:spacing w:beforeLines="0" w:afterLines="0"/>
                    <w:jc w:val="cente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打桩机</w:t>
                  </w:r>
                </w:p>
              </w:tc>
              <w:tc>
                <w:tcPr>
                  <w:tcW w:w="386" w:type="pct"/>
                  <w:tcBorders>
                    <w:tl2br w:val="nil"/>
                    <w:tr2bl w:val="nil"/>
                  </w:tcBorders>
                  <w:noWrap w:val="0"/>
                  <w:vAlign w:val="center"/>
                </w:tcPr>
                <w:p w14:paraId="13D8D477">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76.0</w:t>
                  </w:r>
                </w:p>
              </w:tc>
              <w:tc>
                <w:tcPr>
                  <w:tcW w:w="386" w:type="pct"/>
                  <w:tcBorders>
                    <w:tl2br w:val="nil"/>
                    <w:tr2bl w:val="nil"/>
                  </w:tcBorders>
                  <w:noWrap w:val="0"/>
                  <w:vAlign w:val="center"/>
                </w:tcPr>
                <w:p w14:paraId="5E708DF3">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70.0</w:t>
                  </w:r>
                </w:p>
              </w:tc>
              <w:tc>
                <w:tcPr>
                  <w:tcW w:w="386" w:type="pct"/>
                  <w:tcBorders>
                    <w:tl2br w:val="nil"/>
                    <w:tr2bl w:val="nil"/>
                  </w:tcBorders>
                  <w:noWrap w:val="0"/>
                  <w:vAlign w:val="center"/>
                </w:tcPr>
                <w:p w14:paraId="4A4EE2BD">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66.5</w:t>
                  </w:r>
                </w:p>
              </w:tc>
              <w:tc>
                <w:tcPr>
                  <w:tcW w:w="386" w:type="pct"/>
                  <w:tcBorders>
                    <w:tl2br w:val="nil"/>
                    <w:tr2bl w:val="nil"/>
                  </w:tcBorders>
                  <w:noWrap w:val="0"/>
                  <w:vAlign w:val="center"/>
                </w:tcPr>
                <w:p w14:paraId="54D94BD8">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62.4</w:t>
                  </w:r>
                </w:p>
              </w:tc>
              <w:tc>
                <w:tcPr>
                  <w:tcW w:w="386" w:type="pct"/>
                  <w:tcBorders>
                    <w:tl2br w:val="nil"/>
                    <w:tr2bl w:val="nil"/>
                  </w:tcBorders>
                  <w:noWrap w:val="0"/>
                  <w:vAlign w:val="center"/>
                </w:tcPr>
                <w:p w14:paraId="3A8FDA20">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60.5</w:t>
                  </w:r>
                </w:p>
              </w:tc>
              <w:tc>
                <w:tcPr>
                  <w:tcW w:w="386" w:type="pct"/>
                  <w:tcBorders>
                    <w:tl2br w:val="nil"/>
                    <w:tr2bl w:val="nil"/>
                  </w:tcBorders>
                  <w:noWrap w:val="0"/>
                  <w:vAlign w:val="center"/>
                </w:tcPr>
                <w:p w14:paraId="284F60DD">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58.9</w:t>
                  </w:r>
                </w:p>
              </w:tc>
              <w:tc>
                <w:tcPr>
                  <w:tcW w:w="386" w:type="pct"/>
                  <w:tcBorders>
                    <w:tl2br w:val="nil"/>
                    <w:tr2bl w:val="nil"/>
                  </w:tcBorders>
                  <w:noWrap w:val="0"/>
                  <w:vAlign w:val="center"/>
                </w:tcPr>
                <w:p w14:paraId="00007DE0">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56.9</w:t>
                  </w:r>
                </w:p>
              </w:tc>
              <w:tc>
                <w:tcPr>
                  <w:tcW w:w="386" w:type="pct"/>
                  <w:tcBorders>
                    <w:tl2br w:val="nil"/>
                    <w:tr2bl w:val="nil"/>
                  </w:tcBorders>
                  <w:noWrap w:val="0"/>
                  <w:vAlign w:val="center"/>
                </w:tcPr>
                <w:p w14:paraId="37E200C5">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54.6</w:t>
                  </w:r>
                </w:p>
              </w:tc>
              <w:tc>
                <w:tcPr>
                  <w:tcW w:w="386" w:type="pct"/>
                  <w:tcBorders>
                    <w:tl2br w:val="nil"/>
                    <w:tr2bl w:val="nil"/>
                  </w:tcBorders>
                  <w:noWrap w:val="0"/>
                  <w:vAlign w:val="center"/>
                </w:tcPr>
                <w:p w14:paraId="59D22538">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50</w:t>
                  </w:r>
                </w:p>
              </w:tc>
              <w:tc>
                <w:tcPr>
                  <w:tcW w:w="386" w:type="pct"/>
                  <w:tcBorders>
                    <w:tl2br w:val="nil"/>
                    <w:tr2bl w:val="nil"/>
                  </w:tcBorders>
                  <w:noWrap w:val="0"/>
                  <w:vAlign w:val="center"/>
                </w:tcPr>
                <w:p w14:paraId="7313A4B8">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46.1</w:t>
                  </w:r>
                </w:p>
              </w:tc>
              <w:tc>
                <w:tcPr>
                  <w:tcW w:w="390" w:type="pct"/>
                  <w:tcBorders>
                    <w:tl2br w:val="nil"/>
                    <w:tr2bl w:val="nil"/>
                  </w:tcBorders>
                  <w:noWrap w:val="0"/>
                  <w:vAlign w:val="center"/>
                </w:tcPr>
                <w:p w14:paraId="204FDE33">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44</w:t>
                  </w:r>
                </w:p>
              </w:tc>
            </w:tr>
            <w:tr w14:paraId="0BBD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 w:type="pct"/>
                  <w:tcBorders>
                    <w:tl2br w:val="nil"/>
                    <w:tr2bl w:val="nil"/>
                  </w:tcBorders>
                  <w:noWrap w:val="0"/>
                  <w:vAlign w:val="center"/>
                </w:tcPr>
                <w:p w14:paraId="120C2B6E">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3</w:t>
                  </w:r>
                </w:p>
              </w:tc>
              <w:tc>
                <w:tcPr>
                  <w:tcW w:w="495" w:type="pct"/>
                  <w:tcBorders>
                    <w:tl2br w:val="nil"/>
                    <w:tr2bl w:val="nil"/>
                  </w:tcBorders>
                  <w:noWrap w:val="0"/>
                  <w:vAlign w:val="center"/>
                </w:tcPr>
                <w:p w14:paraId="4C65912A">
                  <w:pPr>
                    <w:spacing w:beforeLines="0" w:afterLines="0"/>
                    <w:jc w:val="cente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挖掘机</w:t>
                  </w:r>
                </w:p>
              </w:tc>
              <w:tc>
                <w:tcPr>
                  <w:tcW w:w="386" w:type="pct"/>
                  <w:tcBorders>
                    <w:tl2br w:val="nil"/>
                    <w:tr2bl w:val="nil"/>
                  </w:tcBorders>
                  <w:noWrap w:val="0"/>
                  <w:vAlign w:val="center"/>
                </w:tcPr>
                <w:p w14:paraId="62B37096">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66.0</w:t>
                  </w:r>
                </w:p>
              </w:tc>
              <w:tc>
                <w:tcPr>
                  <w:tcW w:w="386" w:type="pct"/>
                  <w:tcBorders>
                    <w:tl2br w:val="nil"/>
                    <w:tr2bl w:val="nil"/>
                  </w:tcBorders>
                  <w:noWrap w:val="0"/>
                  <w:vAlign w:val="center"/>
                </w:tcPr>
                <w:p w14:paraId="30A1E921">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60.0</w:t>
                  </w:r>
                </w:p>
              </w:tc>
              <w:tc>
                <w:tcPr>
                  <w:tcW w:w="386" w:type="pct"/>
                  <w:tcBorders>
                    <w:tl2br w:val="nil"/>
                    <w:tr2bl w:val="nil"/>
                  </w:tcBorders>
                  <w:noWrap w:val="0"/>
                  <w:vAlign w:val="center"/>
                </w:tcPr>
                <w:p w14:paraId="3AF66D65">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56.5</w:t>
                  </w:r>
                </w:p>
              </w:tc>
              <w:tc>
                <w:tcPr>
                  <w:tcW w:w="386" w:type="pct"/>
                  <w:tcBorders>
                    <w:tl2br w:val="nil"/>
                    <w:tr2bl w:val="nil"/>
                  </w:tcBorders>
                  <w:noWrap w:val="0"/>
                  <w:vAlign w:val="center"/>
                </w:tcPr>
                <w:p w14:paraId="16BB9E4D">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52.4</w:t>
                  </w:r>
                </w:p>
              </w:tc>
              <w:tc>
                <w:tcPr>
                  <w:tcW w:w="386" w:type="pct"/>
                  <w:tcBorders>
                    <w:tl2br w:val="nil"/>
                    <w:tr2bl w:val="nil"/>
                  </w:tcBorders>
                  <w:noWrap w:val="0"/>
                  <w:vAlign w:val="center"/>
                </w:tcPr>
                <w:p w14:paraId="71755FA2">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50.5</w:t>
                  </w:r>
                </w:p>
              </w:tc>
              <w:tc>
                <w:tcPr>
                  <w:tcW w:w="386" w:type="pct"/>
                  <w:tcBorders>
                    <w:tl2br w:val="nil"/>
                    <w:tr2bl w:val="nil"/>
                  </w:tcBorders>
                  <w:noWrap w:val="0"/>
                  <w:vAlign w:val="center"/>
                </w:tcPr>
                <w:p w14:paraId="14734C3D">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48.9</w:t>
                  </w:r>
                </w:p>
              </w:tc>
              <w:tc>
                <w:tcPr>
                  <w:tcW w:w="386" w:type="pct"/>
                  <w:tcBorders>
                    <w:tl2br w:val="nil"/>
                    <w:tr2bl w:val="nil"/>
                  </w:tcBorders>
                  <w:noWrap w:val="0"/>
                  <w:vAlign w:val="center"/>
                </w:tcPr>
                <w:p w14:paraId="59097E73">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46.9</w:t>
                  </w:r>
                </w:p>
              </w:tc>
              <w:tc>
                <w:tcPr>
                  <w:tcW w:w="386" w:type="pct"/>
                  <w:tcBorders>
                    <w:tl2br w:val="nil"/>
                    <w:tr2bl w:val="nil"/>
                  </w:tcBorders>
                  <w:noWrap w:val="0"/>
                  <w:vAlign w:val="center"/>
                </w:tcPr>
                <w:p w14:paraId="38617BA0">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44.6</w:t>
                  </w:r>
                </w:p>
              </w:tc>
              <w:tc>
                <w:tcPr>
                  <w:tcW w:w="386" w:type="pct"/>
                  <w:tcBorders>
                    <w:tl2br w:val="nil"/>
                    <w:tr2bl w:val="nil"/>
                  </w:tcBorders>
                  <w:noWrap w:val="0"/>
                  <w:vAlign w:val="center"/>
                </w:tcPr>
                <w:p w14:paraId="02E8AFFA">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40</w:t>
                  </w:r>
                </w:p>
              </w:tc>
              <w:tc>
                <w:tcPr>
                  <w:tcW w:w="386" w:type="pct"/>
                  <w:tcBorders>
                    <w:tl2br w:val="nil"/>
                    <w:tr2bl w:val="nil"/>
                  </w:tcBorders>
                  <w:noWrap w:val="0"/>
                  <w:vAlign w:val="center"/>
                </w:tcPr>
                <w:p w14:paraId="6761F239">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36.1</w:t>
                  </w:r>
                </w:p>
              </w:tc>
              <w:tc>
                <w:tcPr>
                  <w:tcW w:w="390" w:type="pct"/>
                  <w:tcBorders>
                    <w:tl2br w:val="nil"/>
                    <w:tr2bl w:val="nil"/>
                  </w:tcBorders>
                  <w:noWrap w:val="0"/>
                  <w:vAlign w:val="center"/>
                </w:tcPr>
                <w:p w14:paraId="2BF82040">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34</w:t>
                  </w:r>
                </w:p>
              </w:tc>
            </w:tr>
            <w:tr w14:paraId="2355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 w:type="pct"/>
                  <w:tcBorders>
                    <w:tl2br w:val="nil"/>
                    <w:tr2bl w:val="nil"/>
                  </w:tcBorders>
                  <w:noWrap w:val="0"/>
                  <w:vAlign w:val="center"/>
                </w:tcPr>
                <w:p w14:paraId="6FB5A081">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w:t>
                  </w:r>
                </w:p>
              </w:tc>
              <w:tc>
                <w:tcPr>
                  <w:tcW w:w="495" w:type="pct"/>
                  <w:tcBorders>
                    <w:tl2br w:val="nil"/>
                    <w:tr2bl w:val="nil"/>
                  </w:tcBorders>
                  <w:noWrap w:val="0"/>
                  <w:vAlign w:val="center"/>
                </w:tcPr>
                <w:p w14:paraId="1A0C5168">
                  <w:pPr>
                    <w:spacing w:beforeLines="0" w:afterLines="0"/>
                    <w:jc w:val="cente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推土机</w:t>
                  </w:r>
                </w:p>
              </w:tc>
              <w:tc>
                <w:tcPr>
                  <w:tcW w:w="386" w:type="pct"/>
                  <w:tcBorders>
                    <w:tl2br w:val="nil"/>
                    <w:tr2bl w:val="nil"/>
                  </w:tcBorders>
                  <w:noWrap w:val="0"/>
                  <w:vAlign w:val="center"/>
                </w:tcPr>
                <w:p w14:paraId="31FF33F2">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76.0</w:t>
                  </w:r>
                </w:p>
              </w:tc>
              <w:tc>
                <w:tcPr>
                  <w:tcW w:w="386" w:type="pct"/>
                  <w:tcBorders>
                    <w:tl2br w:val="nil"/>
                    <w:tr2bl w:val="nil"/>
                  </w:tcBorders>
                  <w:noWrap w:val="0"/>
                  <w:vAlign w:val="center"/>
                </w:tcPr>
                <w:p w14:paraId="3971668D">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70.0</w:t>
                  </w:r>
                </w:p>
              </w:tc>
              <w:tc>
                <w:tcPr>
                  <w:tcW w:w="386" w:type="pct"/>
                  <w:tcBorders>
                    <w:tl2br w:val="nil"/>
                    <w:tr2bl w:val="nil"/>
                  </w:tcBorders>
                  <w:noWrap w:val="0"/>
                  <w:vAlign w:val="center"/>
                </w:tcPr>
                <w:p w14:paraId="7240018D">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66.5</w:t>
                  </w:r>
                </w:p>
              </w:tc>
              <w:tc>
                <w:tcPr>
                  <w:tcW w:w="386" w:type="pct"/>
                  <w:tcBorders>
                    <w:tl2br w:val="nil"/>
                    <w:tr2bl w:val="nil"/>
                  </w:tcBorders>
                  <w:noWrap w:val="0"/>
                  <w:vAlign w:val="center"/>
                </w:tcPr>
                <w:p w14:paraId="7923968F">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62.4</w:t>
                  </w:r>
                </w:p>
              </w:tc>
              <w:tc>
                <w:tcPr>
                  <w:tcW w:w="386" w:type="pct"/>
                  <w:tcBorders>
                    <w:tl2br w:val="nil"/>
                    <w:tr2bl w:val="nil"/>
                  </w:tcBorders>
                  <w:noWrap w:val="0"/>
                  <w:vAlign w:val="center"/>
                </w:tcPr>
                <w:p w14:paraId="38DEA99D">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60.5</w:t>
                  </w:r>
                </w:p>
              </w:tc>
              <w:tc>
                <w:tcPr>
                  <w:tcW w:w="386" w:type="pct"/>
                  <w:tcBorders>
                    <w:tl2br w:val="nil"/>
                    <w:tr2bl w:val="nil"/>
                  </w:tcBorders>
                  <w:noWrap w:val="0"/>
                  <w:vAlign w:val="center"/>
                </w:tcPr>
                <w:p w14:paraId="71EB1B95">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58.9</w:t>
                  </w:r>
                </w:p>
              </w:tc>
              <w:tc>
                <w:tcPr>
                  <w:tcW w:w="386" w:type="pct"/>
                  <w:tcBorders>
                    <w:tl2br w:val="nil"/>
                    <w:tr2bl w:val="nil"/>
                  </w:tcBorders>
                  <w:noWrap w:val="0"/>
                  <w:vAlign w:val="center"/>
                </w:tcPr>
                <w:p w14:paraId="22736A23">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56.9</w:t>
                  </w:r>
                </w:p>
              </w:tc>
              <w:tc>
                <w:tcPr>
                  <w:tcW w:w="386" w:type="pct"/>
                  <w:tcBorders>
                    <w:tl2br w:val="nil"/>
                    <w:tr2bl w:val="nil"/>
                  </w:tcBorders>
                  <w:noWrap w:val="0"/>
                  <w:vAlign w:val="center"/>
                </w:tcPr>
                <w:p w14:paraId="6120A06D">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54.6</w:t>
                  </w:r>
                </w:p>
              </w:tc>
              <w:tc>
                <w:tcPr>
                  <w:tcW w:w="386" w:type="pct"/>
                  <w:tcBorders>
                    <w:tl2br w:val="nil"/>
                    <w:tr2bl w:val="nil"/>
                  </w:tcBorders>
                  <w:noWrap w:val="0"/>
                  <w:vAlign w:val="center"/>
                </w:tcPr>
                <w:p w14:paraId="63254373">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50</w:t>
                  </w:r>
                </w:p>
              </w:tc>
              <w:tc>
                <w:tcPr>
                  <w:tcW w:w="386" w:type="pct"/>
                  <w:tcBorders>
                    <w:tl2br w:val="nil"/>
                    <w:tr2bl w:val="nil"/>
                  </w:tcBorders>
                  <w:noWrap w:val="0"/>
                  <w:vAlign w:val="center"/>
                </w:tcPr>
                <w:p w14:paraId="2A703F7C">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46.1</w:t>
                  </w:r>
                </w:p>
              </w:tc>
              <w:tc>
                <w:tcPr>
                  <w:tcW w:w="390" w:type="pct"/>
                  <w:tcBorders>
                    <w:tl2br w:val="nil"/>
                    <w:tr2bl w:val="nil"/>
                  </w:tcBorders>
                  <w:noWrap w:val="0"/>
                  <w:vAlign w:val="center"/>
                </w:tcPr>
                <w:p w14:paraId="3C460726">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44</w:t>
                  </w:r>
                </w:p>
              </w:tc>
            </w:tr>
            <w:tr w14:paraId="17BB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 w:type="pct"/>
                  <w:tcBorders>
                    <w:tl2br w:val="nil"/>
                    <w:tr2bl w:val="nil"/>
                  </w:tcBorders>
                  <w:noWrap w:val="0"/>
                  <w:vAlign w:val="center"/>
                </w:tcPr>
                <w:p w14:paraId="18B59BDE">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w:t>
                  </w:r>
                </w:p>
              </w:tc>
              <w:tc>
                <w:tcPr>
                  <w:tcW w:w="495" w:type="pct"/>
                  <w:tcBorders>
                    <w:tl2br w:val="nil"/>
                    <w:tr2bl w:val="nil"/>
                  </w:tcBorders>
                  <w:noWrap w:val="0"/>
                  <w:vAlign w:val="center"/>
                </w:tcPr>
                <w:p w14:paraId="781FFFE3">
                  <w:pPr>
                    <w:spacing w:beforeLines="0" w:afterLines="0"/>
                    <w:jc w:val="cente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振捣器</w:t>
                  </w:r>
                </w:p>
              </w:tc>
              <w:tc>
                <w:tcPr>
                  <w:tcW w:w="386" w:type="pct"/>
                  <w:tcBorders>
                    <w:tl2br w:val="nil"/>
                    <w:tr2bl w:val="nil"/>
                  </w:tcBorders>
                  <w:noWrap w:val="0"/>
                  <w:vAlign w:val="center"/>
                </w:tcPr>
                <w:p w14:paraId="1A844E7A">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76.0</w:t>
                  </w:r>
                </w:p>
              </w:tc>
              <w:tc>
                <w:tcPr>
                  <w:tcW w:w="386" w:type="pct"/>
                  <w:tcBorders>
                    <w:tl2br w:val="nil"/>
                    <w:tr2bl w:val="nil"/>
                  </w:tcBorders>
                  <w:noWrap w:val="0"/>
                  <w:vAlign w:val="center"/>
                </w:tcPr>
                <w:p w14:paraId="00F975F9">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70.0</w:t>
                  </w:r>
                </w:p>
              </w:tc>
              <w:tc>
                <w:tcPr>
                  <w:tcW w:w="386" w:type="pct"/>
                  <w:tcBorders>
                    <w:tl2br w:val="nil"/>
                    <w:tr2bl w:val="nil"/>
                  </w:tcBorders>
                  <w:noWrap w:val="0"/>
                  <w:vAlign w:val="center"/>
                </w:tcPr>
                <w:p w14:paraId="742DCCD1">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66.5</w:t>
                  </w:r>
                </w:p>
              </w:tc>
              <w:tc>
                <w:tcPr>
                  <w:tcW w:w="386" w:type="pct"/>
                  <w:tcBorders>
                    <w:tl2br w:val="nil"/>
                    <w:tr2bl w:val="nil"/>
                  </w:tcBorders>
                  <w:noWrap w:val="0"/>
                  <w:vAlign w:val="center"/>
                </w:tcPr>
                <w:p w14:paraId="2C3699D1">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62.4</w:t>
                  </w:r>
                </w:p>
              </w:tc>
              <w:tc>
                <w:tcPr>
                  <w:tcW w:w="386" w:type="pct"/>
                  <w:tcBorders>
                    <w:tl2br w:val="nil"/>
                    <w:tr2bl w:val="nil"/>
                  </w:tcBorders>
                  <w:noWrap w:val="0"/>
                  <w:vAlign w:val="center"/>
                </w:tcPr>
                <w:p w14:paraId="32E35114">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60.5</w:t>
                  </w:r>
                </w:p>
              </w:tc>
              <w:tc>
                <w:tcPr>
                  <w:tcW w:w="386" w:type="pct"/>
                  <w:tcBorders>
                    <w:tl2br w:val="nil"/>
                    <w:tr2bl w:val="nil"/>
                  </w:tcBorders>
                  <w:noWrap w:val="0"/>
                  <w:vAlign w:val="center"/>
                </w:tcPr>
                <w:p w14:paraId="1D1EEB2D">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58.9</w:t>
                  </w:r>
                </w:p>
              </w:tc>
              <w:tc>
                <w:tcPr>
                  <w:tcW w:w="386" w:type="pct"/>
                  <w:tcBorders>
                    <w:tl2br w:val="nil"/>
                    <w:tr2bl w:val="nil"/>
                  </w:tcBorders>
                  <w:noWrap w:val="0"/>
                  <w:vAlign w:val="center"/>
                </w:tcPr>
                <w:p w14:paraId="69407234">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56.9</w:t>
                  </w:r>
                </w:p>
              </w:tc>
              <w:tc>
                <w:tcPr>
                  <w:tcW w:w="386" w:type="pct"/>
                  <w:tcBorders>
                    <w:tl2br w:val="nil"/>
                    <w:tr2bl w:val="nil"/>
                  </w:tcBorders>
                  <w:noWrap w:val="0"/>
                  <w:vAlign w:val="center"/>
                </w:tcPr>
                <w:p w14:paraId="35E04561">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54.6</w:t>
                  </w:r>
                </w:p>
              </w:tc>
              <w:tc>
                <w:tcPr>
                  <w:tcW w:w="386" w:type="pct"/>
                  <w:tcBorders>
                    <w:tl2br w:val="nil"/>
                    <w:tr2bl w:val="nil"/>
                  </w:tcBorders>
                  <w:noWrap w:val="0"/>
                  <w:vAlign w:val="center"/>
                </w:tcPr>
                <w:p w14:paraId="062AE448">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46</w:t>
                  </w:r>
                </w:p>
              </w:tc>
              <w:tc>
                <w:tcPr>
                  <w:tcW w:w="386" w:type="pct"/>
                  <w:tcBorders>
                    <w:tl2br w:val="nil"/>
                    <w:tr2bl w:val="nil"/>
                  </w:tcBorders>
                  <w:noWrap w:val="0"/>
                  <w:vAlign w:val="center"/>
                </w:tcPr>
                <w:p w14:paraId="526BA218">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46.1</w:t>
                  </w:r>
                </w:p>
              </w:tc>
              <w:tc>
                <w:tcPr>
                  <w:tcW w:w="390" w:type="pct"/>
                  <w:tcBorders>
                    <w:tl2br w:val="nil"/>
                    <w:tr2bl w:val="nil"/>
                  </w:tcBorders>
                  <w:noWrap w:val="0"/>
                  <w:vAlign w:val="center"/>
                </w:tcPr>
                <w:p w14:paraId="252EA78A">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40</w:t>
                  </w:r>
                </w:p>
              </w:tc>
            </w:tr>
            <w:tr w14:paraId="4E34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 w:type="pct"/>
                  <w:tcBorders>
                    <w:tl2br w:val="nil"/>
                    <w:tr2bl w:val="nil"/>
                  </w:tcBorders>
                  <w:noWrap w:val="0"/>
                  <w:vAlign w:val="center"/>
                </w:tcPr>
                <w:p w14:paraId="0B4A7397">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w:t>
                  </w:r>
                </w:p>
              </w:tc>
              <w:tc>
                <w:tcPr>
                  <w:tcW w:w="495" w:type="pct"/>
                  <w:tcBorders>
                    <w:tl2br w:val="nil"/>
                    <w:tr2bl w:val="nil"/>
                  </w:tcBorders>
                  <w:noWrap w:val="0"/>
                  <w:vAlign w:val="center"/>
                </w:tcPr>
                <w:p w14:paraId="2A18C0E2">
                  <w:pPr>
                    <w:spacing w:beforeLines="0" w:afterLines="0"/>
                    <w:jc w:val="cente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蛙式夯实机</w:t>
                  </w:r>
                </w:p>
              </w:tc>
              <w:tc>
                <w:tcPr>
                  <w:tcW w:w="386" w:type="pct"/>
                  <w:tcBorders>
                    <w:tl2br w:val="nil"/>
                    <w:tr2bl w:val="nil"/>
                  </w:tcBorders>
                  <w:noWrap w:val="0"/>
                  <w:vAlign w:val="center"/>
                </w:tcPr>
                <w:p w14:paraId="492F3D2E">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76.0</w:t>
                  </w:r>
                </w:p>
              </w:tc>
              <w:tc>
                <w:tcPr>
                  <w:tcW w:w="386" w:type="pct"/>
                  <w:tcBorders>
                    <w:tl2br w:val="nil"/>
                    <w:tr2bl w:val="nil"/>
                  </w:tcBorders>
                  <w:noWrap w:val="0"/>
                  <w:vAlign w:val="center"/>
                </w:tcPr>
                <w:p w14:paraId="1741E209">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70.0</w:t>
                  </w:r>
                </w:p>
              </w:tc>
              <w:tc>
                <w:tcPr>
                  <w:tcW w:w="386" w:type="pct"/>
                  <w:tcBorders>
                    <w:tl2br w:val="nil"/>
                    <w:tr2bl w:val="nil"/>
                  </w:tcBorders>
                  <w:noWrap w:val="0"/>
                  <w:vAlign w:val="center"/>
                </w:tcPr>
                <w:p w14:paraId="4B53BC1A">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66.5</w:t>
                  </w:r>
                </w:p>
              </w:tc>
              <w:tc>
                <w:tcPr>
                  <w:tcW w:w="386" w:type="pct"/>
                  <w:tcBorders>
                    <w:tl2br w:val="nil"/>
                    <w:tr2bl w:val="nil"/>
                  </w:tcBorders>
                  <w:noWrap w:val="0"/>
                  <w:vAlign w:val="center"/>
                </w:tcPr>
                <w:p w14:paraId="1D70E371">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62.4</w:t>
                  </w:r>
                </w:p>
              </w:tc>
              <w:tc>
                <w:tcPr>
                  <w:tcW w:w="386" w:type="pct"/>
                  <w:tcBorders>
                    <w:tl2br w:val="nil"/>
                    <w:tr2bl w:val="nil"/>
                  </w:tcBorders>
                  <w:noWrap w:val="0"/>
                  <w:vAlign w:val="center"/>
                </w:tcPr>
                <w:p w14:paraId="6E90FECF">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60.5</w:t>
                  </w:r>
                </w:p>
              </w:tc>
              <w:tc>
                <w:tcPr>
                  <w:tcW w:w="386" w:type="pct"/>
                  <w:tcBorders>
                    <w:tl2br w:val="nil"/>
                    <w:tr2bl w:val="nil"/>
                  </w:tcBorders>
                  <w:noWrap w:val="0"/>
                  <w:vAlign w:val="center"/>
                </w:tcPr>
                <w:p w14:paraId="189D1D30">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58.9</w:t>
                  </w:r>
                </w:p>
              </w:tc>
              <w:tc>
                <w:tcPr>
                  <w:tcW w:w="386" w:type="pct"/>
                  <w:tcBorders>
                    <w:tl2br w:val="nil"/>
                    <w:tr2bl w:val="nil"/>
                  </w:tcBorders>
                  <w:noWrap w:val="0"/>
                  <w:vAlign w:val="center"/>
                </w:tcPr>
                <w:p w14:paraId="680C3440">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56.9</w:t>
                  </w:r>
                </w:p>
              </w:tc>
              <w:tc>
                <w:tcPr>
                  <w:tcW w:w="386" w:type="pct"/>
                  <w:tcBorders>
                    <w:tl2br w:val="nil"/>
                    <w:tr2bl w:val="nil"/>
                  </w:tcBorders>
                  <w:noWrap w:val="0"/>
                  <w:vAlign w:val="center"/>
                </w:tcPr>
                <w:p w14:paraId="2E38E53D">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54.6</w:t>
                  </w:r>
                </w:p>
              </w:tc>
              <w:tc>
                <w:tcPr>
                  <w:tcW w:w="386" w:type="pct"/>
                  <w:tcBorders>
                    <w:tl2br w:val="nil"/>
                    <w:tr2bl w:val="nil"/>
                  </w:tcBorders>
                  <w:noWrap w:val="0"/>
                  <w:vAlign w:val="center"/>
                </w:tcPr>
                <w:p w14:paraId="00918953">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46</w:t>
                  </w:r>
                </w:p>
              </w:tc>
              <w:tc>
                <w:tcPr>
                  <w:tcW w:w="386" w:type="pct"/>
                  <w:tcBorders>
                    <w:tl2br w:val="nil"/>
                    <w:tr2bl w:val="nil"/>
                  </w:tcBorders>
                  <w:noWrap w:val="0"/>
                  <w:vAlign w:val="center"/>
                </w:tcPr>
                <w:p w14:paraId="5246338B">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46.1</w:t>
                  </w:r>
                </w:p>
              </w:tc>
              <w:tc>
                <w:tcPr>
                  <w:tcW w:w="390" w:type="pct"/>
                  <w:tcBorders>
                    <w:tl2br w:val="nil"/>
                    <w:tr2bl w:val="nil"/>
                  </w:tcBorders>
                  <w:noWrap w:val="0"/>
                  <w:vAlign w:val="center"/>
                </w:tcPr>
                <w:p w14:paraId="04C3E034">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40</w:t>
                  </w:r>
                </w:p>
              </w:tc>
            </w:tr>
            <w:tr w14:paraId="6916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 w:type="pct"/>
                  <w:tcBorders>
                    <w:tl2br w:val="nil"/>
                    <w:tr2bl w:val="nil"/>
                  </w:tcBorders>
                  <w:noWrap w:val="0"/>
                  <w:vAlign w:val="center"/>
                </w:tcPr>
                <w:p w14:paraId="1A263AB0">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7</w:t>
                  </w:r>
                </w:p>
              </w:tc>
              <w:tc>
                <w:tcPr>
                  <w:tcW w:w="495" w:type="pct"/>
                  <w:tcBorders>
                    <w:tl2br w:val="nil"/>
                    <w:tr2bl w:val="nil"/>
                  </w:tcBorders>
                  <w:noWrap w:val="0"/>
                  <w:vAlign w:val="center"/>
                </w:tcPr>
                <w:p w14:paraId="18F6C898">
                  <w:pPr>
                    <w:spacing w:beforeLines="0" w:afterLines="0"/>
                    <w:jc w:val="cente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自卸汽车</w:t>
                  </w:r>
                </w:p>
              </w:tc>
              <w:tc>
                <w:tcPr>
                  <w:tcW w:w="386" w:type="pct"/>
                  <w:tcBorders>
                    <w:tl2br w:val="nil"/>
                    <w:tr2bl w:val="nil"/>
                  </w:tcBorders>
                  <w:noWrap w:val="0"/>
                  <w:vAlign w:val="center"/>
                </w:tcPr>
                <w:p w14:paraId="66E21CF9">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61.0</w:t>
                  </w:r>
                </w:p>
              </w:tc>
              <w:tc>
                <w:tcPr>
                  <w:tcW w:w="386" w:type="pct"/>
                  <w:tcBorders>
                    <w:tl2br w:val="nil"/>
                    <w:tr2bl w:val="nil"/>
                  </w:tcBorders>
                  <w:noWrap w:val="0"/>
                  <w:vAlign w:val="center"/>
                </w:tcPr>
                <w:p w14:paraId="74CCE6D5">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55.0</w:t>
                  </w:r>
                </w:p>
              </w:tc>
              <w:tc>
                <w:tcPr>
                  <w:tcW w:w="386" w:type="pct"/>
                  <w:tcBorders>
                    <w:tl2br w:val="nil"/>
                    <w:tr2bl w:val="nil"/>
                  </w:tcBorders>
                  <w:noWrap w:val="0"/>
                  <w:vAlign w:val="center"/>
                </w:tcPr>
                <w:p w14:paraId="0183F1BE">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51.5</w:t>
                  </w:r>
                </w:p>
              </w:tc>
              <w:tc>
                <w:tcPr>
                  <w:tcW w:w="386" w:type="pct"/>
                  <w:tcBorders>
                    <w:tl2br w:val="nil"/>
                    <w:tr2bl w:val="nil"/>
                  </w:tcBorders>
                  <w:noWrap w:val="0"/>
                  <w:vAlign w:val="center"/>
                </w:tcPr>
                <w:p w14:paraId="616C9FC4">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47.4</w:t>
                  </w:r>
                </w:p>
              </w:tc>
              <w:tc>
                <w:tcPr>
                  <w:tcW w:w="386" w:type="pct"/>
                  <w:tcBorders>
                    <w:tl2br w:val="nil"/>
                    <w:tr2bl w:val="nil"/>
                  </w:tcBorders>
                  <w:noWrap w:val="0"/>
                  <w:vAlign w:val="center"/>
                </w:tcPr>
                <w:p w14:paraId="53B7F54E">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45.5</w:t>
                  </w:r>
                </w:p>
              </w:tc>
              <w:tc>
                <w:tcPr>
                  <w:tcW w:w="386" w:type="pct"/>
                  <w:tcBorders>
                    <w:tl2br w:val="nil"/>
                    <w:tr2bl w:val="nil"/>
                  </w:tcBorders>
                  <w:noWrap w:val="0"/>
                  <w:vAlign w:val="center"/>
                </w:tcPr>
                <w:p w14:paraId="74F822EF">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43.9</w:t>
                  </w:r>
                </w:p>
              </w:tc>
              <w:tc>
                <w:tcPr>
                  <w:tcW w:w="386" w:type="pct"/>
                  <w:tcBorders>
                    <w:tl2br w:val="nil"/>
                    <w:tr2bl w:val="nil"/>
                  </w:tcBorders>
                  <w:noWrap w:val="0"/>
                  <w:vAlign w:val="center"/>
                </w:tcPr>
                <w:p w14:paraId="1AEB566B">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41.9</w:t>
                  </w:r>
                </w:p>
              </w:tc>
              <w:tc>
                <w:tcPr>
                  <w:tcW w:w="386" w:type="pct"/>
                  <w:tcBorders>
                    <w:tl2br w:val="nil"/>
                    <w:tr2bl w:val="nil"/>
                  </w:tcBorders>
                  <w:noWrap w:val="0"/>
                  <w:vAlign w:val="center"/>
                </w:tcPr>
                <w:p w14:paraId="2409852A">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39.6</w:t>
                  </w:r>
                </w:p>
              </w:tc>
              <w:tc>
                <w:tcPr>
                  <w:tcW w:w="386" w:type="pct"/>
                  <w:tcBorders>
                    <w:tl2br w:val="nil"/>
                    <w:tr2bl w:val="nil"/>
                  </w:tcBorders>
                  <w:noWrap w:val="0"/>
                  <w:vAlign w:val="center"/>
                </w:tcPr>
                <w:p w14:paraId="5984F8AE">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40</w:t>
                  </w:r>
                </w:p>
              </w:tc>
              <w:tc>
                <w:tcPr>
                  <w:tcW w:w="386" w:type="pct"/>
                  <w:tcBorders>
                    <w:tl2br w:val="nil"/>
                    <w:tr2bl w:val="nil"/>
                  </w:tcBorders>
                  <w:noWrap w:val="0"/>
                  <w:vAlign w:val="center"/>
                </w:tcPr>
                <w:p w14:paraId="4589C2BE">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46.1</w:t>
                  </w:r>
                </w:p>
              </w:tc>
              <w:tc>
                <w:tcPr>
                  <w:tcW w:w="390" w:type="pct"/>
                  <w:tcBorders>
                    <w:tl2br w:val="nil"/>
                    <w:tr2bl w:val="nil"/>
                  </w:tcBorders>
                  <w:noWrap w:val="0"/>
                  <w:vAlign w:val="center"/>
                </w:tcPr>
                <w:p w14:paraId="5A9AC6EB">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34</w:t>
                  </w:r>
                </w:p>
              </w:tc>
            </w:tr>
            <w:tr w14:paraId="43C7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 w:type="pct"/>
                  <w:tcBorders>
                    <w:tl2br w:val="nil"/>
                    <w:tr2bl w:val="nil"/>
                  </w:tcBorders>
                  <w:noWrap w:val="0"/>
                  <w:vAlign w:val="center"/>
                </w:tcPr>
                <w:p w14:paraId="1DAB99E0">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8</w:t>
                  </w:r>
                </w:p>
              </w:tc>
              <w:tc>
                <w:tcPr>
                  <w:tcW w:w="495" w:type="pct"/>
                  <w:tcBorders>
                    <w:tl2br w:val="nil"/>
                    <w:tr2bl w:val="nil"/>
                  </w:tcBorders>
                  <w:noWrap w:val="0"/>
                  <w:vAlign w:val="center"/>
                </w:tcPr>
                <w:p w14:paraId="07F0F74B">
                  <w:pPr>
                    <w:spacing w:beforeLines="0" w:afterLines="0"/>
                    <w:jc w:val="center"/>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b w:val="0"/>
                      <w:bCs w:val="0"/>
                      <w:color w:val="auto"/>
                      <w:sz w:val="18"/>
                      <w:szCs w:val="18"/>
                    </w:rPr>
                    <w:t>载重汽车</w:t>
                  </w:r>
                </w:p>
              </w:tc>
              <w:tc>
                <w:tcPr>
                  <w:tcW w:w="386" w:type="pct"/>
                  <w:tcBorders>
                    <w:tl2br w:val="nil"/>
                    <w:tr2bl w:val="nil"/>
                  </w:tcBorders>
                  <w:noWrap w:val="0"/>
                  <w:vAlign w:val="center"/>
                </w:tcPr>
                <w:p w14:paraId="308FAA62">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66.0</w:t>
                  </w:r>
                </w:p>
              </w:tc>
              <w:tc>
                <w:tcPr>
                  <w:tcW w:w="386" w:type="pct"/>
                  <w:tcBorders>
                    <w:tl2br w:val="nil"/>
                    <w:tr2bl w:val="nil"/>
                  </w:tcBorders>
                  <w:noWrap w:val="0"/>
                  <w:vAlign w:val="center"/>
                </w:tcPr>
                <w:p w14:paraId="2F44044E">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60.0</w:t>
                  </w:r>
                </w:p>
              </w:tc>
              <w:tc>
                <w:tcPr>
                  <w:tcW w:w="386" w:type="pct"/>
                  <w:tcBorders>
                    <w:tl2br w:val="nil"/>
                    <w:tr2bl w:val="nil"/>
                  </w:tcBorders>
                  <w:noWrap w:val="0"/>
                  <w:vAlign w:val="center"/>
                </w:tcPr>
                <w:p w14:paraId="75494003">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56.5</w:t>
                  </w:r>
                </w:p>
              </w:tc>
              <w:tc>
                <w:tcPr>
                  <w:tcW w:w="386" w:type="pct"/>
                  <w:tcBorders>
                    <w:tl2br w:val="nil"/>
                    <w:tr2bl w:val="nil"/>
                  </w:tcBorders>
                  <w:noWrap w:val="0"/>
                  <w:vAlign w:val="center"/>
                </w:tcPr>
                <w:p w14:paraId="33F39E9D">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52.4</w:t>
                  </w:r>
                </w:p>
              </w:tc>
              <w:tc>
                <w:tcPr>
                  <w:tcW w:w="386" w:type="pct"/>
                  <w:tcBorders>
                    <w:tl2br w:val="nil"/>
                    <w:tr2bl w:val="nil"/>
                  </w:tcBorders>
                  <w:noWrap w:val="0"/>
                  <w:vAlign w:val="center"/>
                </w:tcPr>
                <w:p w14:paraId="3EF06129">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50.5</w:t>
                  </w:r>
                </w:p>
              </w:tc>
              <w:tc>
                <w:tcPr>
                  <w:tcW w:w="386" w:type="pct"/>
                  <w:tcBorders>
                    <w:tl2br w:val="nil"/>
                    <w:tr2bl w:val="nil"/>
                  </w:tcBorders>
                  <w:noWrap w:val="0"/>
                  <w:vAlign w:val="center"/>
                </w:tcPr>
                <w:p w14:paraId="6A6C8C21">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48.9</w:t>
                  </w:r>
                </w:p>
              </w:tc>
              <w:tc>
                <w:tcPr>
                  <w:tcW w:w="386" w:type="pct"/>
                  <w:tcBorders>
                    <w:tl2br w:val="nil"/>
                    <w:tr2bl w:val="nil"/>
                  </w:tcBorders>
                  <w:noWrap w:val="0"/>
                  <w:vAlign w:val="center"/>
                </w:tcPr>
                <w:p w14:paraId="3E1D4DE5">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46.9</w:t>
                  </w:r>
                </w:p>
              </w:tc>
              <w:tc>
                <w:tcPr>
                  <w:tcW w:w="386" w:type="pct"/>
                  <w:tcBorders>
                    <w:tl2br w:val="nil"/>
                    <w:tr2bl w:val="nil"/>
                  </w:tcBorders>
                  <w:noWrap w:val="0"/>
                  <w:vAlign w:val="center"/>
                </w:tcPr>
                <w:p w14:paraId="74069BE5">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44.6</w:t>
                  </w:r>
                </w:p>
              </w:tc>
              <w:tc>
                <w:tcPr>
                  <w:tcW w:w="386" w:type="pct"/>
                  <w:tcBorders>
                    <w:tl2br w:val="nil"/>
                    <w:tr2bl w:val="nil"/>
                  </w:tcBorders>
                  <w:noWrap w:val="0"/>
                  <w:vAlign w:val="center"/>
                </w:tcPr>
                <w:p w14:paraId="3E889B92">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40</w:t>
                  </w:r>
                </w:p>
              </w:tc>
              <w:tc>
                <w:tcPr>
                  <w:tcW w:w="386" w:type="pct"/>
                  <w:tcBorders>
                    <w:tl2br w:val="nil"/>
                    <w:tr2bl w:val="nil"/>
                  </w:tcBorders>
                  <w:noWrap w:val="0"/>
                  <w:vAlign w:val="center"/>
                </w:tcPr>
                <w:p w14:paraId="2DBA94CF">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31.1</w:t>
                  </w:r>
                </w:p>
              </w:tc>
              <w:tc>
                <w:tcPr>
                  <w:tcW w:w="390" w:type="pct"/>
                  <w:tcBorders>
                    <w:tl2br w:val="nil"/>
                    <w:tr2bl w:val="nil"/>
                  </w:tcBorders>
                  <w:noWrap w:val="0"/>
                  <w:vAlign w:val="center"/>
                </w:tcPr>
                <w:p w14:paraId="4F5719AB">
                  <w:pPr>
                    <w:spacing w:beforeLines="0" w:afterLines="0"/>
                    <w:jc w:val="center"/>
                    <w:rPr>
                      <w:rFonts w:hint="default" w:ascii="Times New Roman" w:hAnsi="Times New Roman" w:eastAsia="Times New Roman" w:cs="Times New Roman"/>
                      <w:b w:val="0"/>
                      <w:bCs w:val="0"/>
                      <w:color w:val="auto"/>
                      <w:sz w:val="18"/>
                      <w:szCs w:val="18"/>
                    </w:rPr>
                  </w:pPr>
                  <w:r>
                    <w:rPr>
                      <w:rFonts w:hint="default" w:ascii="Times New Roman" w:hAnsi="Times New Roman" w:eastAsia="Times New Roman" w:cs="Times New Roman"/>
                      <w:b w:val="0"/>
                      <w:bCs w:val="0"/>
                      <w:color w:val="auto"/>
                      <w:sz w:val="18"/>
                      <w:szCs w:val="18"/>
                    </w:rPr>
                    <w:t>34</w:t>
                  </w:r>
                </w:p>
              </w:tc>
            </w:tr>
            <w:tr w14:paraId="778C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 w:type="pct"/>
                  <w:tcBorders>
                    <w:tl2br w:val="nil"/>
                    <w:tr2bl w:val="nil"/>
                  </w:tcBorders>
                  <w:noWrap w:val="0"/>
                  <w:vAlign w:val="center"/>
                </w:tcPr>
                <w:p w14:paraId="03A850E6">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9</w:t>
                  </w:r>
                </w:p>
              </w:tc>
              <w:tc>
                <w:tcPr>
                  <w:tcW w:w="495" w:type="pct"/>
                  <w:tcBorders>
                    <w:tl2br w:val="nil"/>
                    <w:tr2bl w:val="nil"/>
                  </w:tcBorders>
                  <w:noWrap w:val="0"/>
                  <w:vAlign w:val="center"/>
                </w:tcPr>
                <w:p w14:paraId="0B3C2890">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柴油发动机</w:t>
                  </w:r>
                </w:p>
              </w:tc>
              <w:tc>
                <w:tcPr>
                  <w:tcW w:w="386" w:type="pct"/>
                  <w:tcBorders>
                    <w:tl2br w:val="nil"/>
                    <w:tr2bl w:val="nil"/>
                  </w:tcBorders>
                  <w:noWrap w:val="0"/>
                  <w:vAlign w:val="center"/>
                </w:tcPr>
                <w:p w14:paraId="04CE6967">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76</w:t>
                  </w:r>
                </w:p>
              </w:tc>
              <w:tc>
                <w:tcPr>
                  <w:tcW w:w="386" w:type="pct"/>
                  <w:tcBorders>
                    <w:tl2br w:val="nil"/>
                    <w:tr2bl w:val="nil"/>
                  </w:tcBorders>
                  <w:noWrap w:val="0"/>
                  <w:vAlign w:val="center"/>
                </w:tcPr>
                <w:p w14:paraId="67E8B53A">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70</w:t>
                  </w:r>
                </w:p>
              </w:tc>
              <w:tc>
                <w:tcPr>
                  <w:tcW w:w="386" w:type="pct"/>
                  <w:tcBorders>
                    <w:tl2br w:val="nil"/>
                    <w:tr2bl w:val="nil"/>
                  </w:tcBorders>
                  <w:noWrap w:val="0"/>
                  <w:vAlign w:val="center"/>
                </w:tcPr>
                <w:p w14:paraId="47D1C113">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67.4</w:t>
                  </w:r>
                </w:p>
              </w:tc>
              <w:tc>
                <w:tcPr>
                  <w:tcW w:w="386" w:type="pct"/>
                  <w:tcBorders>
                    <w:tl2br w:val="nil"/>
                    <w:tr2bl w:val="nil"/>
                  </w:tcBorders>
                  <w:noWrap w:val="0"/>
                  <w:vAlign w:val="center"/>
                </w:tcPr>
                <w:p w14:paraId="1D92E01B">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62.4</w:t>
                  </w:r>
                </w:p>
              </w:tc>
              <w:tc>
                <w:tcPr>
                  <w:tcW w:w="386" w:type="pct"/>
                  <w:tcBorders>
                    <w:tl2br w:val="nil"/>
                    <w:tr2bl w:val="nil"/>
                  </w:tcBorders>
                  <w:noWrap w:val="0"/>
                  <w:vAlign w:val="center"/>
                </w:tcPr>
                <w:p w14:paraId="534A9D96">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60.5</w:t>
                  </w:r>
                </w:p>
              </w:tc>
              <w:tc>
                <w:tcPr>
                  <w:tcW w:w="386" w:type="pct"/>
                  <w:tcBorders>
                    <w:tl2br w:val="nil"/>
                    <w:tr2bl w:val="nil"/>
                  </w:tcBorders>
                  <w:noWrap w:val="0"/>
                  <w:vAlign w:val="center"/>
                </w:tcPr>
                <w:p w14:paraId="13FCAE6A">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58.9</w:t>
                  </w:r>
                </w:p>
              </w:tc>
              <w:tc>
                <w:tcPr>
                  <w:tcW w:w="386" w:type="pct"/>
                  <w:tcBorders>
                    <w:tl2br w:val="nil"/>
                    <w:tr2bl w:val="nil"/>
                  </w:tcBorders>
                  <w:noWrap w:val="0"/>
                  <w:vAlign w:val="center"/>
                </w:tcPr>
                <w:p w14:paraId="60019A54">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56.9</w:t>
                  </w:r>
                </w:p>
              </w:tc>
              <w:tc>
                <w:tcPr>
                  <w:tcW w:w="386" w:type="pct"/>
                  <w:tcBorders>
                    <w:tl2br w:val="nil"/>
                    <w:tr2bl w:val="nil"/>
                  </w:tcBorders>
                  <w:noWrap w:val="0"/>
                  <w:vAlign w:val="center"/>
                </w:tcPr>
                <w:p w14:paraId="2C1C9642">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54.6</w:t>
                  </w:r>
                </w:p>
              </w:tc>
              <w:tc>
                <w:tcPr>
                  <w:tcW w:w="386" w:type="pct"/>
                  <w:tcBorders>
                    <w:tl2br w:val="nil"/>
                    <w:tr2bl w:val="nil"/>
                  </w:tcBorders>
                  <w:noWrap w:val="0"/>
                  <w:vAlign w:val="center"/>
                </w:tcPr>
                <w:p w14:paraId="29582D57">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50</w:t>
                  </w:r>
                </w:p>
              </w:tc>
              <w:tc>
                <w:tcPr>
                  <w:tcW w:w="386" w:type="pct"/>
                  <w:tcBorders>
                    <w:tl2br w:val="nil"/>
                    <w:tr2bl w:val="nil"/>
                  </w:tcBorders>
                  <w:noWrap w:val="0"/>
                  <w:vAlign w:val="center"/>
                </w:tcPr>
                <w:p w14:paraId="1492FA43">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46.1</w:t>
                  </w:r>
                </w:p>
              </w:tc>
              <w:tc>
                <w:tcPr>
                  <w:tcW w:w="390" w:type="pct"/>
                  <w:tcBorders>
                    <w:tl2br w:val="nil"/>
                    <w:tr2bl w:val="nil"/>
                  </w:tcBorders>
                  <w:noWrap w:val="0"/>
                  <w:vAlign w:val="center"/>
                </w:tcPr>
                <w:p w14:paraId="28FB1E6A">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44</w:t>
                  </w:r>
                </w:p>
              </w:tc>
            </w:tr>
            <w:tr w14:paraId="4E00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4" w:type="pct"/>
                  <w:gridSpan w:val="2"/>
                  <w:tcBorders>
                    <w:tl2br w:val="nil"/>
                    <w:tr2bl w:val="nil"/>
                  </w:tcBorders>
                  <w:noWrap w:val="0"/>
                  <w:vAlign w:val="center"/>
                </w:tcPr>
                <w:p w14:paraId="2DE1FBFE">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叠加噪声</w:t>
                  </w:r>
                </w:p>
              </w:tc>
              <w:tc>
                <w:tcPr>
                  <w:tcW w:w="386" w:type="pct"/>
                  <w:tcBorders>
                    <w:tl2br w:val="nil"/>
                    <w:tr2bl w:val="nil"/>
                  </w:tcBorders>
                  <w:noWrap w:val="0"/>
                  <w:vAlign w:val="center"/>
                </w:tcPr>
                <w:p w14:paraId="2CBC4329">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83.8</w:t>
                  </w:r>
                </w:p>
              </w:tc>
              <w:tc>
                <w:tcPr>
                  <w:tcW w:w="386" w:type="pct"/>
                  <w:tcBorders>
                    <w:tl2br w:val="nil"/>
                    <w:tr2bl w:val="nil"/>
                  </w:tcBorders>
                  <w:noWrap w:val="0"/>
                  <w:vAlign w:val="center"/>
                </w:tcPr>
                <w:p w14:paraId="0D3A7820">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77.7</w:t>
                  </w:r>
                </w:p>
              </w:tc>
              <w:tc>
                <w:tcPr>
                  <w:tcW w:w="386" w:type="pct"/>
                  <w:tcBorders>
                    <w:tl2br w:val="nil"/>
                    <w:tr2bl w:val="nil"/>
                  </w:tcBorders>
                  <w:noWrap w:val="0"/>
                  <w:vAlign w:val="center"/>
                </w:tcPr>
                <w:p w14:paraId="18A0D33A">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74.2</w:t>
                  </w:r>
                </w:p>
              </w:tc>
              <w:tc>
                <w:tcPr>
                  <w:tcW w:w="386" w:type="pct"/>
                  <w:tcBorders>
                    <w:tl2br w:val="nil"/>
                    <w:tr2bl w:val="nil"/>
                  </w:tcBorders>
                  <w:noWrap w:val="0"/>
                  <w:vAlign w:val="center"/>
                </w:tcPr>
                <w:p w14:paraId="0D572EBA">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71.3</w:t>
                  </w:r>
                </w:p>
              </w:tc>
              <w:tc>
                <w:tcPr>
                  <w:tcW w:w="386" w:type="pct"/>
                  <w:tcBorders>
                    <w:tl2br w:val="nil"/>
                    <w:tr2bl w:val="nil"/>
                  </w:tcBorders>
                  <w:noWrap w:val="0"/>
                  <w:vAlign w:val="center"/>
                </w:tcPr>
                <w:p w14:paraId="4970DAB9">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68.2</w:t>
                  </w:r>
                </w:p>
              </w:tc>
              <w:tc>
                <w:tcPr>
                  <w:tcW w:w="386" w:type="pct"/>
                  <w:tcBorders>
                    <w:tl2br w:val="nil"/>
                    <w:tr2bl w:val="nil"/>
                  </w:tcBorders>
                  <w:noWrap w:val="0"/>
                  <w:vAlign w:val="center"/>
                </w:tcPr>
                <w:p w14:paraId="24AB8357">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66.6</w:t>
                  </w:r>
                </w:p>
              </w:tc>
              <w:tc>
                <w:tcPr>
                  <w:tcW w:w="386" w:type="pct"/>
                  <w:tcBorders>
                    <w:tl2br w:val="nil"/>
                    <w:tr2bl w:val="nil"/>
                  </w:tcBorders>
                  <w:noWrap w:val="0"/>
                  <w:vAlign w:val="center"/>
                </w:tcPr>
                <w:p w14:paraId="2958E9C4">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64.7</w:t>
                  </w:r>
                </w:p>
              </w:tc>
              <w:tc>
                <w:tcPr>
                  <w:tcW w:w="386" w:type="pct"/>
                  <w:tcBorders>
                    <w:tl2br w:val="nil"/>
                    <w:tr2bl w:val="nil"/>
                  </w:tcBorders>
                  <w:noWrap w:val="0"/>
                  <w:vAlign w:val="center"/>
                </w:tcPr>
                <w:p w14:paraId="5583C4C6">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60.1</w:t>
                  </w:r>
                </w:p>
              </w:tc>
              <w:tc>
                <w:tcPr>
                  <w:tcW w:w="386" w:type="pct"/>
                  <w:tcBorders>
                    <w:tl2br w:val="nil"/>
                    <w:tr2bl w:val="nil"/>
                  </w:tcBorders>
                  <w:noWrap w:val="0"/>
                  <w:vAlign w:val="center"/>
                </w:tcPr>
                <w:p w14:paraId="7EEE5D49">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55.9</w:t>
                  </w:r>
                </w:p>
              </w:tc>
              <w:tc>
                <w:tcPr>
                  <w:tcW w:w="386" w:type="pct"/>
                  <w:tcBorders>
                    <w:tl2br w:val="nil"/>
                    <w:tr2bl w:val="nil"/>
                  </w:tcBorders>
                  <w:noWrap w:val="0"/>
                  <w:vAlign w:val="center"/>
                </w:tcPr>
                <w:p w14:paraId="54BB2039">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55</w:t>
                  </w:r>
                </w:p>
              </w:tc>
              <w:tc>
                <w:tcPr>
                  <w:tcW w:w="390" w:type="pct"/>
                  <w:tcBorders>
                    <w:tl2br w:val="nil"/>
                    <w:tr2bl w:val="nil"/>
                  </w:tcBorders>
                  <w:noWrap w:val="0"/>
                  <w:vAlign w:val="center"/>
                </w:tcPr>
                <w:p w14:paraId="1C5654C7">
                  <w:pPr>
                    <w:spacing w:beforeLines="0" w:afterLines="0"/>
                    <w:jc w:val="center"/>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b w:val="0"/>
                      <w:bCs w:val="0"/>
                      <w:color w:val="auto"/>
                      <w:sz w:val="18"/>
                      <w:szCs w:val="18"/>
                      <w:lang w:val="en-US" w:eastAsia="zh-CN"/>
                    </w:rPr>
                    <w:t>49.9</w:t>
                  </w:r>
                </w:p>
              </w:tc>
            </w:tr>
          </w:tbl>
          <w:p w14:paraId="02B26449">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color w:val="auto"/>
                <w:sz w:val="24"/>
                <w:szCs w:val="24"/>
                <w:lang w:val="en-US" w:eastAsia="zh-CN"/>
              </w:rPr>
              <w:t>按照</w:t>
            </w:r>
            <w:r>
              <w:rPr>
                <w:rFonts w:hint="default" w:ascii="Times New Roman" w:hAnsi="Times New Roman" w:eastAsia="宋体" w:cs="Times New Roman"/>
                <w:b w:val="0"/>
                <w:bCs/>
                <w:color w:val="auto"/>
                <w:sz w:val="24"/>
                <w:szCs w:val="24"/>
              </w:rPr>
              <w:t>《</w:t>
            </w:r>
            <w:r>
              <w:rPr>
                <w:rFonts w:hint="default" w:ascii="Times New Roman" w:hAnsi="Times New Roman" w:cs="Times New Roman"/>
                <w:b w:val="0"/>
                <w:bCs/>
                <w:color w:val="auto"/>
                <w:sz w:val="24"/>
                <w:szCs w:val="24"/>
                <w:lang w:eastAsia="zh-CN"/>
              </w:rPr>
              <w:t>建筑施工噪声排放标准</w:t>
            </w:r>
            <w:r>
              <w:rPr>
                <w:rFonts w:hint="default" w:ascii="Times New Roman" w:hAnsi="Times New Roman" w:eastAsia="宋体" w:cs="Times New Roman"/>
                <w:b w:val="0"/>
                <w:bCs/>
                <w:color w:val="auto"/>
                <w:sz w:val="24"/>
                <w:szCs w:val="24"/>
              </w:rPr>
              <w:t>》</w:t>
            </w:r>
            <w:r>
              <w:rPr>
                <w:rFonts w:hint="eastAsia" w:ascii="Times New Roman" w:hAnsi="Times New Roman" w:cs="Times New Roman"/>
                <w:b w:val="0"/>
                <w:bCs/>
                <w:color w:val="auto"/>
                <w:sz w:val="24"/>
                <w:szCs w:val="24"/>
                <w:lang w:eastAsia="zh-CN"/>
              </w:rPr>
              <w:t>（</w:t>
            </w:r>
            <w:r>
              <w:rPr>
                <w:rFonts w:hint="default" w:ascii="Times New Roman" w:hAnsi="Times New Roman" w:cs="Times New Roman"/>
                <w:b w:val="0"/>
                <w:bCs/>
                <w:color w:val="auto"/>
                <w:sz w:val="24"/>
                <w:szCs w:val="24"/>
                <w:lang w:eastAsia="zh-CN"/>
              </w:rPr>
              <w:t>GB12523-2025</w:t>
            </w:r>
            <w:r>
              <w:rPr>
                <w:rFonts w:hint="default" w:ascii="Times New Roman" w:hAnsi="Times New Roman" w:eastAsia="宋体" w:cs="Times New Roman"/>
                <w:b w:val="0"/>
                <w:bCs/>
                <w:color w:val="auto"/>
                <w:sz w:val="24"/>
                <w:szCs w:val="24"/>
              </w:rPr>
              <w:t>）</w:t>
            </w:r>
            <w:r>
              <w:rPr>
                <w:rFonts w:hint="default" w:ascii="Times New Roman" w:hAnsi="Times New Roman" w:eastAsia="宋体" w:cs="Times New Roman"/>
                <w:b w:val="0"/>
                <w:bCs/>
                <w:color w:val="auto"/>
                <w:sz w:val="24"/>
                <w:szCs w:val="24"/>
                <w:lang w:val="en-US" w:eastAsia="zh-CN"/>
              </w:rPr>
              <w:t>标准限值分析</w:t>
            </w:r>
            <w:r>
              <w:rPr>
                <w:rFonts w:hint="eastAsia" w:ascii="Times New Roman" w:hAnsi="Times New Roman" w:cs="Times New Roman"/>
                <w:b w:val="0"/>
                <w:bCs/>
                <w:color w:val="auto"/>
                <w:sz w:val="24"/>
                <w:szCs w:val="24"/>
                <w:lang w:val="en-US" w:eastAsia="zh-CN"/>
              </w:rPr>
              <w:t>（</w:t>
            </w:r>
            <w:r>
              <w:rPr>
                <w:rFonts w:hint="default" w:ascii="Times New Roman" w:hAnsi="Times New Roman" w:eastAsia="宋体" w:cs="Times New Roman"/>
                <w:color w:val="auto"/>
                <w:sz w:val="24"/>
                <w:szCs w:val="24"/>
                <w:highlight w:val="none"/>
                <w:lang w:val="en-US" w:eastAsia="zh-CN"/>
              </w:rPr>
              <w:t>昼间≤70dB</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A），夜间≤55dB</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A）），根据噪声预测结果可知：单机施工机械作业时的噪声，昼间最大在距源20m 以外可符合标准要求，夜间最大在50m 以外可符合标准要求；多种施工机械同时作业时的噪声，昼间在距源15m 以外可符合标准要求，夜间在100m 以外可符合标准要求。</w:t>
            </w:r>
          </w:p>
          <w:p w14:paraId="6F26E97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设备噪声尽管在施工期间产生，但由于其具有冲击性、有的持续时间较长并伴有强烈的震动，对环境特别是施工人员和居民生活危害很大。不同施工阶段所投入的设备对环境噪声的影响特征不同。主要是管线沟槽开挖、填土方、平整土地等施工，施工设备的运行具有分散性，噪声属于流动性和不稳定性，对周围环境的影响不太明显。施工噪声很大程</w:t>
            </w:r>
            <w:r>
              <w:rPr>
                <w:rFonts w:hint="default" w:ascii="Times New Roman" w:hAnsi="Times New Roman" w:cs="Times New Roman"/>
                <w:color w:val="auto"/>
                <w:sz w:val="24"/>
                <w:szCs w:val="24"/>
                <w:highlight w:val="none"/>
                <w:lang w:val="en-US" w:eastAsia="zh-CN"/>
              </w:rPr>
              <w:t>度上</w:t>
            </w:r>
            <w:r>
              <w:rPr>
                <w:rFonts w:hint="default" w:ascii="Times New Roman" w:hAnsi="Times New Roman" w:eastAsia="宋体" w:cs="Times New Roman"/>
                <w:color w:val="auto"/>
                <w:sz w:val="24"/>
                <w:szCs w:val="24"/>
                <w:highlight w:val="none"/>
                <w:lang w:val="en-US" w:eastAsia="zh-CN"/>
              </w:rPr>
              <w:t>取决于施工点与敏感点的距离和施工时段，距离越近施工影响最大。施工期噪声影响是短暂的，一旦施工活动结束，施工噪声也将随之结束。</w:t>
            </w:r>
          </w:p>
          <w:p w14:paraId="25579F6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根据项目工程实施地点，项目实施位置距离周边敏感点均相对较远，少量管线工程等距离个别村民房屋较近，但根据施工时间短等实施特点，项目在施工过程中产生的噪声对周边村民的影响是可以接受的。</w:t>
            </w:r>
          </w:p>
          <w:p w14:paraId="2049E02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为减轻施工噪声对敏感点及区域声环境的影响，施工单位应尽量优先选用低噪音</w:t>
            </w:r>
            <w:r>
              <w:rPr>
                <w:rFonts w:hint="default" w:ascii="Times New Roman" w:hAnsi="Times New Roman" w:cs="Times New Roman"/>
                <w:color w:val="auto"/>
                <w:sz w:val="24"/>
                <w:szCs w:val="24"/>
                <w:highlight w:val="none"/>
                <w:lang w:val="en-US" w:eastAsia="zh-CN"/>
              </w:rPr>
              <w:t>、低</w:t>
            </w:r>
            <w:r>
              <w:rPr>
                <w:rFonts w:hint="default" w:ascii="Times New Roman" w:hAnsi="Times New Roman" w:eastAsia="宋体" w:cs="Times New Roman"/>
                <w:color w:val="auto"/>
                <w:sz w:val="24"/>
                <w:szCs w:val="24"/>
                <w:highlight w:val="none"/>
                <w:lang w:val="en-US" w:eastAsia="zh-CN"/>
              </w:rPr>
              <w:t>振动的各类施工机械设备，做好设备日常检修；应针对噪声敏感点现状分布情况，合理布局施工场地，尽量使高噪声的机械设备远离敏感点，避免多台高噪音的机械设备在同一工场和同一时间使用；对可固定的机械设备如空压机、发电机等应入棚操作；在施工道路两侧设置连续、密闭的围挡；施工运输车辆，尤其是大型运输车辆，确定合理运输路线和时间。</w:t>
            </w:r>
          </w:p>
          <w:p w14:paraId="0A0D608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highlight w:val="none"/>
                <w:lang w:val="en-US" w:eastAsia="zh-CN"/>
              </w:rPr>
              <w:t>总体而言，施工噪声是间歇性和短期的，可以通过采取相应措施对其进行缓解，并随着施工期的结束而消失。</w:t>
            </w:r>
          </w:p>
          <w:p w14:paraId="5F6A4A79">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、固体废弃物的排放和处置分析</w:t>
            </w:r>
          </w:p>
          <w:p w14:paraId="193F972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固体废弃物主要有施工过</w:t>
            </w:r>
            <w:r>
              <w:rPr>
                <w:rFonts w:hint="default" w:ascii="Times New Roman" w:hAnsi="Times New Roman" w:cs="Times New Roman"/>
                <w:color w:val="auto"/>
                <w:sz w:val="24"/>
                <w:szCs w:val="24"/>
                <w:highlight w:val="none"/>
                <w:lang w:val="en-US" w:eastAsia="zh-CN"/>
              </w:rPr>
              <w:t>程中</w:t>
            </w:r>
            <w:r>
              <w:rPr>
                <w:rFonts w:hint="default" w:ascii="Times New Roman" w:hAnsi="Times New Roman" w:eastAsia="宋体" w:cs="Times New Roman"/>
                <w:color w:val="auto"/>
                <w:sz w:val="24"/>
                <w:szCs w:val="24"/>
                <w:highlight w:val="none"/>
                <w:lang w:val="en-US" w:eastAsia="zh-CN"/>
              </w:rPr>
              <w:t>产生的废弃土石方、</w:t>
            </w:r>
            <w:r>
              <w:rPr>
                <w:rFonts w:hint="default" w:ascii="Times New Roman" w:hAnsi="Times New Roman" w:cs="Times New Roman"/>
                <w:color w:val="auto"/>
                <w:sz w:val="24"/>
                <w:szCs w:val="24"/>
                <w:highlight w:val="none"/>
                <w:lang w:val="en-US" w:eastAsia="zh-CN"/>
              </w:rPr>
              <w:t>建筑垃圾</w:t>
            </w:r>
            <w:r>
              <w:rPr>
                <w:rFonts w:hint="default" w:ascii="Times New Roman" w:hAnsi="Times New Roman" w:eastAsia="宋体" w:cs="Times New Roman"/>
                <w:color w:val="auto"/>
                <w:sz w:val="24"/>
                <w:szCs w:val="24"/>
                <w:highlight w:val="none"/>
                <w:lang w:val="en-US" w:eastAsia="zh-CN"/>
              </w:rPr>
              <w:t>、生活垃圾。</w:t>
            </w:r>
          </w:p>
          <w:p w14:paraId="071DC10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 xml:space="preserve">1）生活垃圾 </w:t>
            </w:r>
          </w:p>
          <w:p w14:paraId="64C0DCB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工程施工期将会产生一定量的生活垃圾。如果生活垃圾乱堆放，会影响施工场地的美观和卫生情况，同时孳生细菌、蝇、蚊等可能对施工人员身体健康造成危害。本工程针对生活垃圾拟采取定点收集，定期清运交由环卫部门处理的措施，规范生活垃圾的管理，避免其乱堆放，确保施工场地有良好的卫生条件，</w:t>
            </w:r>
            <w:r>
              <w:rPr>
                <w:rFonts w:hint="default" w:ascii="Times New Roman" w:hAnsi="Times New Roman" w:cs="Times New Roman"/>
                <w:color w:val="auto"/>
                <w:sz w:val="24"/>
                <w:szCs w:val="24"/>
                <w:highlight w:val="none"/>
                <w:lang w:val="en-US" w:eastAsia="zh-CN"/>
              </w:rPr>
              <w:t>减少</w:t>
            </w:r>
            <w:r>
              <w:rPr>
                <w:rFonts w:hint="default" w:ascii="Times New Roman" w:hAnsi="Times New Roman" w:eastAsia="宋体" w:cs="Times New Roman"/>
                <w:color w:val="auto"/>
                <w:sz w:val="24"/>
                <w:szCs w:val="24"/>
                <w:highlight w:val="none"/>
                <w:lang w:val="en-US" w:eastAsia="zh-CN"/>
              </w:rPr>
              <w:t xml:space="preserve">生活垃圾对环境的不良影响。 </w:t>
            </w:r>
          </w:p>
          <w:p w14:paraId="27E8860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建筑垃圾</w:t>
            </w:r>
            <w:r>
              <w:rPr>
                <w:rFonts w:hint="default" w:ascii="Times New Roman" w:hAnsi="Times New Roman" w:eastAsia="宋体" w:cs="Times New Roman"/>
                <w:color w:val="auto"/>
                <w:sz w:val="24"/>
                <w:szCs w:val="24"/>
                <w:highlight w:val="none"/>
                <w:lang w:val="en-US" w:eastAsia="zh-CN"/>
              </w:rPr>
              <w:t xml:space="preserve"> </w:t>
            </w:r>
          </w:p>
          <w:p w14:paraId="2C2EAA2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建筑垃圾</w:t>
            </w:r>
            <w:r>
              <w:rPr>
                <w:rFonts w:hint="default" w:ascii="Times New Roman" w:hAnsi="Times New Roman" w:eastAsia="宋体" w:cs="Times New Roman"/>
                <w:color w:val="auto"/>
                <w:sz w:val="24"/>
                <w:szCs w:val="24"/>
                <w:highlight w:val="none"/>
                <w:lang w:val="en-US" w:eastAsia="zh-CN"/>
              </w:rPr>
              <w:t xml:space="preserve">主要包括废包装材料、废焊条，清管所产生的少量铁屑、粉尘，以及施工过程中产生的废金属等。废焊条、废包装材料、废金属等由施工单位回收利用，清管废渣交环卫部门处理。本项目产生的固体废物对环境影响很小。 </w:t>
            </w:r>
          </w:p>
          <w:p w14:paraId="156CE26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 xml:space="preserve">3）废弃土石方 </w:t>
            </w:r>
          </w:p>
          <w:p w14:paraId="1A89CEF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根据设计方案，本工程土方开挖总量约16.02 万 m³</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自然方），土方回填总量约 11.64 万 m³</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压实方），回填全部利用开挖料，质量满足要求，多余土料均交由安宁市交通投资有限公司运至具有合法手续的弃土场地合法处理。</w:t>
            </w:r>
          </w:p>
          <w:p w14:paraId="07C06A5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综上所述，项目施工期产生的固体废弃物处置得当，不会对当地的环境造成不良影响。</w:t>
            </w:r>
          </w:p>
          <w:p w14:paraId="52FA1422">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rPr>
              <w:t>、废水环境影响分析</w:t>
            </w:r>
          </w:p>
          <w:p w14:paraId="2B606E2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根据工程分析，</w:t>
            </w:r>
            <w:r>
              <w:rPr>
                <w:rFonts w:hint="default" w:ascii="Times New Roman" w:hAnsi="Times New Roman" w:eastAsia="宋体" w:cs="Times New Roman"/>
                <w:color w:val="auto"/>
                <w:sz w:val="24"/>
                <w:szCs w:val="24"/>
                <w:lang w:eastAsia="zh-CN"/>
              </w:rPr>
              <w:t>施工现场不设置施工营地，施工人员及管理监督人员依托周边民房、餐馆或当地的施工人员回家不在施工场地内进行食宿，无生活污水产生。施工人员生活废水主要为施工人员洗手用水，经沉砂池沉淀后直接回用于施工场地洒水抑尘，不外排；</w:t>
            </w:r>
            <w:r>
              <w:rPr>
                <w:rFonts w:hint="default" w:ascii="Times New Roman" w:hAnsi="Times New Roman" w:eastAsia="宋体" w:cs="Times New Roman"/>
                <w:color w:val="auto"/>
                <w:sz w:val="24"/>
                <w:szCs w:val="24"/>
                <w:highlight w:val="none"/>
                <w:lang w:val="en-US" w:eastAsia="zh-CN"/>
              </w:rPr>
              <w:t>项目在施工期产生的废水主要为施工废水。施工搅拌设备、机械冲洗废水经沉淀池处理后，回用于施工过程、车辆冲洗或用于场地洒水降尘，不外排。</w:t>
            </w:r>
          </w:p>
          <w:p w14:paraId="5335573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rPr>
              <w:t>根据主体设计资料，</w:t>
            </w:r>
            <w:r>
              <w:rPr>
                <w:rFonts w:hint="default" w:ascii="Times New Roman" w:hAnsi="Times New Roman" w:eastAsia="宋体" w:cs="Times New Roman"/>
                <w:color w:val="auto"/>
                <w:sz w:val="24"/>
                <w:szCs w:val="28"/>
              </w:rPr>
              <w:t>工程新建管道沿途特殊地段</w:t>
            </w:r>
            <w:r>
              <w:rPr>
                <w:rFonts w:hint="default" w:ascii="Times New Roman" w:hAnsi="Times New Roman" w:cs="Times New Roman"/>
                <w:color w:val="auto"/>
                <w:sz w:val="24"/>
                <w:szCs w:val="28"/>
                <w:lang w:val="en-US" w:eastAsia="zh-CN"/>
              </w:rPr>
              <w:t>涉及明槽开挖穿越鸣矣河、县街河</w:t>
            </w:r>
            <w:r>
              <w:rPr>
                <w:rFonts w:hint="default" w:ascii="Times New Roman" w:hAnsi="Times New Roman" w:eastAsia="宋体" w:cs="Times New Roman"/>
                <w:color w:val="auto"/>
                <w:sz w:val="24"/>
                <w:szCs w:val="28"/>
                <w:lang w:eastAsia="zh-CN"/>
              </w:rPr>
              <w:t>。</w:t>
            </w:r>
          </w:p>
          <w:p w14:paraId="0DF270D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 xml:space="preserve">1）管线施工对地表水的影响分析 </w:t>
            </w:r>
          </w:p>
          <w:p w14:paraId="4CBDECBA">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跨河管线施工全部采用半幅围堰导流、分段交替开挖的成熟涉水施工工艺。施工时采用填筑临时围堰将河道单侧半幅封闭作业，保留另一侧完整河道作为永久导流通道，保障河道水流全程贯通、连续下泄；待单侧管道敷设、回填成型并验收合格后，再切换导流断面，开展另一侧河道施工。该工艺全程不截断河道、不阻断水流，可始终保障河道原有过水断面与下游输水通道，完全满足下游工农业用水、生态基流及日常输水需求，不会造成河道断流、缺水及下游用水受阻问题。</w:t>
            </w:r>
          </w:p>
          <w:p w14:paraId="0C6790C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施工期水环境扰动主要体现为围堰填筑、基坑开挖、河床清整及围堰拆除过程中扰动底泥与土体，导致施工局部水域悬浮物</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SS）短时浓度升高，对局部河段水质产生暂时性、波动性影响。结合项目区域气候及施工组织设计，本项目河道施工严格避开雨季、主汛期，统一安排在枯水期实施。鸣矣河、县街河枯水期河流水量小、水流平缓、水域扰动范围可控，相较于汛期可大幅降低水土流失及水体浑浊扩散风险。</w:t>
            </w:r>
          </w:p>
          <w:p w14:paraId="4770586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施工产生的悬浮物污染具有局部性、短时性、自净可逆性特点：受扰动泥沙仅聚集于施工点位近区，随水体向下游平缓扩散过程中，大颗粒泥沙快速沉降，细小悬浮物经水体稀释、自然沉淀后，河段水质可在短时间内恢复至原有本底水平，不会形成持续性水质污染带。同时，项目开挖深度严格控制在河道设计冲刷线以下1.0m，施工过程严格遵循“随开挖、随敷设、随回填、随压实”原则，最大限度缩短河床裸露时间，减少水体扰动时长。</w:t>
            </w:r>
          </w:p>
          <w:p w14:paraId="1837C79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围堰拆除阶段会二次轻微扰动河床底质，造成局部水体悬浮物短暂抬升，但该作业工序工期短、作业范围集中，无持续性污染源排放。施工全过程无施工废水、弃土弃渣排入河道，施工结束后立即开展河床整形、岸坡修复、土体压实及河床稳固治理，彻底修复原有河道形态与水体环境。整体来看，施工扰动不会改变河道原有水体功能，不会造成水质超标、水体污染等永久性不利影响，对区域地表水环境质量影响可接受。 </w:t>
            </w:r>
          </w:p>
          <w:p w14:paraId="205202C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 xml:space="preserve">2）水文特征影响分析 </w:t>
            </w:r>
          </w:p>
          <w:p w14:paraId="2E0150B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工程管线穿越河道采用临时施工工艺，无任何永久性拦挡、壅水、缩窄河道的构筑物，工程建设不会改变鸣矣河、县街河原有河道走向、过水断面、比降及行洪能力，河道整体水文情势、行洪条件、输水规律保持现状不变，对区域河流水文特征无实质性、永久性改变。</w:t>
            </w:r>
          </w:p>
          <w:p w14:paraId="317A9E2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施工期场地平整、管沟开挖、临时占地占用、土方临时堆存等工程活动，会局部破坏地表原有植被、土壤结构及自然坡面，短期内扰动局部地表径流路径，可能导致施工区域周边小型自然沟渠、坡面径流出现短暂水流不畅、径流微调等现象。但上述扰动均局限于施工作业带极小范围，影响范围分散、影响时长可控，不涉及区域主干水系径流格局改变。</w:t>
            </w:r>
          </w:p>
          <w:p w14:paraId="629C2BD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采用分段施工、逐段复原的施工模式，单段施工完成后立即开展覆土压实、地貌复原、沟渠疏通、坡面整理工作，及时恢复原有地表径流通道与汇水条件。施工结束后所有临时扰动区域全部恢复原貌，地表径流体系、坡面汇水格局、小型沟渠输水功能完全恢复，无长期径流阻断、积水、排水不畅等遗留问题。</w:t>
            </w:r>
          </w:p>
          <w:p w14:paraId="407A84B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综上，工程施工对区域水文特征、地表径流的扰动均为短期、局部、可完全恢复的暂时性影响，不会改变区域水文格局与水系连通性，对河道行洪、区域汇排水体系无不利影响。 </w:t>
            </w:r>
          </w:p>
          <w:p w14:paraId="33A0C64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3）废水排放的影响分析</w:t>
            </w:r>
          </w:p>
          <w:p w14:paraId="72B8DFE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施工废水</w:t>
            </w:r>
          </w:p>
          <w:p w14:paraId="2C54A64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施工机械跑、冒、滴、漏的污油及冲洗后产生的油污染废水主要含石油类，如不经处理直接排放，会对项目所在地地表水造成油污染。施工机械冲洗废水、管道闭水试验废水SS 含量较高，不处理直接排放会引起地表水浑浊，应在施工现场设置</w:t>
            </w:r>
            <w:r>
              <w:rPr>
                <w:rFonts w:hint="default" w:ascii="Times New Roman" w:hAnsi="Times New Roman" w:cs="Times New Roman"/>
                <w:color w:val="auto"/>
                <w:sz w:val="24"/>
                <w:szCs w:val="24"/>
                <w:highlight w:val="none"/>
                <w:lang w:val="en-US" w:eastAsia="zh-CN"/>
              </w:rPr>
              <w:t>隔油</w:t>
            </w:r>
            <w:r>
              <w:rPr>
                <w:rFonts w:hint="default" w:ascii="Times New Roman" w:hAnsi="Times New Roman" w:eastAsia="宋体" w:cs="Times New Roman"/>
                <w:color w:val="auto"/>
                <w:sz w:val="24"/>
                <w:szCs w:val="24"/>
                <w:highlight w:val="none"/>
                <w:lang w:val="en-US" w:eastAsia="zh-CN"/>
              </w:rPr>
              <w:t>沉淀池，施工机械废水经沉淀池处理后，全部回用于洒水降尘。由于项目部位于</w:t>
            </w:r>
            <w:r>
              <w:rPr>
                <w:rFonts w:hint="default" w:ascii="Times New Roman" w:hAnsi="Times New Roman" w:cs="Times New Roman"/>
                <w:color w:val="auto"/>
                <w:sz w:val="24"/>
                <w:szCs w:val="24"/>
                <w:highlight w:val="none"/>
                <w:lang w:val="en-US" w:eastAsia="zh-CN"/>
              </w:rPr>
              <w:t>安宁市城区周边及附近村镇</w:t>
            </w:r>
            <w:r>
              <w:rPr>
                <w:rFonts w:hint="default" w:ascii="Times New Roman" w:hAnsi="Times New Roman" w:eastAsia="宋体" w:cs="Times New Roman"/>
                <w:color w:val="auto"/>
                <w:sz w:val="24"/>
                <w:szCs w:val="24"/>
                <w:highlight w:val="none"/>
                <w:lang w:val="en-US" w:eastAsia="zh-CN"/>
              </w:rPr>
              <w:t>，为租住房屋，施工期生活污水主要依托项目各施工段周边城区、镇区及乡村排污管网进行收集并处理，施工人员现场的主要生产生活污水主要为现场洗手污水，该部分污水可通过简单的沉淀过滤即可回用于施工场地的降尘，不造成外排。</w:t>
            </w:r>
          </w:p>
          <w:p w14:paraId="538F557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混凝土浇筑后养护阶段用水量一般以湿润混凝土表面为限，且在尚未拆除的模板内，养护结束后自然蒸发，不会进入水域，不会对水体造成不利影响。</w:t>
            </w:r>
          </w:p>
          <w:p w14:paraId="4284706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2）试压废水 </w:t>
            </w:r>
          </w:p>
          <w:p w14:paraId="3F5870E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项目管道采用清水试压，试压废水</w:t>
            </w:r>
            <w:r>
              <w:rPr>
                <w:rFonts w:hint="default" w:ascii="Times New Roman" w:hAnsi="Times New Roman" w:cs="Times New Roman"/>
                <w:color w:val="auto"/>
                <w:sz w:val="24"/>
                <w:szCs w:val="24"/>
                <w:highlight w:val="none"/>
                <w:lang w:val="en-US" w:eastAsia="zh-CN"/>
              </w:rPr>
              <w:t>经沉淀池沉淀处理后</w:t>
            </w:r>
            <w:r>
              <w:rPr>
                <w:rFonts w:hint="default" w:ascii="Times New Roman" w:hAnsi="Times New Roman" w:eastAsia="宋体" w:cs="Times New Roman"/>
                <w:color w:val="auto"/>
                <w:sz w:val="24"/>
                <w:szCs w:val="24"/>
                <w:highlight w:val="none"/>
                <w:lang w:val="en-US" w:eastAsia="zh-CN"/>
              </w:rPr>
              <w:t>就近排入附近</w:t>
            </w:r>
            <w:r>
              <w:rPr>
                <w:rFonts w:hint="default" w:ascii="Times New Roman" w:hAnsi="Times New Roman" w:cs="Times New Roman"/>
                <w:color w:val="auto"/>
                <w:sz w:val="24"/>
                <w:szCs w:val="24"/>
                <w:highlight w:val="none"/>
                <w:lang w:val="en-US" w:eastAsia="zh-CN"/>
              </w:rPr>
              <w:t>沟渠、</w:t>
            </w:r>
            <w:r>
              <w:rPr>
                <w:rFonts w:hint="default" w:ascii="Times New Roman" w:hAnsi="Times New Roman" w:eastAsia="宋体" w:cs="Times New Roman"/>
                <w:color w:val="auto"/>
                <w:sz w:val="24"/>
                <w:szCs w:val="24"/>
                <w:highlight w:val="none"/>
                <w:lang w:val="en-US" w:eastAsia="zh-CN"/>
              </w:rPr>
              <w:t xml:space="preserve">耕地，施工单位须做好废水的排放的管理与疏导工作。 </w:t>
            </w:r>
          </w:p>
          <w:p w14:paraId="40F31F3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）雨季径流冲刷施工面对水环境</w:t>
            </w:r>
          </w:p>
          <w:p w14:paraId="23F2F1D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雨天径流主要为雨天降水</w:t>
            </w:r>
            <w:r>
              <w:rPr>
                <w:rFonts w:hint="default" w:ascii="Times New Roman" w:hAnsi="Times New Roman" w:cs="Times New Roman"/>
                <w:color w:val="auto"/>
                <w:sz w:val="24"/>
                <w:szCs w:val="24"/>
                <w:highlight w:val="none"/>
                <w:lang w:val="en-US" w:eastAsia="zh-CN"/>
              </w:rPr>
              <w:t>冲刷</w:t>
            </w:r>
            <w:r>
              <w:rPr>
                <w:rFonts w:hint="default" w:ascii="Times New Roman" w:hAnsi="Times New Roman" w:eastAsia="宋体" w:cs="Times New Roman"/>
                <w:color w:val="auto"/>
                <w:sz w:val="24"/>
                <w:szCs w:val="24"/>
                <w:highlight w:val="none"/>
                <w:lang w:val="en-US" w:eastAsia="zh-CN"/>
              </w:rPr>
              <w:t>施工场地产生，所含污染物主要为SS 和微量石油类，其中SS 浓度为200～500mg/L 左右。为避免雨天径流对周围水体产生不利影响，项目应严格执行《昆明市人民政府办公厅关于印发昆明市建设工地文明施工管理规定的通知》</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昆政办﹝2011﹞89 号）的相关规定。采取以下措施：①施工场地周边应设置临时排水沟，并在排水沟末端设置沉淀池对雨天地表径流进行沉淀处理，防止泥浆</w:t>
            </w:r>
            <w:r>
              <w:rPr>
                <w:rFonts w:hint="default" w:ascii="Times New Roman" w:hAnsi="Times New Roman" w:cs="Times New Roman"/>
                <w:color w:val="auto"/>
                <w:sz w:val="24"/>
                <w:szCs w:val="24"/>
                <w:highlight w:val="none"/>
                <w:lang w:val="en-US" w:eastAsia="zh-CN"/>
              </w:rPr>
              <w:t>污水</w:t>
            </w:r>
            <w:r>
              <w:rPr>
                <w:rFonts w:hint="default" w:ascii="Times New Roman" w:hAnsi="Times New Roman" w:eastAsia="宋体" w:cs="Times New Roman"/>
                <w:color w:val="auto"/>
                <w:sz w:val="24"/>
                <w:szCs w:val="24"/>
                <w:highlight w:val="none"/>
                <w:lang w:val="en-US" w:eastAsia="zh-CN"/>
              </w:rPr>
              <w:t>、污水、废水外流或堵塞下水道和河道。②合理安排工期，避免在雨天进行土方作业；③雨天对粉状物料堆放场所进行必要的遮蔽，减少雨水冲刷；④施工单位在施工中造成下水道或其他地下管线堵塞或损坏的，应当立即疏通或修复；⑤项目应加强管理，做好机械的日常维护保养，杜绝跑、冒、滴、漏现象；另外，雨天应对各类机械进行遮盖防雨。采取以上措施后，雨天径流中的SS 浓度可得到较大程度的降低，雨天径流经沉淀池沉淀处理后，能回用的尽量回用于施工生产或洒水降尘，不能回用的经获得相关许可后，由项目区排水设施排至地表水体。</w:t>
            </w:r>
          </w:p>
          <w:p w14:paraId="2B911F3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在采取以上措施之后，雨天地表径流冲刷施工场地后对水环境影响较小。</w:t>
            </w:r>
          </w:p>
          <w:p w14:paraId="17036229">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rPr>
              <w:t xml:space="preserve">、地下水环境影响分析 </w:t>
            </w:r>
          </w:p>
          <w:p w14:paraId="4103A81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CN"/>
              </w:rPr>
              <w:t>）施工期地下水污染源及污染途径识别</w:t>
            </w:r>
          </w:p>
          <w:p w14:paraId="2625BF6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本项目施工期地下水潜在污染源主要为施工生活污水及管道试压废水，无生产性工艺废水产生。</w:t>
            </w:r>
          </w:p>
          <w:p w14:paraId="44FC428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1）管道试压废水：本工程管道试压全部采用清洁自来水，水质本底较好，试压结束排水主要污染物为悬浮泥沙</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SS），无重金属、有毒有害有机物及持久性污染物。试压废水经临时沉淀池静置沉淀、澄清后，上清液就近排入沿线农田沟渠及地表径流系统，废水处理后水质洁净，不会下渗污染地下水。</w:t>
            </w:r>
          </w:p>
          <w:p w14:paraId="6DCB7A1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2）施工生活污水：主要污染物为COD、BOD、氨氮、动植物油等。本项目为线性带状工程，施工站点分散、流动性强、单段施工人员少，生活污水排放量小、污染负荷低。施工期依托周边村镇现有生活污水处置体系及临时防渗收集设施，严禁生活污水无序漫流、随意下渗，可有效阻断生活污水入渗地下水的污染路径。</w:t>
            </w:r>
          </w:p>
          <w:p w14:paraId="65AB71E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整体来看，施工期污染源分散、排放时段短、污染物类型简单，通过规范化收集处置，基本不存在地下水污染扩散风险。</w:t>
            </w:r>
          </w:p>
          <w:p w14:paraId="77091B3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eastAsia="zh-CN"/>
              </w:rPr>
              <w:t>）一般地段管线施工对地下水环境影响评价</w:t>
            </w:r>
          </w:p>
          <w:p w14:paraId="553E3BB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根据项目勘察水文地质资料及沿线踏勘结果，评价区整体地下水埋深普遍大于10m，区域浅层地下水赋存条件稳定。本项目常规管线段埋深为3.1m～4.7m，全线管沟开挖深度均位于“地下水位以上包气带范围内”，开挖断面未触及潜水含水层，施工过程不会揭露、扰动地下水体，不会破坏地下水含水层结构。</w:t>
            </w:r>
          </w:p>
          <w:p w14:paraId="47E664F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经核查，项目全线开挖范围内无出露泉点、地下水露头、民用取水井及集中供水水源点位，不涉及地下水饮用水水源保护区及地下水环境敏感区。管沟开挖、土方堆存、机械作业等仅扰动表层素填土、粉质黏土等包气带土层，不会造成地下水水位波动、地下水流场改变，也不会引发地下水水质浑浊、污染物下渗等问题。</w:t>
            </w:r>
          </w:p>
          <w:p w14:paraId="1D164CF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同时，项目采用分段快速施工工艺，单段扰动周期短，施工结束后立即覆土压实、恢复地表结构，包气带土层防渗、防污能力快速恢复，对区域地下水赋存环境、水质状况基本无影响。</w:t>
            </w:r>
          </w:p>
          <w:p w14:paraId="12CAC7D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）鸣矣河、县街河河道穿越段地下水环境影响评价</w:t>
            </w:r>
          </w:p>
          <w:p w14:paraId="4A2649A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本工程穿越鸣矣河、县街河段采用明槽围堰导流开挖施工，河道穿越段管顶埋深约2.5m，全线最大开挖深度控制在4.7m以内。结合区域水文地质条件，河道沿线地下水位埋深远大于施工开挖深度，涉水施工依旧处于包气带范围内，未触及浅层潜水含水层。</w:t>
            </w:r>
          </w:p>
          <w:p w14:paraId="41F71F2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河道施工采用半幅围堰分段导流施工，施工扰动仅局限于河道表层河床及浅部土层，不会击穿隔水层、不会导通地下水径流通道，不会诱发地下水涌水、渗漏及水质污染问题。施工过程中扰动产生的泥沙、悬浮物仅影响局部地表水，无地下水污染途径。</w:t>
            </w:r>
          </w:p>
          <w:p w14:paraId="256EEAA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且河道穿越段施工严格控制在枯水期开展，施工周期短、作业范围集中，施工结束后立即开展河床整形、岸坡修复、土层压实稳固，快速恢复原有河床及地层结构，无长期地下水扰动隐患。因此，河道穿越施工对区域地下水位、地下水水质、地下水径流条件影响极小。</w:t>
            </w:r>
          </w:p>
          <w:p w14:paraId="2DC5582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eastAsia="zh-CN"/>
              </w:rPr>
              <w:t>）综合评价结论</w:t>
            </w:r>
          </w:p>
          <w:p w14:paraId="38069C0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本项目管线整体埋深较浅，全线施工开挖断面均位于地下水位以上，不扰动地下水含水层；施工期污染源简单、分散可控，通过落实废水收集、沉淀处置、规范施工管理等措施，可完全阻断地下水污染途径。工程建设不会改变区域地下水赋存条件、水流场及水质现状，无地下水污染、水位下降、含水层破坏等不利影响，对区域地下水环境整体影响轻微且可控</w:t>
            </w:r>
            <w:r>
              <w:rPr>
                <w:rFonts w:hint="default" w:ascii="Times New Roman" w:hAnsi="Times New Roman" w:eastAsia="宋体" w:cs="Times New Roman"/>
                <w:color w:val="auto"/>
                <w:sz w:val="24"/>
                <w:szCs w:val="24"/>
                <w:highlight w:val="none"/>
              </w:rPr>
              <w:t xml:space="preserve">。 </w:t>
            </w:r>
          </w:p>
          <w:p w14:paraId="334AEEC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7、对永久基本农田的影响分析</w:t>
            </w:r>
          </w:p>
          <w:p w14:paraId="2EE89048">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7.1永久基本农田的不可避让性分析</w:t>
            </w:r>
          </w:p>
          <w:p w14:paraId="02546DF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为安宁小型引调水工程，管线属线性工程，具有连续性和不可分割性的特点。经与永久基本农田分布图叠图分析，管线规划路由沿线永久基本农田呈片状大面积分布。管线作为线性工程，线路东西两侧均为永久基本农田，线路走向客观上无法完全避开永久基本农田。</w:t>
            </w:r>
          </w:p>
          <w:p w14:paraId="3F455E3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在选线过程中，设计单位对多个路由方案进行了综合比选。最终确定的线路路由尽量与现有道路靠近，不单独设置施工便道，管线尽量以直线敷设。局部拐点主要为避开沿线村庄、建构筑物等制约因素。同时，管线选线已避开城镇规划区、人口密集区、生活水源、水库等环境敏感区域。</w:t>
            </w:r>
          </w:p>
          <w:p w14:paraId="5A11872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考虑到管线施工和运营的安全性要求，以及引调水工程作为水利基础设施的供水功能需求，在满足工程技术标准的前提下，管线走向已尽可能优化，但仍无法完全避让沿线成片分布的永久基本农田。</w:t>
            </w:r>
          </w:p>
          <w:p w14:paraId="51EC339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所有涉永久基本农田占地均为施工临时作业用地，全线管道地埋敷设，无永久构筑物落地永久基本农田范围。从环保角度分析，项目新建管线线路走向合理，安宁市自然资源局已知晓本工程线路走向，且认可本工程管线全部地埋，占地均为临时占用，不影响耕种</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见附件）。</w:t>
            </w:r>
          </w:p>
          <w:p w14:paraId="5B0E7C7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综上，本项目管线作为线性工程，受沿线永久基本农田大面积连续分布的限制，部分管线临时占用永久基本农田具有不可绕避性。</w:t>
            </w:r>
          </w:p>
          <w:p w14:paraId="38ABDC54">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7.2对基本农田的影响分析</w:t>
            </w:r>
          </w:p>
          <w:p w14:paraId="6E74C1F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本项目管线沿途穿越基本农田均为临时占用，对基本农田的影响主要集中在施工期，具体分析如下：</w:t>
            </w:r>
          </w:p>
          <w:p w14:paraId="413AC27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1）对土壤耕作层的影响</w:t>
            </w:r>
          </w:p>
          <w:p w14:paraId="7F52C0D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管沟开挖会直接剥离、扰动表层熟化耕作层；管沟两侧临时堆土、机械碾压会压覆农田表层土壤，造成耕作层与底层生土混杂，破坏原有团粒结构、土层分层结构，改变土壤孔隙度、水肥传导空间。</w:t>
            </w:r>
          </w:p>
          <w:p w14:paraId="3BF0994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落实强制保护方案：施工前对全部占用永久基本农田区域开展耕作层单独剥离，剥离厚度≥30cm，熟土分区围挡堆存，布设防雨棚、排水沟防止水土流失、土体板结；生土与熟土分开堆放，严禁混堆。施工回填时优先回铺熟化耕作土，保障土壤原有土层结构复原。</w:t>
            </w:r>
          </w:p>
          <w:p w14:paraId="1EBBDC1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2）对农业生产的影响</w:t>
            </w:r>
          </w:p>
          <w:p w14:paraId="18CA738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管沟开挖铲除作业范围内农作物植株与根系；土方堆放、车辆碾压、人员踩踏会损伤周边毗邻农田作物根系。常规整段施工会造成占地范围内当季农作物绝收；若土层混掺生土未有效复原，可能造成后续 2~3 季农作物长势偏弱、小幅减产。 项目全程采用分段、小工作面错季施工：优先选择农作物收割后、播种前农闲窗口期开挖；单段作业带严格收窄，精准控制扰动宽度；分段完工即刻覆土复耕，绝大部分农田仅影响单季收成，有效降低多季减产风险。施工期间同步临时疏通田间灌溉沟渠，保障周边未占用农田正常灌溉。</w:t>
            </w:r>
          </w:p>
          <w:p w14:paraId="23A3ACB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3）对土壤肥力的影响</w:t>
            </w:r>
          </w:p>
          <w:p w14:paraId="104FF47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在管线穿越段，填挖方作业会使填挖区被生土覆盖或出露生土，影响土壤肥力，进而影响农作物生长。</w:t>
            </w:r>
          </w:p>
          <w:p w14:paraId="4B91422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4）影响的可恢复性</w:t>
            </w:r>
          </w:p>
          <w:p w14:paraId="4C03CCE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z w:val="24"/>
                <w:szCs w:val="24"/>
              </w:rPr>
              <w:t>全部扰动均为短期、可逆影响。项目不修建任何永久性建构筑物，不改变永久基本农田地类属性。施工结束按照土地复垦方案分层回填、平整土地、复配耕作层，配套农田灌溉、排水设施修复，可完全恢复地块原有耕种功能，复垦后由自然资源、农业农村部门联合验收，达标后纳入永久基本农田常态化管控</w:t>
            </w:r>
            <w:r>
              <w:rPr>
                <w:rFonts w:hint="default" w:ascii="Times New Roman" w:hAnsi="Times New Roman" w:eastAsia="宋体" w:cs="Times New Roman"/>
                <w:color w:val="auto"/>
                <w:sz w:val="24"/>
                <w:szCs w:val="24"/>
                <w:highlight w:val="none"/>
                <w:lang w:val="en-US" w:eastAsia="zh-CN"/>
              </w:rPr>
              <w:t>。</w:t>
            </w:r>
          </w:p>
          <w:p w14:paraId="12C752A9">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7.3临时占用基本农田的符合性分析</w:t>
            </w:r>
          </w:p>
          <w:p w14:paraId="1A030FB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1）《中华人民共和国土地管理法》符合性</w:t>
            </w:r>
          </w:p>
          <w:p w14:paraId="4D99FD6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《土地管理法》规定永久基本农田严格管控，任何单位不得擅自永久占用、改变用途；国家能源、交通、水利等重大项目永久性占地无法避让的，需国务院审批。</w:t>
            </w:r>
          </w:p>
          <w:p w14:paraId="6197EAC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本项目仅为施工临时占用，不办理农用地转用、不实施土地征收，无永久占地行为，无需上报国务院审批；仅按临时用地法定流程报批，施工结束复垦返还耕种，符合用途管制与永久基本农田保护法律要求。</w:t>
            </w:r>
          </w:p>
          <w:p w14:paraId="51162B2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2）《基本农田保护条例》符合性</w:t>
            </w:r>
          </w:p>
          <w:p w14:paraId="53CF997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条例明确禁止随意破坏永久基本农田耕作条件，重点水利项目确无法避让的按占地类型履行审批。本工程仅短期施工扰动，通过表土保护、复垦治理修复耕作条件，不存在长期损毁耕地行为；施工全过程严禁在农田内修建永久设施，符合条例管控要求。</w:t>
            </w:r>
          </w:p>
          <w:p w14:paraId="57657C6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3）《自然资源部 农业农村部关于加强和改进永久基本农田保护工作的通知》</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自然资规〔2019〕1号）符合性</w:t>
            </w:r>
          </w:p>
          <w:p w14:paraId="501E442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文件要求：临时用地原则不占永久基本农田；选址确实无法避让的，满足无永久建构筑物、可恢复原种植条件、编制复垦方案、落实耕作层剥离四大条件，可按程序报批。</w:t>
            </w:r>
          </w:p>
          <w:p w14:paraId="3635D85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本项目完全满足上述硬性条件：无永久建筑、可完整复耕、编制专项土地复垦方案、全段落实耕作层剥离再利用；后续将按要求完成县级自然资源主管部门审批、市级主管部门备案，合规性满足。</w:t>
            </w:r>
          </w:p>
          <w:p w14:paraId="09E95F2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4）《自然资源部关于规范临时用地管理的通知》</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自然资规〔2021〕2 号）及《土地管理法实施条例》</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国务院 743 号令，2021）符合性</w:t>
            </w:r>
          </w:p>
          <w:p w14:paraId="392CD71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明确禁限规则：拌合站、制梁场等无法复耕的场地严禁临时占用永久基本农田；本项目占用永久基本农田的仅为管沟、作业带、临时堆土场，不存在拌合站、制梁场、弃渣场占用永久基本农田，不在禁止范畴内。</w:t>
            </w:r>
          </w:p>
          <w:p w14:paraId="5B8F955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期限合规：临时用地使用期限一般不超过两年；建设周期较长的能源、交通、水利等基础设施建设项目施工使用的临时用地，期限不超过四年。本项目为水利线性工程，建设周期较长，将结合总工期依法申请不超过四年的使用期限。</w:t>
            </w:r>
          </w:p>
          <w:p w14:paraId="2D508EE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复垦时限法定要求：根据《中华人民共和国土地管理法实施条例》</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国务院令第743号，2021年修订），土地使用者应当自临时用地期满之日起一年内完成土地复垦，使其达到可供利用状态，其中占用耕地的应当恢复种植条件。建设单位承诺按期完成复垦并通过农业农村、自然资源部门联合验收，验收合格后恢复永久基本农田管护-；逾期承担整改、赔偿责任。</w:t>
            </w:r>
          </w:p>
          <w:p w14:paraId="5C936B1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审批规则：临时用地由县</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市）自然资源主管部门负责审批，其中涉及占用耕地和永久基本农田的，由市级或者市级以上自然资源主管部门负责审批，不得下放审批权。</w:t>
            </w:r>
          </w:p>
          <w:p w14:paraId="4FD9B02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5）云南地方管控与安宁市管理要求符合性</w:t>
            </w:r>
          </w:p>
          <w:p w14:paraId="58967C3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符合云南省永久基本农田保护、线性水利工程临时用地管控导向；依托安宁市自然资源局前期线路核查意见，用地路径、占地范围已取得地方主管部门初步认可，后续完善全套临时用地审批、复垦方案评审手续即可落地。</w:t>
            </w:r>
          </w:p>
          <w:p w14:paraId="659B382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6）综合合规结论</w:t>
            </w:r>
          </w:p>
          <w:p w14:paraId="7834AA8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本项目管线临时占用永久基本农田，全部符合《土地管理法》《土地管理法实施条例》《基本农田保护条例》、自然资规〔2019〕1 号、自然资规〔2021〕2 号现行全链条政策。占用类型不属于明令禁止的拌合站、制梁场类；落实表土剥离、分段施工、到期复垦验收全流程管控。建设单位必须在开工前办结临时用地正式审批、复垦方案评审、复垦保证金缴纳等全部法定手续；施工严格按照审批范围、工期、复垦方案执行。</w:t>
            </w:r>
          </w:p>
          <w:p w14:paraId="4BD919DB">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7.4永久基本农田保护专项管控措施</w:t>
            </w:r>
          </w:p>
          <w:p w14:paraId="6DE657D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针对本工程临时占用永久基本农田情况，提出如下措施：</w:t>
            </w:r>
          </w:p>
          <w:p w14:paraId="1FCA29CF">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567" w:firstLineChars="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严格划定作业红线，GPS 定位管控永久基本农田边界，严禁超范围碾压、开挖；</w:t>
            </w:r>
          </w:p>
          <w:p w14:paraId="0128FD17">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567" w:firstLineChars="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永久基本农田范围内禁止堆放生活垃圾、建筑垃圾、油料化学品，防范土壤污染；</w:t>
            </w:r>
          </w:p>
          <w:p w14:paraId="55A2C136">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567" w:firstLineChars="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堆土边坡设置排水沟、防尘网，避免雨水冲刷泥沙流入周边农田；</w:t>
            </w:r>
          </w:p>
          <w:p w14:paraId="18DAE4FC">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567" w:firstLineChars="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落实耕地青苗补偿，按安宁市征地青苗标准足额赔付农户，保障农民权益；</w:t>
            </w:r>
          </w:p>
          <w:p w14:paraId="132A444F">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567" w:firstLineChars="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复垦完成后由农业农村局检测土壤地力，地力不低于占地前水平方可验收。</w:t>
            </w:r>
          </w:p>
          <w:p w14:paraId="08CAD73E">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8、</w:t>
            </w:r>
            <w:r>
              <w:rPr>
                <w:rFonts w:hint="default" w:ascii="Times New Roman" w:hAnsi="Times New Roman" w:eastAsia="宋体" w:cs="Times New Roman"/>
                <w:b/>
                <w:bCs/>
                <w:color w:val="auto"/>
                <w:sz w:val="24"/>
                <w:szCs w:val="24"/>
                <w:highlight w:val="none"/>
              </w:rPr>
              <w:t>对现有交通的影响</w:t>
            </w:r>
          </w:p>
          <w:p w14:paraId="63DE219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color w:val="auto"/>
                <w:sz w:val="24"/>
                <w:szCs w:val="24"/>
                <w:highlight w:val="none"/>
                <w:lang w:eastAsia="zh-CN"/>
              </w:rPr>
              <w:t>拟建项目</w:t>
            </w:r>
            <w:r>
              <w:rPr>
                <w:rFonts w:hint="default" w:ascii="Times New Roman" w:hAnsi="Times New Roman" w:eastAsia="宋体" w:cs="Times New Roman"/>
                <w:color w:val="auto"/>
                <w:sz w:val="24"/>
                <w:szCs w:val="24"/>
                <w:highlight w:val="none"/>
              </w:rPr>
              <w:t>在施工过程中将对现有交通产生负面影响，主要表现在对现有道路的利用造成交通环境变差，并给当地居民的出行带来不便。但是本项目为</w:t>
            </w:r>
            <w:r>
              <w:rPr>
                <w:rFonts w:hint="default" w:ascii="Times New Roman" w:hAnsi="Times New Roman" w:eastAsia="宋体" w:cs="Times New Roman"/>
                <w:color w:val="auto"/>
                <w:sz w:val="24"/>
                <w:szCs w:val="24"/>
                <w:highlight w:val="none"/>
                <w:lang w:val="en-US" w:eastAsia="zh-CN"/>
              </w:rPr>
              <w:t>民生</w:t>
            </w:r>
            <w:r>
              <w:rPr>
                <w:rFonts w:hint="default" w:ascii="Times New Roman" w:hAnsi="Times New Roman" w:eastAsia="宋体" w:cs="Times New Roman"/>
                <w:color w:val="auto"/>
                <w:sz w:val="24"/>
                <w:szCs w:val="24"/>
                <w:highlight w:val="none"/>
              </w:rPr>
              <w:t>工程，项目施工时间较短，分段分区隔离施工，建议预留部分现状道路用于</w:t>
            </w:r>
            <w:r>
              <w:rPr>
                <w:rFonts w:hint="default" w:ascii="Times New Roman" w:hAnsi="Times New Roman" w:cs="Times New Roman"/>
                <w:color w:val="auto"/>
                <w:sz w:val="24"/>
                <w:szCs w:val="24"/>
                <w:highlight w:val="none"/>
                <w:lang w:eastAsia="zh-CN"/>
              </w:rPr>
              <w:t>过渡阶段</w:t>
            </w:r>
            <w:r>
              <w:rPr>
                <w:rFonts w:hint="default" w:ascii="Times New Roman" w:hAnsi="Times New Roman" w:eastAsia="宋体" w:cs="Times New Roman"/>
                <w:color w:val="auto"/>
                <w:sz w:val="24"/>
                <w:szCs w:val="24"/>
                <w:highlight w:val="none"/>
              </w:rPr>
              <w:t>使用，设置临时过渡出入口，便于保留敏感点处的相关人员通行，施工带来的交通拥堵现象能为附近居民所接受，</w:t>
            </w:r>
            <w:r>
              <w:rPr>
                <w:rFonts w:hint="default" w:ascii="Times New Roman" w:hAnsi="Times New Roman" w:eastAsia="宋体" w:cs="Times New Roman"/>
                <w:color w:val="auto"/>
                <w:sz w:val="24"/>
                <w:szCs w:val="24"/>
                <w:highlight w:val="none"/>
                <w:lang w:eastAsia="zh-CN"/>
              </w:rPr>
              <w:t>拟建项目</w:t>
            </w:r>
            <w:r>
              <w:rPr>
                <w:rFonts w:hint="default" w:ascii="Times New Roman" w:hAnsi="Times New Roman" w:eastAsia="宋体" w:cs="Times New Roman"/>
                <w:color w:val="auto"/>
                <w:sz w:val="24"/>
                <w:szCs w:val="24"/>
                <w:highlight w:val="none"/>
              </w:rPr>
              <w:t>的建设及占用现有道路作为施工道路不会对周围群众的出行造成大的影响。且施工期的影响是短暂的，本项目建成后将有效缓解周围交通拥挤的现状，带动区域地块开发等，从长远来看，项目对现有交通的影响的利大于弊</w:t>
            </w:r>
            <w:r>
              <w:rPr>
                <w:rFonts w:hint="default" w:ascii="Times New Roman" w:hAnsi="Times New Roman" w:cs="Times New Roman"/>
                <w:color w:val="auto"/>
                <w:sz w:val="24"/>
                <w:szCs w:val="24"/>
                <w:highlight w:val="none"/>
                <w:lang w:eastAsia="zh-CN"/>
              </w:rPr>
              <w:t>。</w:t>
            </w:r>
          </w:p>
        </w:tc>
      </w:tr>
      <w:tr w14:paraId="1452FE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3" w:type="pct"/>
            <w:noWrap w:val="0"/>
            <w:tcMar>
              <w:left w:w="28" w:type="dxa"/>
              <w:right w:w="28" w:type="dxa"/>
            </w:tcMar>
            <w:vAlign w:val="center"/>
          </w:tcPr>
          <w:p w14:paraId="553F0FE7">
            <w:pPr>
              <w:pStyle w:val="21"/>
              <w:adjustRightInd w:val="0"/>
              <w:snapToGrid w:val="0"/>
              <w:spacing w:before="0" w:beforeAutospacing="0" w:after="0" w:afterAutospacing="0"/>
              <w:jc w:val="center"/>
              <w:rPr>
                <w:rFonts w:hint="default" w:ascii="Times New Roman" w:hAnsi="Times New Roman" w:cs="Times New Roman"/>
                <w:b/>
                <w:bCs w:val="0"/>
                <w:color w:val="auto"/>
                <w:kern w:val="2"/>
                <w:sz w:val="24"/>
                <w:szCs w:val="24"/>
              </w:rPr>
            </w:pPr>
            <w:r>
              <w:rPr>
                <w:rFonts w:hint="default" w:ascii="Times New Roman" w:hAnsi="Times New Roman" w:cs="Times New Roman"/>
                <w:b/>
                <w:bCs w:val="0"/>
                <w:color w:val="auto"/>
                <w:spacing w:val="10"/>
                <w:kern w:val="2"/>
                <w:sz w:val="24"/>
                <w:szCs w:val="24"/>
              </w:rPr>
              <w:t>运营期生态环境影响分析</w:t>
            </w:r>
          </w:p>
        </w:tc>
        <w:tc>
          <w:tcPr>
            <w:tcW w:w="4606" w:type="pct"/>
            <w:noWrap w:val="0"/>
            <w:vAlign w:val="top"/>
          </w:tcPr>
          <w:p w14:paraId="60C0E226">
            <w:pPr>
              <w:keepNext w:val="0"/>
              <w:keepLines w:val="0"/>
              <w:pageBreakBefore w:val="0"/>
              <w:widowControl w:val="0"/>
              <w:kinsoku/>
              <w:wordWrap/>
              <w:overflowPunct/>
              <w:topLinePunct w:val="0"/>
              <w:autoSpaceDE/>
              <w:autoSpaceDN/>
              <w:bidi w:val="0"/>
              <w:spacing w:line="360" w:lineRule="auto"/>
              <w:ind w:firstLine="0" w:firstLineChars="0"/>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1</w:t>
            </w:r>
            <w:r>
              <w:rPr>
                <w:rFonts w:hint="default" w:ascii="Times New Roman" w:hAnsi="Times New Roman" w:eastAsia="宋体" w:cs="Times New Roman"/>
                <w:b/>
                <w:bCs/>
                <w:color w:val="auto"/>
                <w:sz w:val="24"/>
                <w:szCs w:val="24"/>
                <w:highlight w:val="none"/>
              </w:rPr>
              <w:t>、生态环境影响分析</w:t>
            </w:r>
          </w:p>
          <w:p w14:paraId="1B63B159">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1.1对植物及植物多样性的影响分析</w:t>
            </w:r>
          </w:p>
          <w:p w14:paraId="5F2EE2E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管线工程以地下地埋敷设为主，施工期产生的地表扰动、植被清除、土体碾压等影响均为短期、一次性扰动。进入运营期后，全线临时占地均已完成覆土平整、土地复垦、植被恢复及地貌复原，施工期临时扰动影响完全消除，区域地表植被群落逐步恢复至原有水平。</w:t>
            </w:r>
          </w:p>
          <w:p w14:paraId="3874723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从占地属性来看，项目仅少量泵站、阀井等点状构筑物存在永久占地，占地面积小、空间分布零散，占评价区总面积比例极低。永久占地范围内受影响植被以区域广布的人工植被、次生灌草及普通林地植被为主，无珍稀濒危植物、狭域特有植物及古树名木分布，植被类型在安宁市及周边区域广泛分布、资源储备充足，工程建设不会造成区域植被类型消失、植物物种灭失及植物群落结构退化。</w:t>
            </w:r>
          </w:p>
          <w:p w14:paraId="11E5B3C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运营期管线完全封闭埋设于地下，无地表开挖、无植被清除、无土体扰动，不会持续破坏地表植被生长环境。随着运营时间推移，临时恢复区域植被覆盖度、生物量、群落稳定性逐步提升，土壤熟化程度持续恢复，区域植物多样性可稳步恢复至建设前本底水平。同时，项目运营期无废气、废水、固废等污染物排放，不会对周边植被产生化学胁迫与累积伤害，不存在植被退化、物种衰减、生态功能持续下降的风险。</w:t>
            </w:r>
          </w:p>
          <w:p w14:paraId="7479C31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总体来看，本工程运营期对区域植被群落结构、植被覆盖度、植物物种多样性及生态系统稳定性基本无不利影响，生态影响整体轻微、稳定、可控。</w:t>
            </w:r>
          </w:p>
          <w:p w14:paraId="424708A3">
            <w:pPr>
              <w:pStyle w:val="4"/>
              <w:numPr>
                <w:ilvl w:val="2"/>
                <w:numId w:val="0"/>
              </w:numPr>
              <w:bidi w:val="0"/>
              <w:ind w:leftChars="0"/>
              <w:rPr>
                <w:rFonts w:hint="default" w:ascii="Times New Roman" w:hAnsi="Times New Roman" w:eastAsia="宋体" w:cs="Times New Roman"/>
                <w:color w:val="auto"/>
                <w:sz w:val="24"/>
                <w:szCs w:val="24"/>
              </w:rPr>
            </w:pPr>
            <w:bookmarkStart w:id="14" w:name="_Toc31088"/>
            <w:r>
              <w:rPr>
                <w:rFonts w:hint="default" w:ascii="Times New Roman" w:hAnsi="Times New Roman" w:eastAsia="宋体" w:cs="Times New Roman"/>
                <w:color w:val="auto"/>
                <w:sz w:val="24"/>
                <w:szCs w:val="24"/>
                <w:lang w:val="en-US" w:eastAsia="zh-CN"/>
              </w:rPr>
              <w:t>1.2</w:t>
            </w:r>
            <w:bookmarkEnd w:id="14"/>
            <w:r>
              <w:rPr>
                <w:rFonts w:hint="default" w:ascii="Times New Roman" w:hAnsi="Times New Roman" w:cs="Times New Roman"/>
                <w:color w:val="auto"/>
                <w:sz w:val="24"/>
                <w:szCs w:val="24"/>
              </w:rPr>
              <w:t>动物多样性影响分析</w:t>
            </w:r>
          </w:p>
          <w:p w14:paraId="707F34EA">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运营期无大规模施工作业，无机械噪声、施工震动、扬尘扰动及大面积地表破坏，对野生动物的核心干扰源彻底消除。运营期仅存在少量常态化、低强度的管线巡检、设备维护作业，且所有运维工作均严格限定在昼间开展，坚决规避夜间野生动物活动、觅食、栖息及繁育时段，不会干扰区域野生动物夜间正常活动规律。</w:t>
            </w:r>
          </w:p>
          <w:p w14:paraId="36F4B8B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从生境连续性来看，本项目管线为地下敷设形式，地表无连续阻断构筑物，不切割野生动物迁徙通道、觅食廊道与栖息生境，不会造成生境破碎化、种群隔离及活动范围受限问题。项目沿线以农业生态系统、次生林地生态系统为主，野生动物均为适应性强、活动范围广的广布型乡土物种，对周边人为环境适应性较强。经过施工期短期适应后，区域野生动物可完全适应本项目运维环境，正常利用沿线生境完成栖息、觅食与繁衍活动。</w:t>
            </w:r>
          </w:p>
          <w:p w14:paraId="658F4A0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此外，项目运营期无污染物排放，不会改变区域水体、土壤、植被环境，不会对两栖类、爬行类、鸟类及小型兽类的生存环境产生持续性负面影响。评价区内无重点保护野生动物集中栖息地、繁殖地、越冬地及关键生态敏感点位，运营期常态化运维活动不会造成野生动物种群数量衰减、群落结构改变，不会引发生物多样性损失。</w:t>
            </w:r>
          </w:p>
          <w:p w14:paraId="7DE4E99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综上，项目运营期生态扰动极低，无持续性、累积性、不可逆生态影响，区域动植物群落结构、生态系统功能可长期保持稳定，对区域生物多样性整体影响可忽略。</w:t>
            </w:r>
          </w:p>
          <w:p w14:paraId="2C2AFA44">
            <w:pPr>
              <w:keepNext w:val="0"/>
              <w:keepLines w:val="0"/>
              <w:pageBreakBefore w:val="0"/>
              <w:widowControl w:val="0"/>
              <w:kinsoku/>
              <w:wordWrap/>
              <w:overflowPunct/>
              <w:topLinePunct w:val="0"/>
              <w:autoSpaceDE/>
              <w:autoSpaceDN/>
              <w:bidi w:val="0"/>
              <w:spacing w:line="360" w:lineRule="auto"/>
              <w:ind w:firstLine="0" w:firstLineChars="0"/>
              <w:jc w:val="both"/>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rPr>
              <w:t>、</w:t>
            </w:r>
            <w:r>
              <w:rPr>
                <w:rFonts w:hint="default" w:ascii="Times New Roman" w:hAnsi="Times New Roman" w:cs="Times New Roman"/>
                <w:b/>
                <w:bCs/>
                <w:color w:val="auto"/>
                <w:sz w:val="24"/>
                <w:szCs w:val="24"/>
                <w:highlight w:val="none"/>
                <w:lang w:val="en-US" w:eastAsia="zh-CN"/>
              </w:rPr>
              <w:t>污染影响分析</w:t>
            </w:r>
          </w:p>
          <w:p w14:paraId="7AD5C88D">
            <w:pPr>
              <w:pStyle w:val="58"/>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项目为引水工程，工程建设完成后不再设置单独的管理机构，由水务局下辖公司统一管理，可由公司内部运行班组负责日常运行，不再单独设置管理人员。</w:t>
            </w:r>
          </w:p>
          <w:p w14:paraId="0D98059C">
            <w:pPr>
              <w:pStyle w:val="58"/>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项目运营期无废水和废气产生，主要污染物为泵站设备</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水泵、电机等）维护、检修产生的少量废机油和泵站设备运行噪声。</w:t>
            </w:r>
          </w:p>
          <w:p w14:paraId="113BD397">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2.1</w:t>
            </w:r>
            <w:r>
              <w:rPr>
                <w:rFonts w:hint="default" w:ascii="Times New Roman" w:hAnsi="Times New Roman" w:eastAsia="宋体" w:cs="Times New Roman"/>
                <w:b/>
                <w:bCs/>
                <w:color w:val="auto"/>
                <w:sz w:val="24"/>
                <w:szCs w:val="24"/>
                <w:highlight w:val="none"/>
                <w:lang w:val="en-US" w:eastAsia="zh-CN"/>
              </w:rPr>
              <w:t>声环境影响分析</w:t>
            </w:r>
          </w:p>
          <w:p w14:paraId="06D56A37">
            <w:pPr>
              <w:pStyle w:val="58"/>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default" w:ascii="Times New Roman" w:hAnsi="Times New Roman" w:cs="Times New Roman"/>
                <w:color w:val="auto"/>
                <w:kern w:val="0"/>
                <w:sz w:val="24"/>
                <w:highlight w:val="none"/>
              </w:rPr>
            </w:pPr>
            <w:r>
              <w:rPr>
                <w:rFonts w:hint="eastAsia"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1</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噪声源强</w:t>
            </w:r>
          </w:p>
          <w:p w14:paraId="10D998A9">
            <w:pPr>
              <w:pStyle w:val="58"/>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cs="Times New Roman"/>
                <w:color w:val="auto"/>
                <w:kern w:val="0"/>
                <w:sz w:val="24"/>
                <w:highlight w:val="none"/>
              </w:rPr>
              <w:t>设备噪声主要来源于</w:t>
            </w:r>
            <w:r>
              <w:rPr>
                <w:rFonts w:hint="default" w:ascii="Times New Roman" w:hAnsi="Times New Roman" w:cs="Times New Roman"/>
                <w:color w:val="auto"/>
                <w:kern w:val="0"/>
                <w:sz w:val="24"/>
                <w:highlight w:val="none"/>
                <w:lang w:val="en-US" w:eastAsia="zh-CN"/>
              </w:rPr>
              <w:t>水泵</w:t>
            </w:r>
            <w:r>
              <w:rPr>
                <w:rFonts w:hint="eastAsia" w:ascii="Times New Roman" w:hAnsi="Times New Roman" w:cs="Times New Roman"/>
                <w:color w:val="auto"/>
                <w:kern w:val="0"/>
                <w:sz w:val="24"/>
                <w:highlight w:val="none"/>
                <w:lang w:val="en-US" w:eastAsia="zh-CN"/>
              </w:rPr>
              <w:t>（</w:t>
            </w:r>
            <w:r>
              <w:rPr>
                <w:rFonts w:hint="default" w:ascii="Times New Roman" w:hAnsi="Times New Roman" w:cs="Times New Roman"/>
                <w:color w:val="auto"/>
                <w:kern w:val="0"/>
                <w:sz w:val="24"/>
                <w:highlight w:val="none"/>
                <w:lang w:val="en-US" w:eastAsia="zh-CN"/>
              </w:rPr>
              <w:t>2用1备）和电机</w:t>
            </w:r>
            <w:r>
              <w:rPr>
                <w:rFonts w:hint="default" w:ascii="Times New Roman" w:hAnsi="Times New Roman" w:cs="Times New Roman"/>
                <w:color w:val="auto"/>
                <w:kern w:val="0"/>
                <w:sz w:val="24"/>
                <w:highlight w:val="none"/>
              </w:rPr>
              <w:t>，噪声源强在</w:t>
            </w:r>
            <w:r>
              <w:rPr>
                <w:rFonts w:hint="default" w:ascii="Times New Roman" w:hAnsi="Times New Roman" w:cs="Times New Roman"/>
                <w:color w:val="auto"/>
                <w:kern w:val="0"/>
                <w:sz w:val="24"/>
                <w:highlight w:val="none"/>
                <w:lang w:val="en-US" w:eastAsia="zh-CN"/>
              </w:rPr>
              <w:t>80</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85</w:t>
            </w:r>
            <w:r>
              <w:rPr>
                <w:rFonts w:hint="default" w:ascii="Times New Roman" w:hAnsi="Times New Roman" w:cs="Times New Roman"/>
                <w:color w:val="auto"/>
                <w:kern w:val="0"/>
                <w:sz w:val="24"/>
                <w:highlight w:val="none"/>
              </w:rPr>
              <w:t>dB</w:t>
            </w:r>
            <w:r>
              <w:rPr>
                <w:rFonts w:hint="eastAsia"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A）之间</w:t>
            </w:r>
            <w:r>
              <w:rPr>
                <w:rFonts w:hint="default" w:ascii="Times New Roman" w:hAnsi="Times New Roman" w:cs="Times New Roman"/>
                <w:color w:val="auto"/>
                <w:kern w:val="0"/>
                <w:sz w:val="24"/>
                <w:highlight w:val="none"/>
                <w:lang w:eastAsia="zh-CN"/>
              </w:rPr>
              <w:t>，</w:t>
            </w:r>
          </w:p>
          <w:p w14:paraId="73D131BB">
            <w:pPr>
              <w:pStyle w:val="20"/>
              <w:spacing w:line="240" w:lineRule="auto"/>
              <w:rPr>
                <w:rFonts w:hint="default" w:ascii="Times New Roman" w:hAnsi="Times New Roman" w:cs="Times New Roman"/>
                <w:color w:val="auto"/>
                <w:sz w:val="24"/>
                <w:szCs w:val="24"/>
                <w:highlight w:val="none"/>
              </w:rPr>
            </w:pPr>
            <w:r>
              <w:rPr>
                <w:rFonts w:hint="default" w:ascii="Times New Roman" w:hAnsi="Times New Roman" w:eastAsia="宋体" w:cs="Times New Roman"/>
                <w:b/>
                <w:bCs w:val="0"/>
                <w:color w:val="auto"/>
                <w:sz w:val="24"/>
                <w:szCs w:val="24"/>
                <w:highlight w:val="none"/>
              </w:rPr>
              <w:t>表</w:t>
            </w:r>
            <w:r>
              <w:rPr>
                <w:rFonts w:hint="default" w:ascii="Times New Roman" w:hAnsi="Times New Roman" w:eastAsia="宋体" w:cs="Times New Roman"/>
                <w:b/>
                <w:bCs w:val="0"/>
                <w:color w:val="auto"/>
                <w:sz w:val="24"/>
                <w:szCs w:val="24"/>
                <w:highlight w:val="none"/>
                <w:lang w:val="en-US" w:eastAsia="zh-CN"/>
              </w:rPr>
              <w:t>4-3</w:t>
            </w:r>
            <w:r>
              <w:rPr>
                <w:rFonts w:hint="default" w:ascii="Times New Roman" w:hAnsi="Times New Roman" w:eastAsia="宋体" w:cs="Times New Roman"/>
                <w:b/>
                <w:bCs w:val="0"/>
                <w:color w:val="auto"/>
                <w:sz w:val="24"/>
                <w:szCs w:val="24"/>
                <w:highlight w:val="none"/>
              </w:rPr>
              <w:t xml:space="preserve">  </w:t>
            </w:r>
            <w:r>
              <w:rPr>
                <w:rFonts w:hint="eastAsia" w:ascii="Times New Roman" w:hAnsi="Times New Roman" w:eastAsia="宋体" w:cs="Times New Roman"/>
                <w:b/>
                <w:bCs w:val="0"/>
                <w:color w:val="auto"/>
                <w:sz w:val="24"/>
                <w:szCs w:val="24"/>
                <w:highlight w:val="none"/>
                <w:lang w:val="en-US" w:eastAsia="zh-CN"/>
              </w:rPr>
              <w:t xml:space="preserve">  </w:t>
            </w:r>
            <w:r>
              <w:rPr>
                <w:rFonts w:hint="default" w:ascii="Times New Roman" w:hAnsi="Times New Roman" w:eastAsia="宋体" w:cs="Times New Roman"/>
                <w:b/>
                <w:bCs w:val="0"/>
                <w:color w:val="auto"/>
                <w:sz w:val="24"/>
                <w:szCs w:val="24"/>
                <w:highlight w:val="none"/>
              </w:rPr>
              <w:t>营运期</w:t>
            </w:r>
            <w:r>
              <w:rPr>
                <w:rFonts w:hint="default" w:ascii="Times New Roman" w:hAnsi="Times New Roman" w:eastAsia="宋体" w:cs="Times New Roman"/>
                <w:b/>
                <w:color w:val="auto"/>
                <w:sz w:val="24"/>
                <w:szCs w:val="24"/>
                <w:highlight w:val="none"/>
                <w:lang w:val="en-US" w:eastAsia="zh-CN"/>
              </w:rPr>
              <w:t>泵房</w:t>
            </w:r>
            <w:r>
              <w:rPr>
                <w:rFonts w:hint="default" w:ascii="Times New Roman" w:hAnsi="Times New Roman" w:eastAsia="宋体" w:cs="Times New Roman"/>
                <w:b/>
                <w:bCs w:val="0"/>
                <w:color w:val="auto"/>
                <w:sz w:val="24"/>
                <w:szCs w:val="24"/>
                <w:highlight w:val="none"/>
              </w:rPr>
              <w:t>噪声源及源强一览表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36"/>
              <w:gridCol w:w="1052"/>
              <w:gridCol w:w="2248"/>
              <w:gridCol w:w="634"/>
              <w:gridCol w:w="3773"/>
            </w:tblGrid>
            <w:tr w14:paraId="6B99FB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81" w:type="pct"/>
                  <w:tcBorders>
                    <w:tl2br w:val="nil"/>
                    <w:tr2bl w:val="nil"/>
                  </w:tcBorders>
                  <w:noWrap w:val="0"/>
                  <w:vAlign w:val="center"/>
                </w:tcPr>
                <w:p w14:paraId="2974D8E3">
                  <w:pPr>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序号</w:t>
                  </w:r>
                </w:p>
              </w:tc>
              <w:tc>
                <w:tcPr>
                  <w:tcW w:w="630" w:type="pct"/>
                  <w:tcBorders>
                    <w:tl2br w:val="nil"/>
                    <w:tr2bl w:val="nil"/>
                  </w:tcBorders>
                  <w:noWrap w:val="0"/>
                  <w:vAlign w:val="center"/>
                </w:tcPr>
                <w:p w14:paraId="0927377C">
                  <w:pPr>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声 源</w:t>
                  </w:r>
                </w:p>
              </w:tc>
              <w:tc>
                <w:tcPr>
                  <w:tcW w:w="1347" w:type="pct"/>
                  <w:tcBorders>
                    <w:tl2br w:val="nil"/>
                    <w:tr2bl w:val="nil"/>
                  </w:tcBorders>
                  <w:noWrap w:val="0"/>
                  <w:vAlign w:val="center"/>
                </w:tcPr>
                <w:p w14:paraId="5BC7596E">
                  <w:pPr>
                    <w:jc w:val="center"/>
                    <w:rPr>
                      <w:rFonts w:hint="eastAsia" w:ascii="Times New Roman" w:hAnsi="Times New Roman" w:eastAsia="宋体" w:cs="Times New Roman"/>
                      <w:b w:val="0"/>
                      <w:bCs/>
                      <w:color w:val="auto"/>
                      <w:szCs w:val="21"/>
                      <w:highlight w:val="none"/>
                      <w:lang w:eastAsia="zh-CN"/>
                    </w:rPr>
                  </w:pPr>
                  <w:r>
                    <w:rPr>
                      <w:rFonts w:hint="default" w:ascii="Times New Roman" w:hAnsi="Times New Roman" w:cs="Times New Roman"/>
                      <w:b w:val="0"/>
                      <w:bCs/>
                      <w:color w:val="auto"/>
                      <w:szCs w:val="21"/>
                      <w:highlight w:val="none"/>
                    </w:rPr>
                    <w:t>1m处噪声源强 dB</w:t>
                  </w:r>
                  <w:r>
                    <w:rPr>
                      <w:rFonts w:hint="eastAsia" w:ascii="Times New Roman" w:hAnsi="Times New Roman" w:cs="Times New Roman"/>
                      <w:b w:val="0"/>
                      <w:bCs/>
                      <w:color w:val="auto"/>
                      <w:szCs w:val="21"/>
                      <w:highlight w:val="none"/>
                      <w:lang w:eastAsia="zh-CN"/>
                    </w:rPr>
                    <w:t>（</w:t>
                  </w:r>
                  <w:r>
                    <w:rPr>
                      <w:rFonts w:hint="default" w:ascii="Times New Roman" w:hAnsi="Times New Roman" w:cs="Times New Roman"/>
                      <w:b w:val="0"/>
                      <w:bCs/>
                      <w:color w:val="auto"/>
                      <w:szCs w:val="21"/>
                      <w:highlight w:val="none"/>
                    </w:rPr>
                    <w:t>A</w:t>
                  </w:r>
                  <w:r>
                    <w:rPr>
                      <w:rFonts w:hint="eastAsia" w:ascii="Times New Roman" w:hAnsi="Times New Roman" w:cs="Times New Roman"/>
                      <w:b w:val="0"/>
                      <w:bCs/>
                      <w:color w:val="auto"/>
                      <w:szCs w:val="21"/>
                      <w:highlight w:val="none"/>
                      <w:lang w:eastAsia="zh-CN"/>
                    </w:rPr>
                    <w:t>）</w:t>
                  </w:r>
                </w:p>
              </w:tc>
              <w:tc>
                <w:tcPr>
                  <w:tcW w:w="380" w:type="pct"/>
                  <w:tcBorders>
                    <w:tl2br w:val="nil"/>
                    <w:tr2bl w:val="nil"/>
                  </w:tcBorders>
                  <w:noWrap w:val="0"/>
                  <w:vAlign w:val="center"/>
                </w:tcPr>
                <w:p w14:paraId="19FCA9C5">
                  <w:pPr>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数量</w:t>
                  </w:r>
                </w:p>
              </w:tc>
              <w:tc>
                <w:tcPr>
                  <w:tcW w:w="2260" w:type="pct"/>
                  <w:tcBorders>
                    <w:tl2br w:val="nil"/>
                    <w:tr2bl w:val="nil"/>
                  </w:tcBorders>
                  <w:noWrap w:val="0"/>
                  <w:vAlign w:val="top"/>
                </w:tcPr>
                <w:p w14:paraId="4CBECF46">
                  <w:pPr>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降噪措施</w:t>
                  </w:r>
                </w:p>
              </w:tc>
            </w:tr>
            <w:tr w14:paraId="15A90F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81" w:type="pct"/>
                  <w:tcBorders>
                    <w:tl2br w:val="nil"/>
                    <w:tr2bl w:val="nil"/>
                  </w:tcBorders>
                  <w:noWrap w:val="0"/>
                  <w:vAlign w:val="center"/>
                </w:tcPr>
                <w:p w14:paraId="122808B3">
                  <w:pPr>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1</w:t>
                  </w:r>
                </w:p>
              </w:tc>
              <w:tc>
                <w:tcPr>
                  <w:tcW w:w="630" w:type="pct"/>
                  <w:tcBorders>
                    <w:tl2br w:val="nil"/>
                    <w:tr2bl w:val="nil"/>
                  </w:tcBorders>
                  <w:noWrap w:val="0"/>
                  <w:vAlign w:val="center"/>
                </w:tcPr>
                <w:p w14:paraId="4309B45B">
                  <w:pPr>
                    <w:adjustRightInd w:val="0"/>
                    <w:snapToGrid w:val="0"/>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水泵</w:t>
                  </w:r>
                </w:p>
              </w:tc>
              <w:tc>
                <w:tcPr>
                  <w:tcW w:w="1347" w:type="pct"/>
                  <w:tcBorders>
                    <w:tl2br w:val="nil"/>
                    <w:tr2bl w:val="nil"/>
                  </w:tcBorders>
                  <w:noWrap w:val="0"/>
                  <w:vAlign w:val="center"/>
                </w:tcPr>
                <w:p w14:paraId="70D50816">
                  <w:pPr>
                    <w:adjustRightInd w:val="0"/>
                    <w:snapToGrid w:val="0"/>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85</w:t>
                  </w:r>
                </w:p>
              </w:tc>
              <w:tc>
                <w:tcPr>
                  <w:tcW w:w="380" w:type="pct"/>
                  <w:tcBorders>
                    <w:tl2br w:val="nil"/>
                    <w:tr2bl w:val="nil"/>
                  </w:tcBorders>
                  <w:noWrap w:val="0"/>
                  <w:vAlign w:val="top"/>
                </w:tcPr>
                <w:p w14:paraId="39DDF84A">
                  <w:pPr>
                    <w:adjustRightInd w:val="0"/>
                    <w:snapToGrid w:val="0"/>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lang w:val="en-US" w:eastAsia="zh-CN"/>
                    </w:rPr>
                    <w:t>3</w:t>
                  </w:r>
                  <w:r>
                    <w:rPr>
                      <w:rFonts w:hint="default" w:ascii="Times New Roman" w:hAnsi="Times New Roman" w:cs="Times New Roman"/>
                      <w:b w:val="0"/>
                      <w:bCs/>
                      <w:color w:val="auto"/>
                      <w:szCs w:val="21"/>
                      <w:highlight w:val="none"/>
                    </w:rPr>
                    <w:t>台</w:t>
                  </w:r>
                </w:p>
              </w:tc>
              <w:tc>
                <w:tcPr>
                  <w:tcW w:w="2260" w:type="pct"/>
                  <w:tcBorders>
                    <w:tl2br w:val="nil"/>
                    <w:tr2bl w:val="nil"/>
                  </w:tcBorders>
                  <w:noWrap w:val="0"/>
                  <w:vAlign w:val="top"/>
                </w:tcPr>
                <w:p w14:paraId="46D78F91">
                  <w:pPr>
                    <w:adjustRightInd w:val="0"/>
                    <w:snapToGrid w:val="0"/>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安装减振设备</w:t>
                  </w:r>
                </w:p>
              </w:tc>
            </w:tr>
            <w:tr w14:paraId="0B3F45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81" w:type="pct"/>
                  <w:tcBorders>
                    <w:tl2br w:val="nil"/>
                    <w:tr2bl w:val="nil"/>
                  </w:tcBorders>
                  <w:noWrap w:val="0"/>
                  <w:vAlign w:val="center"/>
                </w:tcPr>
                <w:p w14:paraId="61BCFE09">
                  <w:pPr>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2</w:t>
                  </w:r>
                </w:p>
              </w:tc>
              <w:tc>
                <w:tcPr>
                  <w:tcW w:w="630" w:type="pct"/>
                  <w:tcBorders>
                    <w:tl2br w:val="nil"/>
                    <w:tr2bl w:val="nil"/>
                  </w:tcBorders>
                  <w:noWrap w:val="0"/>
                  <w:vAlign w:val="center"/>
                </w:tcPr>
                <w:p w14:paraId="0AB91853">
                  <w:pPr>
                    <w:adjustRightInd w:val="0"/>
                    <w:snapToGrid w:val="0"/>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lang w:val="en-US" w:eastAsia="zh-CN"/>
                    </w:rPr>
                    <w:t>电</w:t>
                  </w:r>
                  <w:r>
                    <w:rPr>
                      <w:rFonts w:hint="default" w:ascii="Times New Roman" w:hAnsi="Times New Roman" w:cs="Times New Roman"/>
                      <w:b w:val="0"/>
                      <w:bCs/>
                      <w:color w:val="auto"/>
                      <w:szCs w:val="21"/>
                      <w:highlight w:val="none"/>
                    </w:rPr>
                    <w:t>机</w:t>
                  </w:r>
                </w:p>
              </w:tc>
              <w:tc>
                <w:tcPr>
                  <w:tcW w:w="1347" w:type="pct"/>
                  <w:tcBorders>
                    <w:tl2br w:val="nil"/>
                    <w:tr2bl w:val="nil"/>
                  </w:tcBorders>
                  <w:noWrap w:val="0"/>
                  <w:vAlign w:val="center"/>
                </w:tcPr>
                <w:p w14:paraId="41A407D6">
                  <w:pPr>
                    <w:adjustRightInd w:val="0"/>
                    <w:snapToGrid w:val="0"/>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80</w:t>
                  </w:r>
                </w:p>
              </w:tc>
              <w:tc>
                <w:tcPr>
                  <w:tcW w:w="380" w:type="pct"/>
                  <w:tcBorders>
                    <w:tl2br w:val="nil"/>
                    <w:tr2bl w:val="nil"/>
                  </w:tcBorders>
                  <w:noWrap w:val="0"/>
                  <w:vAlign w:val="top"/>
                </w:tcPr>
                <w:p w14:paraId="189D60F3">
                  <w:pPr>
                    <w:adjustRightInd w:val="0"/>
                    <w:snapToGrid w:val="0"/>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1台</w:t>
                  </w:r>
                </w:p>
              </w:tc>
              <w:tc>
                <w:tcPr>
                  <w:tcW w:w="2260" w:type="pct"/>
                  <w:tcBorders>
                    <w:tl2br w:val="nil"/>
                    <w:tr2bl w:val="nil"/>
                  </w:tcBorders>
                  <w:noWrap w:val="0"/>
                  <w:vAlign w:val="top"/>
                </w:tcPr>
                <w:p w14:paraId="400749A8">
                  <w:pPr>
                    <w:adjustRightInd w:val="0"/>
                    <w:snapToGrid w:val="0"/>
                    <w:jc w:val="center"/>
                    <w:rPr>
                      <w:rFonts w:hint="default" w:ascii="Times New Roman" w:hAnsi="Times New Roman" w:cs="Times New Roman"/>
                      <w:b w:val="0"/>
                      <w:bCs/>
                      <w:color w:val="auto"/>
                      <w:szCs w:val="21"/>
                      <w:highlight w:val="none"/>
                    </w:rPr>
                  </w:pPr>
                  <w:r>
                    <w:rPr>
                      <w:rFonts w:hint="default" w:ascii="Times New Roman" w:hAnsi="Times New Roman" w:cs="Times New Roman"/>
                      <w:b w:val="0"/>
                      <w:bCs/>
                      <w:color w:val="auto"/>
                      <w:szCs w:val="21"/>
                      <w:highlight w:val="none"/>
                    </w:rPr>
                    <w:t>位于室内，安装减振设备</w:t>
                  </w:r>
                </w:p>
              </w:tc>
            </w:tr>
          </w:tbl>
          <w:p w14:paraId="3EAB5447">
            <w:pPr>
              <w:keepNext w:val="0"/>
              <w:keepLines w:val="0"/>
              <w:pageBreakBefore w:val="0"/>
              <w:widowControl w:val="0"/>
              <w:tabs>
                <w:tab w:val="left" w:pos="407"/>
              </w:tabs>
              <w:kinsoku/>
              <w:wordWrap/>
              <w:overflowPunct/>
              <w:topLinePunct w:val="0"/>
              <w:autoSpaceDE/>
              <w:autoSpaceDN/>
              <w:bidi w:val="0"/>
              <w:adjustRightInd/>
              <w:snapToGrid/>
              <w:spacing w:before="157" w:beforeLines="50" w:line="360" w:lineRule="auto"/>
              <w:ind w:firstLine="480" w:firstLineChars="200"/>
              <w:jc w:val="left"/>
              <w:textAlignment w:val="auto"/>
              <w:rPr>
                <w:rFonts w:hint="default" w:ascii="Times New Roman" w:hAnsi="Times New Roman" w:cs="Times New Roman"/>
                <w:color w:val="auto"/>
                <w:kern w:val="0"/>
                <w:sz w:val="24"/>
                <w:highlight w:val="none"/>
              </w:rPr>
            </w:pPr>
            <w:r>
              <w:rPr>
                <w:rFonts w:hint="eastAsia"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噪声预测</w:t>
            </w:r>
          </w:p>
          <w:p w14:paraId="361B5A3A">
            <w:pPr>
              <w:spacing w:line="360" w:lineRule="auto"/>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项目运营期产生的噪声主要</w:t>
            </w:r>
            <w:r>
              <w:rPr>
                <w:rFonts w:hint="default" w:ascii="Times New Roman" w:hAnsi="Times New Roman" w:cs="Times New Roman"/>
                <w:color w:val="auto"/>
                <w:kern w:val="0"/>
                <w:sz w:val="24"/>
                <w:highlight w:val="none"/>
              </w:rPr>
              <w:t>为水泵、</w:t>
            </w:r>
            <w:r>
              <w:rPr>
                <w:rFonts w:hint="default" w:ascii="Times New Roman" w:hAnsi="Times New Roman" w:cs="Times New Roman"/>
                <w:color w:val="auto"/>
                <w:kern w:val="0"/>
                <w:sz w:val="24"/>
                <w:highlight w:val="none"/>
                <w:lang w:val="en-US" w:eastAsia="zh-CN"/>
              </w:rPr>
              <w:t>电机</w:t>
            </w:r>
            <w:r>
              <w:rPr>
                <w:rFonts w:hint="default" w:ascii="Times New Roman" w:hAnsi="Times New Roman" w:cs="Times New Roman"/>
                <w:color w:val="auto"/>
                <w:kern w:val="0"/>
                <w:sz w:val="24"/>
                <w:highlight w:val="none"/>
              </w:rPr>
              <w:t>运行噪声</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sz w:val="24"/>
                <w:highlight w:val="none"/>
              </w:rPr>
              <w:t>通过采取对水泵、</w:t>
            </w:r>
            <w:r>
              <w:rPr>
                <w:rFonts w:hint="default" w:ascii="Times New Roman" w:hAnsi="Times New Roman" w:cs="Times New Roman"/>
                <w:color w:val="auto"/>
                <w:sz w:val="24"/>
                <w:highlight w:val="none"/>
                <w:lang w:val="en-US" w:eastAsia="zh-CN"/>
              </w:rPr>
              <w:t>电机</w:t>
            </w:r>
            <w:r>
              <w:rPr>
                <w:rFonts w:hint="default" w:ascii="Times New Roman" w:hAnsi="Times New Roman" w:cs="Times New Roman"/>
                <w:color w:val="auto"/>
                <w:sz w:val="24"/>
                <w:highlight w:val="none"/>
              </w:rPr>
              <w:t>设置减震基础、减震垫等措施及墙壁隔声后，噪声值减小15 dB</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A）。在考虑噪声扩散衰减的情况下，声环境预测模式按点声源模式预测，预测模式为距离衰减模式：L=L</w:t>
            </w:r>
            <w:r>
              <w:rPr>
                <w:rFonts w:hint="default" w:ascii="Times New Roman" w:hAnsi="Times New Roman" w:cs="Times New Roman"/>
                <w:color w:val="auto"/>
                <w:sz w:val="24"/>
                <w:highlight w:val="none"/>
                <w:vertAlign w:val="subscript"/>
              </w:rPr>
              <w:t>0</w:t>
            </w:r>
            <w:r>
              <w:rPr>
                <w:rFonts w:hint="default" w:ascii="Times New Roman" w:hAnsi="Times New Roman" w:cs="Times New Roman"/>
                <w:color w:val="auto"/>
                <w:sz w:val="24"/>
                <w:highlight w:val="none"/>
              </w:rPr>
              <w:t>—20lg</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r/r</w:t>
            </w:r>
            <w:r>
              <w:rPr>
                <w:rFonts w:hint="default" w:ascii="Times New Roman" w:hAnsi="Times New Roman" w:cs="Times New Roman"/>
                <w:color w:val="auto"/>
                <w:sz w:val="24"/>
                <w:highlight w:val="none"/>
                <w:vertAlign w:val="subscript"/>
              </w:rPr>
              <w:t>0</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xml:space="preserve">     </w:t>
            </w:r>
          </w:p>
          <w:p w14:paraId="1FD40BBB">
            <w:pPr>
              <w:spacing w:line="360" w:lineRule="auto"/>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 ：L—受声点的声压级，dB</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A）；L</w:t>
            </w:r>
            <w:r>
              <w:rPr>
                <w:rFonts w:hint="default" w:ascii="Times New Roman" w:hAnsi="Times New Roman" w:cs="Times New Roman"/>
                <w:color w:val="auto"/>
                <w:sz w:val="24"/>
                <w:highlight w:val="none"/>
                <w:vertAlign w:val="subscript"/>
              </w:rPr>
              <w:t>0</w:t>
            </w:r>
            <w:r>
              <w:rPr>
                <w:rFonts w:hint="default" w:ascii="Times New Roman" w:hAnsi="Times New Roman" w:cs="Times New Roman"/>
                <w:color w:val="auto"/>
                <w:sz w:val="24"/>
                <w:highlight w:val="none"/>
              </w:rPr>
              <w:t>—厂房外声源源强，dB</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A）；r—厂房外声源与厂界之间的距离，m；r</w:t>
            </w:r>
            <w:r>
              <w:rPr>
                <w:rFonts w:hint="default" w:ascii="Times New Roman" w:hAnsi="Times New Roman" w:cs="Times New Roman"/>
                <w:color w:val="auto"/>
                <w:sz w:val="24"/>
                <w:highlight w:val="none"/>
                <w:vertAlign w:val="subscript"/>
              </w:rPr>
              <w:t>0</w:t>
            </w:r>
            <w:r>
              <w:rPr>
                <w:rFonts w:hint="default" w:ascii="Times New Roman" w:hAnsi="Times New Roman" w:cs="Times New Roman"/>
                <w:color w:val="auto"/>
                <w:sz w:val="24"/>
                <w:highlight w:val="none"/>
              </w:rPr>
              <w:t>—距噪声源距离，取1m。</w:t>
            </w:r>
          </w:p>
          <w:p w14:paraId="0C206C32">
            <w:pPr>
              <w:spacing w:line="360" w:lineRule="auto"/>
              <w:ind w:firstLine="482"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rPr>
              <w:drawing>
                <wp:anchor distT="0" distB="0" distL="114300" distR="114300" simplePos="0" relativeHeight="251660288" behindDoc="0" locked="0" layoutInCell="1" allowOverlap="1">
                  <wp:simplePos x="0" y="0"/>
                  <wp:positionH relativeFrom="column">
                    <wp:posOffset>2482850</wp:posOffset>
                  </wp:positionH>
                  <wp:positionV relativeFrom="paragraph">
                    <wp:posOffset>40005</wp:posOffset>
                  </wp:positionV>
                  <wp:extent cx="1361440" cy="477520"/>
                  <wp:effectExtent l="0" t="0" r="0" b="10795"/>
                  <wp:wrapNone/>
                  <wp:docPr id="9" name="图片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48"/>
                          <pic:cNvPicPr>
                            <a:picLocks noChangeAspect="1"/>
                          </pic:cNvPicPr>
                        </pic:nvPicPr>
                        <pic:blipFill>
                          <a:blip r:embed="rId12"/>
                          <a:stretch>
                            <a:fillRect/>
                          </a:stretch>
                        </pic:blipFill>
                        <pic:spPr>
                          <a:xfrm>
                            <a:off x="0" y="0"/>
                            <a:ext cx="1361440" cy="477520"/>
                          </a:xfrm>
                          <a:prstGeom prst="rect">
                            <a:avLst/>
                          </a:prstGeom>
                          <a:noFill/>
                          <a:ln>
                            <a:noFill/>
                          </a:ln>
                        </pic:spPr>
                      </pic:pic>
                    </a:graphicData>
                  </a:graphic>
                </wp:anchor>
              </w:drawing>
            </w:r>
            <w:r>
              <w:rPr>
                <w:rFonts w:hint="default" w:ascii="Times New Roman" w:hAnsi="Times New Roman" w:cs="Times New Roman"/>
                <w:color w:val="auto"/>
                <w:sz w:val="24"/>
                <w:highlight w:val="none"/>
              </w:rPr>
              <w:t>叠加公式如下：</w:t>
            </w:r>
          </w:p>
          <w:p w14:paraId="5100451D">
            <w:pPr>
              <w:spacing w:line="360" w:lineRule="auto"/>
              <w:ind w:firstLine="480" w:firstLineChars="200"/>
              <w:rPr>
                <w:rFonts w:hint="default" w:ascii="Times New Roman" w:hAnsi="Times New Roman" w:cs="Times New Roman"/>
                <w:color w:val="auto"/>
                <w:sz w:val="24"/>
                <w:highlight w:val="none"/>
              </w:rPr>
            </w:pPr>
          </w:p>
          <w:p w14:paraId="441F45F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式中：L——叠加后的声压级，dB</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A</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；P</w:t>
            </w:r>
            <w:r>
              <w:rPr>
                <w:rFonts w:hint="default" w:ascii="Times New Roman" w:hAnsi="Times New Roman" w:cs="Times New Roman"/>
                <w:color w:val="auto"/>
                <w:sz w:val="24"/>
                <w:highlight w:val="none"/>
                <w:vertAlign w:val="subscript"/>
              </w:rPr>
              <w:t>i</w:t>
            </w:r>
            <w:r>
              <w:rPr>
                <w:rFonts w:hint="default" w:ascii="Times New Roman" w:hAnsi="Times New Roman" w:cs="Times New Roman"/>
                <w:color w:val="auto"/>
                <w:sz w:val="24"/>
                <w:highlight w:val="none"/>
              </w:rPr>
              <w:t>——第i个噪声源声压级，dB</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A</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；n—— 噪声源总数。</w:t>
            </w:r>
          </w:p>
          <w:p w14:paraId="009CA6A9">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采取措施后，</w:t>
            </w:r>
            <w:r>
              <w:rPr>
                <w:rFonts w:hint="default" w:ascii="Times New Roman" w:hAnsi="Times New Roman" w:cs="Times New Roman"/>
                <w:color w:val="auto"/>
                <w:sz w:val="24"/>
                <w:highlight w:val="none"/>
                <w:lang w:val="en-US" w:eastAsia="zh-CN"/>
              </w:rPr>
              <w:t>水泵</w:t>
            </w:r>
            <w:r>
              <w:rPr>
                <w:rFonts w:hint="default" w:ascii="Times New Roman" w:hAnsi="Times New Roman" w:cs="Times New Roman"/>
                <w:color w:val="auto"/>
                <w:sz w:val="24"/>
                <w:highlight w:val="none"/>
              </w:rPr>
              <w:t>及</w:t>
            </w:r>
            <w:r>
              <w:rPr>
                <w:rFonts w:hint="default" w:ascii="Times New Roman" w:hAnsi="Times New Roman" w:cs="Times New Roman"/>
                <w:color w:val="auto"/>
                <w:sz w:val="24"/>
                <w:highlight w:val="none"/>
                <w:lang w:val="en-US" w:eastAsia="zh-CN"/>
              </w:rPr>
              <w:t>电机</w:t>
            </w:r>
            <w:r>
              <w:rPr>
                <w:rFonts w:hint="default" w:ascii="Times New Roman" w:hAnsi="Times New Roman" w:cs="Times New Roman"/>
                <w:color w:val="auto"/>
                <w:sz w:val="24"/>
                <w:highlight w:val="none"/>
              </w:rPr>
              <w:t>运行噪声对其边界影响预测结果见</w:t>
            </w:r>
            <w:r>
              <w:rPr>
                <w:rFonts w:hint="default" w:ascii="Times New Roman" w:hAnsi="Times New Roman" w:cs="Times New Roman"/>
                <w:color w:val="auto"/>
                <w:sz w:val="24"/>
                <w:highlight w:val="none"/>
                <w:lang w:eastAsia="zh-CN"/>
              </w:rPr>
              <w:t>下表</w:t>
            </w:r>
            <w:r>
              <w:rPr>
                <w:rFonts w:hint="default" w:ascii="Times New Roman" w:hAnsi="Times New Roman" w:cs="Times New Roman"/>
                <w:color w:val="auto"/>
                <w:sz w:val="24"/>
                <w:highlight w:val="none"/>
              </w:rPr>
              <w:t>：</w:t>
            </w:r>
          </w:p>
          <w:p w14:paraId="05CF9C65">
            <w:pPr>
              <w:pStyle w:val="20"/>
              <w:spacing w:line="240" w:lineRule="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表4-</w:t>
            </w:r>
            <w:r>
              <w:rPr>
                <w:rFonts w:hint="eastAsia" w:ascii="Times New Roman" w:hAnsi="Times New Roman" w:eastAsia="宋体" w:cs="Times New Roman"/>
                <w:b/>
                <w:color w:val="auto"/>
                <w:sz w:val="24"/>
                <w:szCs w:val="24"/>
                <w:highlight w:val="none"/>
                <w:lang w:val="en-US" w:eastAsia="zh-CN"/>
              </w:rPr>
              <w:t>4</w:t>
            </w:r>
            <w:r>
              <w:rPr>
                <w:rFonts w:hint="default" w:ascii="Times New Roman" w:hAnsi="Times New Roman" w:eastAsia="宋体" w:cs="Times New Roman"/>
                <w:b/>
                <w:color w:val="auto"/>
                <w:sz w:val="24"/>
                <w:szCs w:val="24"/>
                <w:highlight w:val="none"/>
                <w:lang w:val="en-US" w:eastAsia="zh-CN"/>
              </w:rPr>
              <w:t xml:space="preserve">  </w:t>
            </w:r>
            <w:r>
              <w:rPr>
                <w:rFonts w:hint="eastAsia" w:ascii="Times New Roman" w:hAnsi="Times New Roman" w:eastAsia="宋体" w:cs="Times New Roman"/>
                <w:b/>
                <w:color w:val="auto"/>
                <w:sz w:val="24"/>
                <w:szCs w:val="24"/>
                <w:highlight w:val="none"/>
                <w:lang w:val="en-US" w:eastAsia="zh-CN"/>
              </w:rPr>
              <w:t xml:space="preserve">  </w:t>
            </w:r>
            <w:r>
              <w:rPr>
                <w:rFonts w:hint="default" w:ascii="Times New Roman" w:hAnsi="Times New Roman" w:eastAsia="宋体" w:cs="Times New Roman"/>
                <w:b/>
                <w:color w:val="auto"/>
                <w:sz w:val="24"/>
                <w:szCs w:val="24"/>
                <w:highlight w:val="none"/>
                <w:lang w:val="en-US" w:eastAsia="zh-CN"/>
              </w:rPr>
              <w:t>泵站厂界噪声影响预测结果</w:t>
            </w:r>
          </w:p>
          <w:tbl>
            <w:tblPr>
              <w:tblStyle w:val="26"/>
              <w:tblW w:w="4998"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autofit"/>
              <w:tblCellMar>
                <w:top w:w="0" w:type="dxa"/>
                <w:left w:w="108" w:type="dxa"/>
                <w:bottom w:w="0" w:type="dxa"/>
                <w:right w:w="108" w:type="dxa"/>
              </w:tblCellMar>
            </w:tblPr>
            <w:tblGrid>
              <w:gridCol w:w="934"/>
              <w:gridCol w:w="1189"/>
              <w:gridCol w:w="841"/>
              <w:gridCol w:w="849"/>
              <w:gridCol w:w="813"/>
              <w:gridCol w:w="865"/>
              <w:gridCol w:w="811"/>
              <w:gridCol w:w="947"/>
              <w:gridCol w:w="1094"/>
            </w:tblGrid>
            <w:tr w14:paraId="481F25B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4" w:type="pct"/>
                  <w:vMerge w:val="restart"/>
                  <w:tcBorders>
                    <w:tl2br w:val="nil"/>
                    <w:tr2bl w:val="nil"/>
                  </w:tcBorders>
                  <w:noWrap w:val="0"/>
                  <w:vAlign w:val="center"/>
                </w:tcPr>
                <w:p w14:paraId="20895FB7">
                  <w:pPr>
                    <w:spacing w:line="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预测点</w:t>
                  </w:r>
                </w:p>
              </w:tc>
              <w:tc>
                <w:tcPr>
                  <w:tcW w:w="717" w:type="pct"/>
                  <w:vMerge w:val="restart"/>
                  <w:tcBorders>
                    <w:tl2br w:val="nil"/>
                    <w:tr2bl w:val="nil"/>
                  </w:tcBorders>
                  <w:noWrap w:val="0"/>
                  <w:vAlign w:val="center"/>
                </w:tcPr>
                <w:p w14:paraId="7DDE0C42">
                  <w:pPr>
                    <w:spacing w:line="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噪声源</w:t>
                  </w:r>
                </w:p>
              </w:tc>
              <w:tc>
                <w:tcPr>
                  <w:tcW w:w="508" w:type="pct"/>
                  <w:vMerge w:val="restart"/>
                  <w:tcBorders>
                    <w:tl2br w:val="nil"/>
                    <w:tr2bl w:val="nil"/>
                  </w:tcBorders>
                  <w:noWrap w:val="0"/>
                  <w:vAlign w:val="center"/>
                </w:tcPr>
                <w:p w14:paraId="60634224">
                  <w:pPr>
                    <w:spacing w:line="0" w:lineRule="atLeast"/>
                    <w:jc w:val="center"/>
                    <w:rPr>
                      <w:rFonts w:hint="eastAsia" w:ascii="Times New Roman" w:hAnsi="Times New Roman" w:eastAsia="宋体" w:cs="Times New Roman"/>
                      <w:b/>
                      <w:color w:val="auto"/>
                      <w:szCs w:val="21"/>
                      <w:highlight w:val="none"/>
                      <w:lang w:eastAsia="zh-CN"/>
                    </w:rPr>
                  </w:pPr>
                  <w:r>
                    <w:rPr>
                      <w:rFonts w:hint="default" w:ascii="Times New Roman" w:hAnsi="Times New Roman" w:cs="Times New Roman"/>
                      <w:b/>
                      <w:color w:val="auto"/>
                      <w:szCs w:val="21"/>
                      <w:highlight w:val="none"/>
                    </w:rPr>
                    <w:t>源强dB</w:t>
                  </w:r>
                  <w:r>
                    <w:rPr>
                      <w:rFonts w:hint="eastAsia" w:ascii="Times New Roman" w:hAnsi="Times New Roman" w:cs="Times New Roman"/>
                      <w:b/>
                      <w:color w:val="auto"/>
                      <w:szCs w:val="21"/>
                      <w:highlight w:val="none"/>
                      <w:lang w:eastAsia="zh-CN"/>
                    </w:rPr>
                    <w:t>（</w:t>
                  </w:r>
                  <w:r>
                    <w:rPr>
                      <w:rFonts w:hint="default" w:ascii="Times New Roman" w:hAnsi="Times New Roman" w:cs="Times New Roman"/>
                      <w:b/>
                      <w:color w:val="auto"/>
                      <w:szCs w:val="21"/>
                      <w:highlight w:val="none"/>
                    </w:rPr>
                    <w:t>A</w:t>
                  </w:r>
                  <w:r>
                    <w:rPr>
                      <w:rFonts w:hint="eastAsia" w:ascii="Times New Roman" w:hAnsi="Times New Roman" w:cs="Times New Roman"/>
                      <w:b/>
                      <w:color w:val="auto"/>
                      <w:szCs w:val="21"/>
                      <w:highlight w:val="none"/>
                      <w:lang w:eastAsia="zh-CN"/>
                    </w:rPr>
                    <w:t>）</w:t>
                  </w:r>
                </w:p>
              </w:tc>
              <w:tc>
                <w:tcPr>
                  <w:tcW w:w="492" w:type="pct"/>
                  <w:vMerge w:val="restart"/>
                  <w:tcBorders>
                    <w:tl2br w:val="nil"/>
                    <w:tr2bl w:val="nil"/>
                  </w:tcBorders>
                  <w:noWrap w:val="0"/>
                  <w:vAlign w:val="center"/>
                </w:tcPr>
                <w:p w14:paraId="408FF341">
                  <w:pPr>
                    <w:spacing w:line="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数量</w:t>
                  </w:r>
                </w:p>
                <w:p w14:paraId="7AC15F3E">
                  <w:pPr>
                    <w:spacing w:line="0" w:lineRule="atLeast"/>
                    <w:jc w:val="center"/>
                    <w:rPr>
                      <w:rFonts w:hint="default" w:ascii="Times New Roman" w:hAnsi="Times New Roman" w:cs="Times New Roman"/>
                      <w:b/>
                      <w:color w:val="auto"/>
                      <w:szCs w:val="21"/>
                      <w:highlight w:val="none"/>
                    </w:rPr>
                  </w:pPr>
                  <w:r>
                    <w:rPr>
                      <w:rFonts w:hint="eastAsia" w:ascii="Times New Roman" w:hAnsi="Times New Roman" w:cs="Times New Roman"/>
                      <w:b/>
                      <w:color w:val="auto"/>
                      <w:szCs w:val="21"/>
                      <w:highlight w:val="none"/>
                      <w:lang w:eastAsia="zh-CN"/>
                    </w:rPr>
                    <w:t>（</w:t>
                  </w:r>
                  <w:r>
                    <w:rPr>
                      <w:rFonts w:hint="default" w:ascii="Times New Roman" w:hAnsi="Times New Roman" w:cs="Times New Roman"/>
                      <w:b/>
                      <w:color w:val="auto"/>
                      <w:szCs w:val="21"/>
                      <w:highlight w:val="none"/>
                    </w:rPr>
                    <w:t>台）</w:t>
                  </w:r>
                </w:p>
              </w:tc>
              <w:tc>
                <w:tcPr>
                  <w:tcW w:w="473" w:type="pct"/>
                  <w:vMerge w:val="restart"/>
                  <w:tcBorders>
                    <w:tl2br w:val="nil"/>
                    <w:tr2bl w:val="nil"/>
                  </w:tcBorders>
                  <w:noWrap w:val="0"/>
                  <w:vAlign w:val="center"/>
                </w:tcPr>
                <w:p w14:paraId="6D9B4BA4">
                  <w:pPr>
                    <w:spacing w:line="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距离</w:t>
                  </w:r>
                </w:p>
                <w:p w14:paraId="0CECA64F">
                  <w:pPr>
                    <w:spacing w:line="0" w:lineRule="atLeast"/>
                    <w:jc w:val="center"/>
                    <w:rPr>
                      <w:rFonts w:hint="default" w:ascii="Times New Roman" w:hAnsi="Times New Roman" w:cs="Times New Roman"/>
                      <w:b/>
                      <w:color w:val="auto"/>
                      <w:szCs w:val="21"/>
                      <w:highlight w:val="none"/>
                    </w:rPr>
                  </w:pPr>
                  <w:r>
                    <w:rPr>
                      <w:rFonts w:hint="eastAsia" w:ascii="Times New Roman" w:hAnsi="Times New Roman" w:cs="Times New Roman"/>
                      <w:b/>
                      <w:color w:val="auto"/>
                      <w:szCs w:val="21"/>
                      <w:highlight w:val="none"/>
                      <w:lang w:eastAsia="zh-CN"/>
                    </w:rPr>
                    <w:t>（</w:t>
                  </w:r>
                  <w:r>
                    <w:rPr>
                      <w:rFonts w:hint="default" w:ascii="Times New Roman" w:hAnsi="Times New Roman" w:cs="Times New Roman"/>
                      <w:b/>
                      <w:color w:val="auto"/>
                      <w:szCs w:val="21"/>
                      <w:highlight w:val="none"/>
                    </w:rPr>
                    <w:t>m）</w:t>
                  </w:r>
                </w:p>
              </w:tc>
              <w:tc>
                <w:tcPr>
                  <w:tcW w:w="522" w:type="pct"/>
                  <w:vMerge w:val="restart"/>
                  <w:tcBorders>
                    <w:tl2br w:val="nil"/>
                    <w:tr2bl w:val="nil"/>
                  </w:tcBorders>
                  <w:noWrap w:val="0"/>
                  <w:vAlign w:val="center"/>
                </w:tcPr>
                <w:p w14:paraId="762CBFC1">
                  <w:pPr>
                    <w:spacing w:line="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贡献值</w:t>
                  </w:r>
                </w:p>
                <w:p w14:paraId="4ACAF81B">
                  <w:pPr>
                    <w:spacing w:line="0" w:lineRule="atLeast"/>
                    <w:jc w:val="center"/>
                    <w:rPr>
                      <w:rFonts w:hint="eastAsia" w:ascii="Times New Roman" w:hAnsi="Times New Roman" w:eastAsia="宋体" w:cs="Times New Roman"/>
                      <w:b/>
                      <w:color w:val="auto"/>
                      <w:szCs w:val="21"/>
                      <w:highlight w:val="none"/>
                      <w:lang w:eastAsia="zh-CN"/>
                    </w:rPr>
                  </w:pPr>
                  <w:r>
                    <w:rPr>
                      <w:rFonts w:hint="default" w:ascii="Times New Roman" w:hAnsi="Times New Roman" w:cs="Times New Roman"/>
                      <w:b/>
                      <w:color w:val="auto"/>
                      <w:szCs w:val="21"/>
                      <w:highlight w:val="none"/>
                    </w:rPr>
                    <w:t>dB</w:t>
                  </w:r>
                  <w:r>
                    <w:rPr>
                      <w:rFonts w:hint="eastAsia" w:ascii="Times New Roman" w:hAnsi="Times New Roman" w:cs="Times New Roman"/>
                      <w:b/>
                      <w:color w:val="auto"/>
                      <w:szCs w:val="21"/>
                      <w:highlight w:val="none"/>
                      <w:lang w:eastAsia="zh-CN"/>
                    </w:rPr>
                    <w:t>（</w:t>
                  </w:r>
                  <w:r>
                    <w:rPr>
                      <w:rFonts w:hint="default" w:ascii="Times New Roman" w:hAnsi="Times New Roman" w:cs="Times New Roman"/>
                      <w:b/>
                      <w:color w:val="auto"/>
                      <w:szCs w:val="21"/>
                      <w:highlight w:val="none"/>
                    </w:rPr>
                    <w:t>A</w:t>
                  </w:r>
                  <w:r>
                    <w:rPr>
                      <w:rFonts w:hint="eastAsia" w:ascii="Times New Roman" w:hAnsi="Times New Roman" w:cs="Times New Roman"/>
                      <w:b/>
                      <w:color w:val="auto"/>
                      <w:szCs w:val="21"/>
                      <w:highlight w:val="none"/>
                      <w:lang w:eastAsia="zh-CN"/>
                    </w:rPr>
                    <w:t>）</w:t>
                  </w:r>
                </w:p>
              </w:tc>
              <w:tc>
                <w:tcPr>
                  <w:tcW w:w="1061" w:type="pct"/>
                  <w:gridSpan w:val="2"/>
                  <w:tcBorders>
                    <w:tl2br w:val="nil"/>
                    <w:tr2bl w:val="nil"/>
                  </w:tcBorders>
                  <w:noWrap w:val="0"/>
                  <w:vAlign w:val="center"/>
                </w:tcPr>
                <w:p w14:paraId="7D0727F3">
                  <w:pPr>
                    <w:spacing w:line="0" w:lineRule="atLeast"/>
                    <w:jc w:val="center"/>
                    <w:rPr>
                      <w:rFonts w:hint="eastAsia" w:ascii="Times New Roman" w:hAnsi="Times New Roman" w:eastAsia="宋体" w:cs="Times New Roman"/>
                      <w:b/>
                      <w:color w:val="auto"/>
                      <w:szCs w:val="21"/>
                      <w:highlight w:val="none"/>
                      <w:lang w:eastAsia="zh-CN"/>
                    </w:rPr>
                  </w:pPr>
                  <w:r>
                    <w:rPr>
                      <w:rFonts w:hint="default" w:ascii="Times New Roman" w:hAnsi="Times New Roman" w:cs="Times New Roman"/>
                      <w:b/>
                      <w:color w:val="auto"/>
                      <w:szCs w:val="21"/>
                      <w:highlight w:val="none"/>
                    </w:rPr>
                    <w:t>标准值dB</w:t>
                  </w:r>
                  <w:r>
                    <w:rPr>
                      <w:rFonts w:hint="eastAsia" w:ascii="Times New Roman" w:hAnsi="Times New Roman" w:cs="Times New Roman"/>
                      <w:b/>
                      <w:color w:val="auto"/>
                      <w:szCs w:val="21"/>
                      <w:highlight w:val="none"/>
                      <w:lang w:eastAsia="zh-CN"/>
                    </w:rPr>
                    <w:t>（</w:t>
                  </w:r>
                  <w:r>
                    <w:rPr>
                      <w:rFonts w:hint="default" w:ascii="Times New Roman" w:hAnsi="Times New Roman" w:cs="Times New Roman"/>
                      <w:b/>
                      <w:color w:val="auto"/>
                      <w:szCs w:val="21"/>
                      <w:highlight w:val="none"/>
                    </w:rPr>
                    <w:t>A</w:t>
                  </w:r>
                  <w:r>
                    <w:rPr>
                      <w:rFonts w:hint="eastAsia" w:ascii="Times New Roman" w:hAnsi="Times New Roman" w:cs="Times New Roman"/>
                      <w:b/>
                      <w:color w:val="auto"/>
                      <w:szCs w:val="21"/>
                      <w:highlight w:val="none"/>
                      <w:lang w:eastAsia="zh-CN"/>
                    </w:rPr>
                    <w:t>）</w:t>
                  </w:r>
                </w:p>
              </w:tc>
              <w:tc>
                <w:tcPr>
                  <w:tcW w:w="659" w:type="pct"/>
                  <w:vMerge w:val="restart"/>
                  <w:tcBorders>
                    <w:tl2br w:val="nil"/>
                    <w:tr2bl w:val="nil"/>
                  </w:tcBorders>
                  <w:noWrap w:val="0"/>
                  <w:vAlign w:val="center"/>
                </w:tcPr>
                <w:p w14:paraId="0CC975A2">
                  <w:pPr>
                    <w:spacing w:line="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达标分析</w:t>
                  </w:r>
                </w:p>
              </w:tc>
            </w:tr>
            <w:tr w14:paraId="2AA2F98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4" w:type="pct"/>
                  <w:vMerge w:val="continue"/>
                  <w:tcBorders>
                    <w:tl2br w:val="nil"/>
                    <w:tr2bl w:val="nil"/>
                  </w:tcBorders>
                  <w:noWrap w:val="0"/>
                  <w:vAlign w:val="center"/>
                </w:tcPr>
                <w:p w14:paraId="7B0202CE">
                  <w:pPr>
                    <w:spacing w:line="0" w:lineRule="atLeast"/>
                    <w:jc w:val="center"/>
                    <w:rPr>
                      <w:rFonts w:hint="default" w:ascii="Times New Roman" w:hAnsi="Times New Roman" w:cs="Times New Roman"/>
                      <w:color w:val="auto"/>
                      <w:szCs w:val="21"/>
                      <w:highlight w:val="none"/>
                    </w:rPr>
                  </w:pPr>
                </w:p>
              </w:tc>
              <w:tc>
                <w:tcPr>
                  <w:tcW w:w="717" w:type="pct"/>
                  <w:vMerge w:val="continue"/>
                  <w:tcBorders>
                    <w:tl2br w:val="nil"/>
                    <w:tr2bl w:val="nil"/>
                  </w:tcBorders>
                  <w:noWrap w:val="0"/>
                  <w:vAlign w:val="center"/>
                </w:tcPr>
                <w:p w14:paraId="1E5BCA2D">
                  <w:pPr>
                    <w:spacing w:line="0" w:lineRule="atLeast"/>
                    <w:jc w:val="center"/>
                    <w:rPr>
                      <w:rFonts w:hint="default" w:ascii="Times New Roman" w:hAnsi="Times New Roman" w:cs="Times New Roman"/>
                      <w:color w:val="auto"/>
                      <w:szCs w:val="21"/>
                      <w:highlight w:val="none"/>
                    </w:rPr>
                  </w:pPr>
                </w:p>
              </w:tc>
              <w:tc>
                <w:tcPr>
                  <w:tcW w:w="508" w:type="pct"/>
                  <w:vMerge w:val="continue"/>
                  <w:tcBorders>
                    <w:tl2br w:val="nil"/>
                    <w:tr2bl w:val="nil"/>
                  </w:tcBorders>
                  <w:noWrap w:val="0"/>
                  <w:vAlign w:val="center"/>
                </w:tcPr>
                <w:p w14:paraId="11EE0AA5">
                  <w:pPr>
                    <w:spacing w:line="0" w:lineRule="atLeast"/>
                    <w:jc w:val="center"/>
                    <w:rPr>
                      <w:rFonts w:hint="default" w:ascii="Times New Roman" w:hAnsi="Times New Roman" w:cs="Times New Roman"/>
                      <w:color w:val="auto"/>
                      <w:szCs w:val="21"/>
                      <w:highlight w:val="none"/>
                    </w:rPr>
                  </w:pPr>
                </w:p>
              </w:tc>
              <w:tc>
                <w:tcPr>
                  <w:tcW w:w="492" w:type="pct"/>
                  <w:vMerge w:val="continue"/>
                  <w:tcBorders>
                    <w:tl2br w:val="nil"/>
                    <w:tr2bl w:val="nil"/>
                  </w:tcBorders>
                  <w:noWrap w:val="0"/>
                  <w:vAlign w:val="center"/>
                </w:tcPr>
                <w:p w14:paraId="52AC63BF">
                  <w:pPr>
                    <w:spacing w:line="0" w:lineRule="atLeast"/>
                    <w:jc w:val="center"/>
                    <w:rPr>
                      <w:rFonts w:hint="default" w:ascii="Times New Roman" w:hAnsi="Times New Roman" w:cs="Times New Roman"/>
                      <w:color w:val="auto"/>
                      <w:szCs w:val="21"/>
                      <w:highlight w:val="none"/>
                    </w:rPr>
                  </w:pPr>
                </w:p>
              </w:tc>
              <w:tc>
                <w:tcPr>
                  <w:tcW w:w="473" w:type="pct"/>
                  <w:vMerge w:val="continue"/>
                  <w:tcBorders>
                    <w:tl2br w:val="nil"/>
                    <w:tr2bl w:val="nil"/>
                  </w:tcBorders>
                  <w:noWrap w:val="0"/>
                  <w:vAlign w:val="center"/>
                </w:tcPr>
                <w:p w14:paraId="4200AB7A">
                  <w:pPr>
                    <w:spacing w:line="0" w:lineRule="atLeast"/>
                    <w:jc w:val="center"/>
                    <w:rPr>
                      <w:rFonts w:hint="default" w:ascii="Times New Roman" w:hAnsi="Times New Roman" w:cs="Times New Roman"/>
                      <w:color w:val="auto"/>
                      <w:szCs w:val="21"/>
                      <w:highlight w:val="none"/>
                    </w:rPr>
                  </w:pPr>
                </w:p>
              </w:tc>
              <w:tc>
                <w:tcPr>
                  <w:tcW w:w="522" w:type="pct"/>
                  <w:vMerge w:val="continue"/>
                  <w:tcBorders>
                    <w:tl2br w:val="nil"/>
                    <w:tr2bl w:val="nil"/>
                  </w:tcBorders>
                  <w:noWrap w:val="0"/>
                  <w:vAlign w:val="center"/>
                </w:tcPr>
                <w:p w14:paraId="0CD1DBBA">
                  <w:pPr>
                    <w:spacing w:line="0" w:lineRule="atLeast"/>
                    <w:jc w:val="center"/>
                    <w:rPr>
                      <w:rFonts w:hint="default" w:ascii="Times New Roman" w:hAnsi="Times New Roman" w:cs="Times New Roman"/>
                      <w:b/>
                      <w:color w:val="auto"/>
                      <w:szCs w:val="21"/>
                      <w:highlight w:val="none"/>
                    </w:rPr>
                  </w:pPr>
                </w:p>
              </w:tc>
              <w:tc>
                <w:tcPr>
                  <w:tcW w:w="490" w:type="pct"/>
                  <w:tcBorders>
                    <w:tl2br w:val="nil"/>
                    <w:tr2bl w:val="nil"/>
                  </w:tcBorders>
                  <w:noWrap w:val="0"/>
                  <w:vAlign w:val="center"/>
                </w:tcPr>
                <w:p w14:paraId="1B33915E">
                  <w:pPr>
                    <w:spacing w:line="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昼</w:t>
                  </w:r>
                </w:p>
              </w:tc>
              <w:tc>
                <w:tcPr>
                  <w:tcW w:w="571" w:type="pct"/>
                  <w:tcBorders>
                    <w:tl2br w:val="nil"/>
                    <w:tr2bl w:val="nil"/>
                  </w:tcBorders>
                  <w:noWrap w:val="0"/>
                  <w:vAlign w:val="center"/>
                </w:tcPr>
                <w:p w14:paraId="2697E79F">
                  <w:pPr>
                    <w:spacing w:line="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夜</w:t>
                  </w:r>
                </w:p>
              </w:tc>
              <w:tc>
                <w:tcPr>
                  <w:tcW w:w="659" w:type="pct"/>
                  <w:vMerge w:val="continue"/>
                  <w:tcBorders>
                    <w:tl2br w:val="nil"/>
                    <w:tr2bl w:val="nil"/>
                  </w:tcBorders>
                  <w:noWrap w:val="0"/>
                  <w:vAlign w:val="center"/>
                </w:tcPr>
                <w:p w14:paraId="28361A40">
                  <w:pPr>
                    <w:spacing w:line="0" w:lineRule="atLeast"/>
                    <w:jc w:val="center"/>
                    <w:rPr>
                      <w:rFonts w:hint="default" w:ascii="Times New Roman" w:hAnsi="Times New Roman" w:cs="Times New Roman"/>
                      <w:color w:val="auto"/>
                      <w:szCs w:val="21"/>
                      <w:highlight w:val="none"/>
                    </w:rPr>
                  </w:pPr>
                </w:p>
              </w:tc>
            </w:tr>
            <w:tr w14:paraId="2AAE3A8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4" w:type="pct"/>
                  <w:vMerge w:val="restart"/>
                  <w:tcBorders>
                    <w:tl2br w:val="nil"/>
                    <w:tr2bl w:val="nil"/>
                  </w:tcBorders>
                  <w:noWrap w:val="0"/>
                  <w:vAlign w:val="center"/>
                </w:tcPr>
                <w:p w14:paraId="6E6121D6">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厂界东</w:t>
                  </w:r>
                </w:p>
              </w:tc>
              <w:tc>
                <w:tcPr>
                  <w:tcW w:w="717" w:type="pct"/>
                  <w:tcBorders>
                    <w:tl2br w:val="nil"/>
                    <w:tr2bl w:val="nil"/>
                  </w:tcBorders>
                  <w:noWrap w:val="0"/>
                  <w:vAlign w:val="center"/>
                </w:tcPr>
                <w:p w14:paraId="458AD4F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水泵</w:t>
                  </w:r>
                </w:p>
              </w:tc>
              <w:tc>
                <w:tcPr>
                  <w:tcW w:w="508" w:type="pct"/>
                  <w:tcBorders>
                    <w:tl2br w:val="nil"/>
                    <w:tr2bl w:val="nil"/>
                  </w:tcBorders>
                  <w:noWrap w:val="0"/>
                  <w:vAlign w:val="center"/>
                </w:tcPr>
                <w:p w14:paraId="78D17DD0">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70</w:t>
                  </w:r>
                </w:p>
              </w:tc>
              <w:tc>
                <w:tcPr>
                  <w:tcW w:w="492" w:type="pct"/>
                  <w:tcBorders>
                    <w:tl2br w:val="nil"/>
                    <w:tr2bl w:val="nil"/>
                  </w:tcBorders>
                  <w:noWrap w:val="0"/>
                  <w:vAlign w:val="center"/>
                </w:tcPr>
                <w:p w14:paraId="53C22B2A">
                  <w:pPr>
                    <w:spacing w:line="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3</w:t>
                  </w:r>
                </w:p>
              </w:tc>
              <w:tc>
                <w:tcPr>
                  <w:tcW w:w="473" w:type="pct"/>
                  <w:tcBorders>
                    <w:tl2br w:val="nil"/>
                    <w:tr2bl w:val="nil"/>
                  </w:tcBorders>
                  <w:noWrap w:val="0"/>
                  <w:vAlign w:val="center"/>
                </w:tcPr>
                <w:p w14:paraId="55676EE1">
                  <w:pPr>
                    <w:spacing w:line="0" w:lineRule="atLeast"/>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7</w:t>
                  </w:r>
                </w:p>
              </w:tc>
              <w:tc>
                <w:tcPr>
                  <w:tcW w:w="522" w:type="pct"/>
                  <w:tcBorders>
                    <w:tl2br w:val="nil"/>
                    <w:tr2bl w:val="nil"/>
                  </w:tcBorders>
                  <w:noWrap w:val="0"/>
                  <w:vAlign w:val="center"/>
                </w:tcPr>
                <w:p w14:paraId="60EE3278">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41.1</w:t>
                  </w:r>
                </w:p>
              </w:tc>
              <w:tc>
                <w:tcPr>
                  <w:tcW w:w="490" w:type="pct"/>
                  <w:vMerge w:val="restart"/>
                  <w:tcBorders>
                    <w:tl2br w:val="nil"/>
                    <w:tr2bl w:val="nil"/>
                  </w:tcBorders>
                  <w:noWrap w:val="0"/>
                  <w:vAlign w:val="center"/>
                </w:tcPr>
                <w:p w14:paraId="3E6198F5">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w:t>
                  </w:r>
                </w:p>
              </w:tc>
              <w:tc>
                <w:tcPr>
                  <w:tcW w:w="571" w:type="pct"/>
                  <w:vMerge w:val="restart"/>
                  <w:tcBorders>
                    <w:tl2br w:val="nil"/>
                    <w:tr2bl w:val="nil"/>
                  </w:tcBorders>
                  <w:noWrap w:val="0"/>
                  <w:vAlign w:val="center"/>
                </w:tcPr>
                <w:p w14:paraId="5992968B">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w:t>
                  </w:r>
                </w:p>
              </w:tc>
              <w:tc>
                <w:tcPr>
                  <w:tcW w:w="659" w:type="pct"/>
                  <w:vMerge w:val="restart"/>
                  <w:tcBorders>
                    <w:tl2br w:val="nil"/>
                    <w:tr2bl w:val="nil"/>
                  </w:tcBorders>
                  <w:noWrap w:val="0"/>
                  <w:vAlign w:val="center"/>
                </w:tcPr>
                <w:p w14:paraId="38F3E049">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昼、夜均达标</w:t>
                  </w:r>
                </w:p>
              </w:tc>
            </w:tr>
            <w:tr w14:paraId="4C30108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4" w:type="pct"/>
                  <w:vMerge w:val="continue"/>
                  <w:tcBorders>
                    <w:tl2br w:val="nil"/>
                    <w:tr2bl w:val="nil"/>
                  </w:tcBorders>
                  <w:noWrap w:val="0"/>
                  <w:vAlign w:val="center"/>
                </w:tcPr>
                <w:p w14:paraId="36CAF23C">
                  <w:pPr>
                    <w:spacing w:line="0" w:lineRule="atLeast"/>
                    <w:jc w:val="center"/>
                    <w:rPr>
                      <w:rFonts w:hint="default" w:ascii="Times New Roman" w:hAnsi="Times New Roman" w:cs="Times New Roman"/>
                      <w:color w:val="auto"/>
                      <w:szCs w:val="21"/>
                      <w:highlight w:val="none"/>
                    </w:rPr>
                  </w:pPr>
                </w:p>
              </w:tc>
              <w:tc>
                <w:tcPr>
                  <w:tcW w:w="717" w:type="pct"/>
                  <w:tcBorders>
                    <w:tl2br w:val="nil"/>
                    <w:tr2bl w:val="nil"/>
                  </w:tcBorders>
                  <w:noWrap w:val="0"/>
                  <w:vAlign w:val="center"/>
                </w:tcPr>
                <w:p w14:paraId="7F1F5DBB">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电机</w:t>
                  </w:r>
                </w:p>
              </w:tc>
              <w:tc>
                <w:tcPr>
                  <w:tcW w:w="508" w:type="pct"/>
                  <w:tcBorders>
                    <w:tl2br w:val="nil"/>
                    <w:tr2bl w:val="nil"/>
                  </w:tcBorders>
                  <w:noWrap w:val="0"/>
                  <w:vAlign w:val="center"/>
                </w:tcPr>
                <w:p w14:paraId="1FB69E64">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65</w:t>
                  </w:r>
                </w:p>
              </w:tc>
              <w:tc>
                <w:tcPr>
                  <w:tcW w:w="492" w:type="pct"/>
                  <w:tcBorders>
                    <w:tl2br w:val="nil"/>
                    <w:tr2bl w:val="nil"/>
                  </w:tcBorders>
                  <w:noWrap w:val="0"/>
                  <w:vAlign w:val="center"/>
                </w:tcPr>
                <w:p w14:paraId="278E46E6">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473" w:type="pct"/>
                  <w:tcBorders>
                    <w:tl2br w:val="nil"/>
                    <w:tr2bl w:val="nil"/>
                  </w:tcBorders>
                  <w:noWrap w:val="0"/>
                  <w:vAlign w:val="center"/>
                </w:tcPr>
                <w:p w14:paraId="7B2AB3EC">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lang w:val="en-US" w:eastAsia="zh-CN"/>
                    </w:rPr>
                    <w:t>9</w:t>
                  </w:r>
                </w:p>
              </w:tc>
              <w:tc>
                <w:tcPr>
                  <w:tcW w:w="522" w:type="pct"/>
                  <w:tcBorders>
                    <w:tl2br w:val="nil"/>
                    <w:tr2bl w:val="nil"/>
                  </w:tcBorders>
                  <w:noWrap w:val="0"/>
                  <w:vAlign w:val="center"/>
                </w:tcPr>
                <w:p w14:paraId="76541B2E">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39.7</w:t>
                  </w:r>
                </w:p>
              </w:tc>
              <w:tc>
                <w:tcPr>
                  <w:tcW w:w="490" w:type="pct"/>
                  <w:vMerge w:val="continue"/>
                  <w:tcBorders>
                    <w:tl2br w:val="nil"/>
                    <w:tr2bl w:val="nil"/>
                  </w:tcBorders>
                  <w:noWrap w:val="0"/>
                  <w:vAlign w:val="center"/>
                </w:tcPr>
                <w:p w14:paraId="71B42DA2">
                  <w:pPr>
                    <w:spacing w:line="0" w:lineRule="atLeast"/>
                    <w:jc w:val="center"/>
                    <w:rPr>
                      <w:rFonts w:hint="default" w:ascii="Times New Roman" w:hAnsi="Times New Roman" w:cs="Times New Roman"/>
                      <w:color w:val="auto"/>
                      <w:szCs w:val="21"/>
                      <w:highlight w:val="none"/>
                    </w:rPr>
                  </w:pPr>
                </w:p>
              </w:tc>
              <w:tc>
                <w:tcPr>
                  <w:tcW w:w="571" w:type="pct"/>
                  <w:vMerge w:val="continue"/>
                  <w:tcBorders>
                    <w:tl2br w:val="nil"/>
                    <w:tr2bl w:val="nil"/>
                  </w:tcBorders>
                  <w:noWrap w:val="0"/>
                  <w:vAlign w:val="center"/>
                </w:tcPr>
                <w:p w14:paraId="32F45D6F">
                  <w:pPr>
                    <w:spacing w:line="0" w:lineRule="atLeast"/>
                    <w:jc w:val="center"/>
                    <w:rPr>
                      <w:rFonts w:hint="default" w:ascii="Times New Roman" w:hAnsi="Times New Roman" w:cs="Times New Roman"/>
                      <w:color w:val="auto"/>
                      <w:szCs w:val="21"/>
                      <w:highlight w:val="none"/>
                    </w:rPr>
                  </w:pPr>
                </w:p>
              </w:tc>
              <w:tc>
                <w:tcPr>
                  <w:tcW w:w="659" w:type="pct"/>
                  <w:vMerge w:val="continue"/>
                  <w:tcBorders>
                    <w:tl2br w:val="nil"/>
                    <w:tr2bl w:val="nil"/>
                  </w:tcBorders>
                  <w:noWrap w:val="0"/>
                  <w:vAlign w:val="center"/>
                </w:tcPr>
                <w:p w14:paraId="55884C72">
                  <w:pPr>
                    <w:spacing w:line="0" w:lineRule="atLeast"/>
                    <w:jc w:val="center"/>
                    <w:rPr>
                      <w:rFonts w:hint="default" w:ascii="Times New Roman" w:hAnsi="Times New Roman" w:cs="Times New Roman"/>
                      <w:color w:val="auto"/>
                      <w:szCs w:val="21"/>
                      <w:highlight w:val="none"/>
                    </w:rPr>
                  </w:pPr>
                </w:p>
              </w:tc>
            </w:tr>
            <w:tr w14:paraId="68ADEFE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4" w:type="pct"/>
                  <w:vMerge w:val="restart"/>
                  <w:tcBorders>
                    <w:tl2br w:val="nil"/>
                    <w:tr2bl w:val="nil"/>
                  </w:tcBorders>
                  <w:noWrap w:val="0"/>
                  <w:vAlign w:val="center"/>
                </w:tcPr>
                <w:p w14:paraId="4A1FD213">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厂界南</w:t>
                  </w:r>
                </w:p>
              </w:tc>
              <w:tc>
                <w:tcPr>
                  <w:tcW w:w="717" w:type="pct"/>
                  <w:tcBorders>
                    <w:tl2br w:val="nil"/>
                    <w:tr2bl w:val="nil"/>
                  </w:tcBorders>
                  <w:noWrap w:val="0"/>
                  <w:vAlign w:val="center"/>
                </w:tcPr>
                <w:p w14:paraId="7151B7F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水泵</w:t>
                  </w:r>
                </w:p>
              </w:tc>
              <w:tc>
                <w:tcPr>
                  <w:tcW w:w="508" w:type="pct"/>
                  <w:tcBorders>
                    <w:tl2br w:val="nil"/>
                    <w:tr2bl w:val="nil"/>
                  </w:tcBorders>
                  <w:noWrap w:val="0"/>
                  <w:vAlign w:val="center"/>
                </w:tcPr>
                <w:p w14:paraId="6A32D828">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70</w:t>
                  </w:r>
                </w:p>
              </w:tc>
              <w:tc>
                <w:tcPr>
                  <w:tcW w:w="492" w:type="pct"/>
                  <w:tcBorders>
                    <w:tl2br w:val="nil"/>
                    <w:tr2bl w:val="nil"/>
                  </w:tcBorders>
                  <w:noWrap w:val="0"/>
                  <w:vAlign w:val="center"/>
                </w:tcPr>
                <w:p w14:paraId="3CBB24BC">
                  <w:pPr>
                    <w:spacing w:line="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3</w:t>
                  </w:r>
                </w:p>
              </w:tc>
              <w:tc>
                <w:tcPr>
                  <w:tcW w:w="473" w:type="pct"/>
                  <w:tcBorders>
                    <w:tl2br w:val="nil"/>
                    <w:tr2bl w:val="nil"/>
                  </w:tcBorders>
                  <w:noWrap w:val="0"/>
                  <w:vAlign w:val="center"/>
                </w:tcPr>
                <w:p w14:paraId="3AC88FED">
                  <w:pPr>
                    <w:spacing w:line="0" w:lineRule="atLeast"/>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lang w:val="en-US" w:eastAsia="zh-CN"/>
                    </w:rPr>
                    <w:t>4</w:t>
                  </w:r>
                </w:p>
              </w:tc>
              <w:tc>
                <w:tcPr>
                  <w:tcW w:w="522" w:type="pct"/>
                  <w:tcBorders>
                    <w:tl2br w:val="nil"/>
                    <w:tr2bl w:val="nil"/>
                  </w:tcBorders>
                  <w:noWrap w:val="0"/>
                  <w:vAlign w:val="center"/>
                </w:tcPr>
                <w:p w14:paraId="46365B92">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44.8</w:t>
                  </w:r>
                </w:p>
              </w:tc>
              <w:tc>
                <w:tcPr>
                  <w:tcW w:w="490" w:type="pct"/>
                  <w:vMerge w:val="continue"/>
                  <w:tcBorders>
                    <w:tl2br w:val="nil"/>
                    <w:tr2bl w:val="nil"/>
                  </w:tcBorders>
                  <w:noWrap w:val="0"/>
                  <w:vAlign w:val="center"/>
                </w:tcPr>
                <w:p w14:paraId="177F09C6">
                  <w:pPr>
                    <w:spacing w:line="0" w:lineRule="atLeast"/>
                    <w:jc w:val="center"/>
                    <w:rPr>
                      <w:rFonts w:hint="default" w:ascii="Times New Roman" w:hAnsi="Times New Roman" w:cs="Times New Roman"/>
                      <w:color w:val="auto"/>
                      <w:szCs w:val="21"/>
                      <w:highlight w:val="none"/>
                    </w:rPr>
                  </w:pPr>
                </w:p>
              </w:tc>
              <w:tc>
                <w:tcPr>
                  <w:tcW w:w="571" w:type="pct"/>
                  <w:vMerge w:val="continue"/>
                  <w:tcBorders>
                    <w:tl2br w:val="nil"/>
                    <w:tr2bl w:val="nil"/>
                  </w:tcBorders>
                  <w:noWrap w:val="0"/>
                  <w:vAlign w:val="center"/>
                </w:tcPr>
                <w:p w14:paraId="6ED3D8AF">
                  <w:pPr>
                    <w:spacing w:line="0" w:lineRule="atLeast"/>
                    <w:jc w:val="center"/>
                    <w:rPr>
                      <w:rFonts w:hint="default" w:ascii="Times New Roman" w:hAnsi="Times New Roman" w:cs="Times New Roman"/>
                      <w:color w:val="auto"/>
                      <w:szCs w:val="21"/>
                      <w:highlight w:val="none"/>
                    </w:rPr>
                  </w:pPr>
                </w:p>
              </w:tc>
              <w:tc>
                <w:tcPr>
                  <w:tcW w:w="659" w:type="pct"/>
                  <w:vMerge w:val="continue"/>
                  <w:tcBorders>
                    <w:tl2br w:val="nil"/>
                    <w:tr2bl w:val="nil"/>
                  </w:tcBorders>
                  <w:noWrap w:val="0"/>
                  <w:vAlign w:val="center"/>
                </w:tcPr>
                <w:p w14:paraId="602CA848">
                  <w:pPr>
                    <w:spacing w:line="0" w:lineRule="atLeast"/>
                    <w:jc w:val="center"/>
                    <w:rPr>
                      <w:rFonts w:hint="default" w:ascii="Times New Roman" w:hAnsi="Times New Roman" w:cs="Times New Roman"/>
                      <w:color w:val="auto"/>
                      <w:szCs w:val="21"/>
                      <w:highlight w:val="none"/>
                    </w:rPr>
                  </w:pPr>
                </w:p>
              </w:tc>
            </w:tr>
            <w:tr w14:paraId="02E48EC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4" w:type="pct"/>
                  <w:vMerge w:val="continue"/>
                  <w:tcBorders>
                    <w:tl2br w:val="nil"/>
                    <w:tr2bl w:val="nil"/>
                  </w:tcBorders>
                  <w:noWrap w:val="0"/>
                  <w:vAlign w:val="center"/>
                </w:tcPr>
                <w:p w14:paraId="494E59E1">
                  <w:pPr>
                    <w:spacing w:line="0" w:lineRule="atLeast"/>
                    <w:jc w:val="center"/>
                    <w:rPr>
                      <w:rFonts w:hint="default" w:ascii="Times New Roman" w:hAnsi="Times New Roman" w:cs="Times New Roman"/>
                      <w:color w:val="auto"/>
                      <w:szCs w:val="21"/>
                      <w:highlight w:val="none"/>
                    </w:rPr>
                  </w:pPr>
                </w:p>
              </w:tc>
              <w:tc>
                <w:tcPr>
                  <w:tcW w:w="717" w:type="pct"/>
                  <w:tcBorders>
                    <w:tl2br w:val="nil"/>
                    <w:tr2bl w:val="nil"/>
                  </w:tcBorders>
                  <w:noWrap w:val="0"/>
                  <w:vAlign w:val="center"/>
                </w:tcPr>
                <w:p w14:paraId="41D2A3C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电机</w:t>
                  </w:r>
                </w:p>
              </w:tc>
              <w:tc>
                <w:tcPr>
                  <w:tcW w:w="508" w:type="pct"/>
                  <w:tcBorders>
                    <w:tl2br w:val="nil"/>
                    <w:tr2bl w:val="nil"/>
                  </w:tcBorders>
                  <w:noWrap w:val="0"/>
                  <w:vAlign w:val="center"/>
                </w:tcPr>
                <w:p w14:paraId="4EBA1AE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65</w:t>
                  </w:r>
                </w:p>
              </w:tc>
              <w:tc>
                <w:tcPr>
                  <w:tcW w:w="492" w:type="pct"/>
                  <w:tcBorders>
                    <w:tl2br w:val="nil"/>
                    <w:tr2bl w:val="nil"/>
                  </w:tcBorders>
                  <w:noWrap w:val="0"/>
                  <w:vAlign w:val="center"/>
                </w:tcPr>
                <w:p w14:paraId="6AA1E06D">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473" w:type="pct"/>
                  <w:tcBorders>
                    <w:tl2br w:val="nil"/>
                    <w:tr2bl w:val="nil"/>
                  </w:tcBorders>
                  <w:noWrap w:val="0"/>
                  <w:vAlign w:val="center"/>
                </w:tcPr>
                <w:p w14:paraId="7D9304CC">
                  <w:pPr>
                    <w:spacing w:line="0" w:lineRule="atLeast"/>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8</w:t>
                  </w:r>
                </w:p>
              </w:tc>
              <w:tc>
                <w:tcPr>
                  <w:tcW w:w="522" w:type="pct"/>
                  <w:tcBorders>
                    <w:tl2br w:val="nil"/>
                    <w:tr2bl w:val="nil"/>
                  </w:tcBorders>
                  <w:noWrap w:val="0"/>
                  <w:vAlign w:val="center"/>
                </w:tcPr>
                <w:p w14:paraId="7CCC6EE3">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46.4</w:t>
                  </w:r>
                </w:p>
              </w:tc>
              <w:tc>
                <w:tcPr>
                  <w:tcW w:w="490" w:type="pct"/>
                  <w:vMerge w:val="continue"/>
                  <w:tcBorders>
                    <w:tl2br w:val="nil"/>
                    <w:tr2bl w:val="nil"/>
                  </w:tcBorders>
                  <w:noWrap w:val="0"/>
                  <w:vAlign w:val="center"/>
                </w:tcPr>
                <w:p w14:paraId="2CBD426C">
                  <w:pPr>
                    <w:spacing w:line="0" w:lineRule="atLeast"/>
                    <w:jc w:val="center"/>
                    <w:rPr>
                      <w:rFonts w:hint="default" w:ascii="Times New Roman" w:hAnsi="Times New Roman" w:cs="Times New Roman"/>
                      <w:color w:val="auto"/>
                      <w:szCs w:val="21"/>
                      <w:highlight w:val="none"/>
                    </w:rPr>
                  </w:pPr>
                </w:p>
              </w:tc>
              <w:tc>
                <w:tcPr>
                  <w:tcW w:w="571" w:type="pct"/>
                  <w:vMerge w:val="continue"/>
                  <w:tcBorders>
                    <w:tl2br w:val="nil"/>
                    <w:tr2bl w:val="nil"/>
                  </w:tcBorders>
                  <w:noWrap w:val="0"/>
                  <w:vAlign w:val="center"/>
                </w:tcPr>
                <w:p w14:paraId="407FB16E">
                  <w:pPr>
                    <w:spacing w:line="0" w:lineRule="atLeast"/>
                    <w:jc w:val="center"/>
                    <w:rPr>
                      <w:rFonts w:hint="default" w:ascii="Times New Roman" w:hAnsi="Times New Roman" w:cs="Times New Roman"/>
                      <w:color w:val="auto"/>
                      <w:szCs w:val="21"/>
                      <w:highlight w:val="none"/>
                    </w:rPr>
                  </w:pPr>
                </w:p>
              </w:tc>
              <w:tc>
                <w:tcPr>
                  <w:tcW w:w="659" w:type="pct"/>
                  <w:vMerge w:val="continue"/>
                  <w:tcBorders>
                    <w:tl2br w:val="nil"/>
                    <w:tr2bl w:val="nil"/>
                  </w:tcBorders>
                  <w:noWrap w:val="0"/>
                  <w:vAlign w:val="center"/>
                </w:tcPr>
                <w:p w14:paraId="7EA98291">
                  <w:pPr>
                    <w:spacing w:line="0" w:lineRule="atLeast"/>
                    <w:jc w:val="center"/>
                    <w:rPr>
                      <w:rFonts w:hint="default" w:ascii="Times New Roman" w:hAnsi="Times New Roman" w:cs="Times New Roman"/>
                      <w:color w:val="auto"/>
                      <w:szCs w:val="21"/>
                      <w:highlight w:val="none"/>
                    </w:rPr>
                  </w:pPr>
                </w:p>
              </w:tc>
            </w:tr>
            <w:tr w14:paraId="7B2CA7A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4" w:type="pct"/>
                  <w:vMerge w:val="restart"/>
                  <w:tcBorders>
                    <w:tl2br w:val="nil"/>
                    <w:tr2bl w:val="nil"/>
                  </w:tcBorders>
                  <w:noWrap w:val="0"/>
                  <w:vAlign w:val="center"/>
                </w:tcPr>
                <w:p w14:paraId="28B108FF">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厂界西</w:t>
                  </w:r>
                </w:p>
              </w:tc>
              <w:tc>
                <w:tcPr>
                  <w:tcW w:w="717" w:type="pct"/>
                  <w:tcBorders>
                    <w:tl2br w:val="nil"/>
                    <w:tr2bl w:val="nil"/>
                  </w:tcBorders>
                  <w:noWrap w:val="0"/>
                  <w:vAlign w:val="center"/>
                </w:tcPr>
                <w:p w14:paraId="68CDCA2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水泵</w:t>
                  </w:r>
                </w:p>
              </w:tc>
              <w:tc>
                <w:tcPr>
                  <w:tcW w:w="508" w:type="pct"/>
                  <w:tcBorders>
                    <w:tl2br w:val="nil"/>
                    <w:tr2bl w:val="nil"/>
                  </w:tcBorders>
                  <w:noWrap w:val="0"/>
                  <w:vAlign w:val="center"/>
                </w:tcPr>
                <w:p w14:paraId="40B1BA4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70</w:t>
                  </w:r>
                </w:p>
              </w:tc>
              <w:tc>
                <w:tcPr>
                  <w:tcW w:w="492" w:type="pct"/>
                  <w:tcBorders>
                    <w:tl2br w:val="nil"/>
                    <w:tr2bl w:val="nil"/>
                  </w:tcBorders>
                  <w:noWrap w:val="0"/>
                  <w:vAlign w:val="center"/>
                </w:tcPr>
                <w:p w14:paraId="5F424253">
                  <w:pPr>
                    <w:spacing w:line="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3</w:t>
                  </w:r>
                </w:p>
              </w:tc>
              <w:tc>
                <w:tcPr>
                  <w:tcW w:w="473" w:type="pct"/>
                  <w:tcBorders>
                    <w:tl2br w:val="nil"/>
                    <w:tr2bl w:val="nil"/>
                  </w:tcBorders>
                  <w:noWrap w:val="0"/>
                  <w:vAlign w:val="center"/>
                </w:tcPr>
                <w:p w14:paraId="1A58A22B">
                  <w:pPr>
                    <w:spacing w:line="0" w:lineRule="atLeast"/>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5</w:t>
                  </w:r>
                </w:p>
              </w:tc>
              <w:tc>
                <w:tcPr>
                  <w:tcW w:w="522" w:type="pct"/>
                  <w:tcBorders>
                    <w:tl2br w:val="nil"/>
                    <w:tr2bl w:val="nil"/>
                  </w:tcBorders>
                  <w:noWrap w:val="0"/>
                  <w:vAlign w:val="center"/>
                </w:tcPr>
                <w:p w14:paraId="0E2AB990">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48.7</w:t>
                  </w:r>
                </w:p>
              </w:tc>
              <w:tc>
                <w:tcPr>
                  <w:tcW w:w="490" w:type="pct"/>
                  <w:vMerge w:val="continue"/>
                  <w:tcBorders>
                    <w:tl2br w:val="nil"/>
                    <w:tr2bl w:val="nil"/>
                  </w:tcBorders>
                  <w:noWrap w:val="0"/>
                  <w:vAlign w:val="center"/>
                </w:tcPr>
                <w:p w14:paraId="741A2B4D">
                  <w:pPr>
                    <w:spacing w:line="0" w:lineRule="atLeast"/>
                    <w:jc w:val="center"/>
                    <w:rPr>
                      <w:rFonts w:hint="default" w:ascii="Times New Roman" w:hAnsi="Times New Roman" w:cs="Times New Roman"/>
                      <w:color w:val="auto"/>
                      <w:szCs w:val="21"/>
                      <w:highlight w:val="none"/>
                    </w:rPr>
                  </w:pPr>
                </w:p>
              </w:tc>
              <w:tc>
                <w:tcPr>
                  <w:tcW w:w="571" w:type="pct"/>
                  <w:vMerge w:val="continue"/>
                  <w:tcBorders>
                    <w:tl2br w:val="nil"/>
                    <w:tr2bl w:val="nil"/>
                  </w:tcBorders>
                  <w:noWrap w:val="0"/>
                  <w:vAlign w:val="center"/>
                </w:tcPr>
                <w:p w14:paraId="5E7615C8">
                  <w:pPr>
                    <w:spacing w:line="0" w:lineRule="atLeast"/>
                    <w:jc w:val="center"/>
                    <w:rPr>
                      <w:rFonts w:hint="default" w:ascii="Times New Roman" w:hAnsi="Times New Roman" w:cs="Times New Roman"/>
                      <w:color w:val="auto"/>
                      <w:szCs w:val="21"/>
                      <w:highlight w:val="none"/>
                    </w:rPr>
                  </w:pPr>
                </w:p>
              </w:tc>
              <w:tc>
                <w:tcPr>
                  <w:tcW w:w="659" w:type="pct"/>
                  <w:vMerge w:val="continue"/>
                  <w:tcBorders>
                    <w:tl2br w:val="nil"/>
                    <w:tr2bl w:val="nil"/>
                  </w:tcBorders>
                  <w:noWrap w:val="0"/>
                  <w:vAlign w:val="center"/>
                </w:tcPr>
                <w:p w14:paraId="75EED638">
                  <w:pPr>
                    <w:spacing w:line="0" w:lineRule="atLeast"/>
                    <w:jc w:val="center"/>
                    <w:rPr>
                      <w:rFonts w:hint="default" w:ascii="Times New Roman" w:hAnsi="Times New Roman" w:cs="Times New Roman"/>
                      <w:color w:val="auto"/>
                      <w:szCs w:val="21"/>
                      <w:highlight w:val="none"/>
                    </w:rPr>
                  </w:pPr>
                </w:p>
              </w:tc>
            </w:tr>
            <w:tr w14:paraId="19DDE0C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4" w:type="pct"/>
                  <w:vMerge w:val="continue"/>
                  <w:tcBorders>
                    <w:tl2br w:val="nil"/>
                    <w:tr2bl w:val="nil"/>
                  </w:tcBorders>
                  <w:noWrap w:val="0"/>
                  <w:vAlign w:val="center"/>
                </w:tcPr>
                <w:p w14:paraId="3A08DF3F">
                  <w:pPr>
                    <w:spacing w:line="0" w:lineRule="atLeast"/>
                    <w:jc w:val="center"/>
                    <w:rPr>
                      <w:rFonts w:hint="default" w:ascii="Times New Roman" w:hAnsi="Times New Roman" w:cs="Times New Roman"/>
                      <w:color w:val="auto"/>
                      <w:szCs w:val="21"/>
                      <w:highlight w:val="none"/>
                    </w:rPr>
                  </w:pPr>
                </w:p>
              </w:tc>
              <w:tc>
                <w:tcPr>
                  <w:tcW w:w="717" w:type="pct"/>
                  <w:tcBorders>
                    <w:tl2br w:val="nil"/>
                    <w:tr2bl w:val="nil"/>
                  </w:tcBorders>
                  <w:noWrap w:val="0"/>
                  <w:vAlign w:val="center"/>
                </w:tcPr>
                <w:p w14:paraId="6366B0B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电机</w:t>
                  </w:r>
                </w:p>
              </w:tc>
              <w:tc>
                <w:tcPr>
                  <w:tcW w:w="508" w:type="pct"/>
                  <w:tcBorders>
                    <w:tl2br w:val="nil"/>
                    <w:tr2bl w:val="nil"/>
                  </w:tcBorders>
                  <w:noWrap w:val="0"/>
                  <w:vAlign w:val="center"/>
                </w:tcPr>
                <w:p w14:paraId="5E79369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65</w:t>
                  </w:r>
                </w:p>
              </w:tc>
              <w:tc>
                <w:tcPr>
                  <w:tcW w:w="492" w:type="pct"/>
                  <w:tcBorders>
                    <w:tl2br w:val="nil"/>
                    <w:tr2bl w:val="nil"/>
                  </w:tcBorders>
                  <w:noWrap w:val="0"/>
                  <w:vAlign w:val="center"/>
                </w:tcPr>
                <w:p w14:paraId="64C4F4D8">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473" w:type="pct"/>
                  <w:tcBorders>
                    <w:tl2br w:val="nil"/>
                    <w:tr2bl w:val="nil"/>
                  </w:tcBorders>
                  <w:noWrap w:val="0"/>
                  <w:vAlign w:val="center"/>
                </w:tcPr>
                <w:p w14:paraId="2BFE0E9D">
                  <w:pPr>
                    <w:spacing w:line="0" w:lineRule="atLeast"/>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6</w:t>
                  </w:r>
                </w:p>
              </w:tc>
              <w:tc>
                <w:tcPr>
                  <w:tcW w:w="522" w:type="pct"/>
                  <w:tcBorders>
                    <w:tl2br w:val="nil"/>
                    <w:tr2bl w:val="nil"/>
                  </w:tcBorders>
                  <w:noWrap w:val="0"/>
                  <w:vAlign w:val="center"/>
                </w:tcPr>
                <w:p w14:paraId="0F3FA744">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41.3</w:t>
                  </w:r>
                </w:p>
              </w:tc>
              <w:tc>
                <w:tcPr>
                  <w:tcW w:w="490" w:type="pct"/>
                  <w:vMerge w:val="continue"/>
                  <w:tcBorders>
                    <w:tl2br w:val="nil"/>
                    <w:tr2bl w:val="nil"/>
                  </w:tcBorders>
                  <w:noWrap w:val="0"/>
                  <w:vAlign w:val="center"/>
                </w:tcPr>
                <w:p w14:paraId="34E96878">
                  <w:pPr>
                    <w:spacing w:line="0" w:lineRule="atLeast"/>
                    <w:jc w:val="center"/>
                    <w:rPr>
                      <w:rFonts w:hint="default" w:ascii="Times New Roman" w:hAnsi="Times New Roman" w:cs="Times New Roman"/>
                      <w:color w:val="auto"/>
                      <w:szCs w:val="21"/>
                      <w:highlight w:val="none"/>
                    </w:rPr>
                  </w:pPr>
                </w:p>
              </w:tc>
              <w:tc>
                <w:tcPr>
                  <w:tcW w:w="571" w:type="pct"/>
                  <w:vMerge w:val="continue"/>
                  <w:tcBorders>
                    <w:tl2br w:val="nil"/>
                    <w:tr2bl w:val="nil"/>
                  </w:tcBorders>
                  <w:noWrap w:val="0"/>
                  <w:vAlign w:val="center"/>
                </w:tcPr>
                <w:p w14:paraId="62AECE6C">
                  <w:pPr>
                    <w:spacing w:line="0" w:lineRule="atLeast"/>
                    <w:jc w:val="center"/>
                    <w:rPr>
                      <w:rFonts w:hint="default" w:ascii="Times New Roman" w:hAnsi="Times New Roman" w:cs="Times New Roman"/>
                      <w:color w:val="auto"/>
                      <w:szCs w:val="21"/>
                      <w:highlight w:val="none"/>
                    </w:rPr>
                  </w:pPr>
                </w:p>
              </w:tc>
              <w:tc>
                <w:tcPr>
                  <w:tcW w:w="659" w:type="pct"/>
                  <w:vMerge w:val="continue"/>
                  <w:tcBorders>
                    <w:tl2br w:val="nil"/>
                    <w:tr2bl w:val="nil"/>
                  </w:tcBorders>
                  <w:noWrap w:val="0"/>
                  <w:vAlign w:val="center"/>
                </w:tcPr>
                <w:p w14:paraId="27DE270C">
                  <w:pPr>
                    <w:spacing w:line="0" w:lineRule="atLeast"/>
                    <w:jc w:val="center"/>
                    <w:rPr>
                      <w:rFonts w:hint="default" w:ascii="Times New Roman" w:hAnsi="Times New Roman" w:cs="Times New Roman"/>
                      <w:color w:val="auto"/>
                      <w:szCs w:val="21"/>
                      <w:highlight w:val="none"/>
                    </w:rPr>
                  </w:pPr>
                </w:p>
              </w:tc>
            </w:tr>
            <w:tr w14:paraId="47FA2BD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4" w:type="pct"/>
                  <w:vMerge w:val="restart"/>
                  <w:tcBorders>
                    <w:tl2br w:val="nil"/>
                    <w:tr2bl w:val="nil"/>
                  </w:tcBorders>
                  <w:noWrap w:val="0"/>
                  <w:vAlign w:val="center"/>
                </w:tcPr>
                <w:p w14:paraId="05635E34">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厂界北</w:t>
                  </w:r>
                </w:p>
              </w:tc>
              <w:tc>
                <w:tcPr>
                  <w:tcW w:w="717" w:type="pct"/>
                  <w:tcBorders>
                    <w:tl2br w:val="nil"/>
                    <w:tr2bl w:val="nil"/>
                  </w:tcBorders>
                  <w:noWrap w:val="0"/>
                  <w:vAlign w:val="center"/>
                </w:tcPr>
                <w:p w14:paraId="5B8939BC">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水泵</w:t>
                  </w:r>
                </w:p>
              </w:tc>
              <w:tc>
                <w:tcPr>
                  <w:tcW w:w="508" w:type="pct"/>
                  <w:tcBorders>
                    <w:tl2br w:val="nil"/>
                    <w:tr2bl w:val="nil"/>
                  </w:tcBorders>
                  <w:noWrap w:val="0"/>
                  <w:vAlign w:val="center"/>
                </w:tcPr>
                <w:p w14:paraId="62D508A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70</w:t>
                  </w:r>
                </w:p>
              </w:tc>
              <w:tc>
                <w:tcPr>
                  <w:tcW w:w="492" w:type="pct"/>
                  <w:tcBorders>
                    <w:tl2br w:val="nil"/>
                    <w:tr2bl w:val="nil"/>
                  </w:tcBorders>
                  <w:noWrap w:val="0"/>
                  <w:vAlign w:val="center"/>
                </w:tcPr>
                <w:p w14:paraId="127389A2">
                  <w:pPr>
                    <w:spacing w:line="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3</w:t>
                  </w:r>
                </w:p>
              </w:tc>
              <w:tc>
                <w:tcPr>
                  <w:tcW w:w="473" w:type="pct"/>
                  <w:tcBorders>
                    <w:tl2br w:val="nil"/>
                    <w:tr2bl w:val="nil"/>
                  </w:tcBorders>
                  <w:noWrap w:val="0"/>
                  <w:vAlign w:val="center"/>
                </w:tcPr>
                <w:p w14:paraId="403807E8">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lang w:val="en-US" w:eastAsia="zh-CN"/>
                    </w:rPr>
                    <w:t>0</w:t>
                  </w:r>
                </w:p>
              </w:tc>
              <w:tc>
                <w:tcPr>
                  <w:tcW w:w="522" w:type="pct"/>
                  <w:tcBorders>
                    <w:tl2br w:val="nil"/>
                    <w:tr2bl w:val="nil"/>
                  </w:tcBorders>
                  <w:noWrap w:val="0"/>
                  <w:vAlign w:val="center"/>
                </w:tcPr>
                <w:p w14:paraId="7B33A4F8">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49.6</w:t>
                  </w:r>
                </w:p>
              </w:tc>
              <w:tc>
                <w:tcPr>
                  <w:tcW w:w="490" w:type="pct"/>
                  <w:vMerge w:val="continue"/>
                  <w:tcBorders>
                    <w:tl2br w:val="nil"/>
                    <w:tr2bl w:val="nil"/>
                  </w:tcBorders>
                  <w:noWrap w:val="0"/>
                  <w:vAlign w:val="center"/>
                </w:tcPr>
                <w:p w14:paraId="21B2FCB6">
                  <w:pPr>
                    <w:spacing w:line="0" w:lineRule="atLeast"/>
                    <w:jc w:val="center"/>
                    <w:rPr>
                      <w:rFonts w:hint="default" w:ascii="Times New Roman" w:hAnsi="Times New Roman" w:cs="Times New Roman"/>
                      <w:color w:val="auto"/>
                      <w:szCs w:val="21"/>
                      <w:highlight w:val="none"/>
                    </w:rPr>
                  </w:pPr>
                </w:p>
              </w:tc>
              <w:tc>
                <w:tcPr>
                  <w:tcW w:w="571" w:type="pct"/>
                  <w:vMerge w:val="continue"/>
                  <w:tcBorders>
                    <w:tl2br w:val="nil"/>
                    <w:tr2bl w:val="nil"/>
                  </w:tcBorders>
                  <w:noWrap w:val="0"/>
                  <w:vAlign w:val="center"/>
                </w:tcPr>
                <w:p w14:paraId="7D3B8531">
                  <w:pPr>
                    <w:spacing w:line="0" w:lineRule="atLeast"/>
                    <w:jc w:val="center"/>
                    <w:rPr>
                      <w:rFonts w:hint="default" w:ascii="Times New Roman" w:hAnsi="Times New Roman" w:cs="Times New Roman"/>
                      <w:color w:val="auto"/>
                      <w:szCs w:val="21"/>
                      <w:highlight w:val="none"/>
                    </w:rPr>
                  </w:pPr>
                </w:p>
              </w:tc>
              <w:tc>
                <w:tcPr>
                  <w:tcW w:w="659" w:type="pct"/>
                  <w:vMerge w:val="continue"/>
                  <w:tcBorders>
                    <w:tl2br w:val="nil"/>
                    <w:tr2bl w:val="nil"/>
                  </w:tcBorders>
                  <w:noWrap w:val="0"/>
                  <w:vAlign w:val="center"/>
                </w:tcPr>
                <w:p w14:paraId="32432471">
                  <w:pPr>
                    <w:spacing w:line="0" w:lineRule="atLeast"/>
                    <w:jc w:val="center"/>
                    <w:rPr>
                      <w:rFonts w:hint="default" w:ascii="Times New Roman" w:hAnsi="Times New Roman" w:cs="Times New Roman"/>
                      <w:color w:val="auto"/>
                      <w:szCs w:val="21"/>
                      <w:highlight w:val="none"/>
                    </w:rPr>
                  </w:pPr>
                </w:p>
              </w:tc>
            </w:tr>
            <w:tr w14:paraId="75728AC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4" w:type="pct"/>
                  <w:vMerge w:val="continue"/>
                  <w:tcBorders>
                    <w:tl2br w:val="nil"/>
                    <w:tr2bl w:val="nil"/>
                  </w:tcBorders>
                  <w:noWrap w:val="0"/>
                  <w:vAlign w:val="center"/>
                </w:tcPr>
                <w:p w14:paraId="34F4F8B1">
                  <w:pPr>
                    <w:spacing w:line="0" w:lineRule="atLeast"/>
                    <w:jc w:val="center"/>
                    <w:rPr>
                      <w:rFonts w:hint="default" w:ascii="Times New Roman" w:hAnsi="Times New Roman" w:cs="Times New Roman"/>
                      <w:color w:val="auto"/>
                      <w:szCs w:val="21"/>
                      <w:highlight w:val="none"/>
                    </w:rPr>
                  </w:pPr>
                </w:p>
              </w:tc>
              <w:tc>
                <w:tcPr>
                  <w:tcW w:w="717" w:type="pct"/>
                  <w:tcBorders>
                    <w:tl2br w:val="nil"/>
                    <w:tr2bl w:val="nil"/>
                  </w:tcBorders>
                  <w:noWrap w:val="0"/>
                  <w:vAlign w:val="center"/>
                </w:tcPr>
                <w:p w14:paraId="2D9F3C5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电机</w:t>
                  </w:r>
                </w:p>
              </w:tc>
              <w:tc>
                <w:tcPr>
                  <w:tcW w:w="508" w:type="pct"/>
                  <w:tcBorders>
                    <w:tl2br w:val="nil"/>
                    <w:tr2bl w:val="nil"/>
                  </w:tcBorders>
                  <w:noWrap w:val="0"/>
                  <w:vAlign w:val="center"/>
                </w:tcPr>
                <w:p w14:paraId="6E7BC98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65</w:t>
                  </w:r>
                </w:p>
              </w:tc>
              <w:tc>
                <w:tcPr>
                  <w:tcW w:w="492" w:type="pct"/>
                  <w:tcBorders>
                    <w:tl2br w:val="nil"/>
                    <w:tr2bl w:val="nil"/>
                  </w:tcBorders>
                  <w:noWrap w:val="0"/>
                  <w:vAlign w:val="center"/>
                </w:tcPr>
                <w:p w14:paraId="646E58CD">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473" w:type="pct"/>
                  <w:tcBorders>
                    <w:tl2br w:val="nil"/>
                    <w:tr2bl w:val="nil"/>
                  </w:tcBorders>
                  <w:noWrap w:val="0"/>
                  <w:vAlign w:val="center"/>
                </w:tcPr>
                <w:p w14:paraId="0BCCCDDC">
                  <w:pPr>
                    <w:spacing w:line="0" w:lineRule="atLeast"/>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7</w:t>
                  </w:r>
                </w:p>
              </w:tc>
              <w:tc>
                <w:tcPr>
                  <w:tcW w:w="522" w:type="pct"/>
                  <w:tcBorders>
                    <w:tl2br w:val="nil"/>
                    <w:tr2bl w:val="nil"/>
                  </w:tcBorders>
                  <w:noWrap w:val="0"/>
                  <w:vAlign w:val="center"/>
                </w:tcPr>
                <w:p w14:paraId="43EB858D">
                  <w:pPr>
                    <w:spacing w:line="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44.9</w:t>
                  </w:r>
                </w:p>
              </w:tc>
              <w:tc>
                <w:tcPr>
                  <w:tcW w:w="490" w:type="pct"/>
                  <w:vMerge w:val="continue"/>
                  <w:tcBorders>
                    <w:tl2br w:val="nil"/>
                    <w:tr2bl w:val="nil"/>
                  </w:tcBorders>
                  <w:noWrap w:val="0"/>
                  <w:vAlign w:val="center"/>
                </w:tcPr>
                <w:p w14:paraId="3C7016A4">
                  <w:pPr>
                    <w:spacing w:line="0" w:lineRule="atLeast"/>
                    <w:jc w:val="center"/>
                    <w:rPr>
                      <w:rFonts w:hint="default" w:ascii="Times New Roman" w:hAnsi="Times New Roman" w:cs="Times New Roman"/>
                      <w:color w:val="auto"/>
                      <w:szCs w:val="21"/>
                      <w:highlight w:val="none"/>
                    </w:rPr>
                  </w:pPr>
                </w:p>
              </w:tc>
              <w:tc>
                <w:tcPr>
                  <w:tcW w:w="571" w:type="pct"/>
                  <w:vMerge w:val="continue"/>
                  <w:tcBorders>
                    <w:tl2br w:val="nil"/>
                    <w:tr2bl w:val="nil"/>
                  </w:tcBorders>
                  <w:noWrap w:val="0"/>
                  <w:vAlign w:val="center"/>
                </w:tcPr>
                <w:p w14:paraId="48A3A463">
                  <w:pPr>
                    <w:spacing w:line="0" w:lineRule="atLeast"/>
                    <w:jc w:val="center"/>
                    <w:rPr>
                      <w:rFonts w:hint="default" w:ascii="Times New Roman" w:hAnsi="Times New Roman" w:cs="Times New Roman"/>
                      <w:color w:val="auto"/>
                      <w:szCs w:val="21"/>
                      <w:highlight w:val="none"/>
                    </w:rPr>
                  </w:pPr>
                </w:p>
              </w:tc>
              <w:tc>
                <w:tcPr>
                  <w:tcW w:w="659" w:type="pct"/>
                  <w:vMerge w:val="continue"/>
                  <w:tcBorders>
                    <w:tl2br w:val="nil"/>
                    <w:tr2bl w:val="nil"/>
                  </w:tcBorders>
                  <w:noWrap w:val="0"/>
                  <w:vAlign w:val="center"/>
                </w:tcPr>
                <w:p w14:paraId="4B27E28A">
                  <w:pPr>
                    <w:spacing w:line="0" w:lineRule="atLeast"/>
                    <w:jc w:val="center"/>
                    <w:rPr>
                      <w:rFonts w:hint="default" w:ascii="Times New Roman" w:hAnsi="Times New Roman" w:cs="Times New Roman"/>
                      <w:color w:val="auto"/>
                      <w:szCs w:val="21"/>
                      <w:highlight w:val="none"/>
                    </w:rPr>
                  </w:pPr>
                </w:p>
              </w:tc>
            </w:tr>
          </w:tbl>
          <w:p w14:paraId="0E5D8457">
            <w:pPr>
              <w:pStyle w:val="58"/>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highlight w:val="none"/>
              </w:rPr>
              <w:t>由上表预测结果可知：本项目东、南、西、北厂界昼、夜噪声均满足《工业企业厂界环境噪声排放标准》</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GB12348-2008）2类标准要求</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水泵、</w:t>
            </w:r>
            <w:r>
              <w:rPr>
                <w:rFonts w:hint="default" w:ascii="Times New Roman" w:hAnsi="Times New Roman" w:cs="Times New Roman"/>
                <w:color w:val="auto"/>
                <w:sz w:val="24"/>
                <w:highlight w:val="none"/>
                <w:lang w:val="en-US" w:eastAsia="zh-CN"/>
              </w:rPr>
              <w:t>电机</w:t>
            </w:r>
            <w:r>
              <w:rPr>
                <w:rFonts w:hint="default" w:ascii="Times New Roman" w:hAnsi="Times New Roman" w:cs="Times New Roman"/>
                <w:color w:val="auto"/>
                <w:sz w:val="24"/>
                <w:szCs w:val="24"/>
                <w:highlight w:val="none"/>
                <w:lang w:eastAsia="zh-CN"/>
              </w:rPr>
              <w:t>位于</w:t>
            </w:r>
            <w:r>
              <w:rPr>
                <w:rFonts w:hint="default" w:ascii="Times New Roman" w:hAnsi="Times New Roman" w:cs="Times New Roman"/>
                <w:color w:val="auto"/>
                <w:sz w:val="24"/>
                <w:szCs w:val="24"/>
                <w:highlight w:val="none"/>
                <w:lang w:val="en-US" w:eastAsia="zh-CN"/>
              </w:rPr>
              <w:t>室内</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highlight w:val="none"/>
              </w:rPr>
              <w:t>经</w:t>
            </w:r>
            <w:r>
              <w:rPr>
                <w:rFonts w:hint="default" w:ascii="Times New Roman" w:hAnsi="Times New Roman" w:cs="Times New Roman"/>
                <w:color w:val="auto"/>
                <w:sz w:val="24"/>
                <w:szCs w:val="24"/>
                <w:highlight w:val="none"/>
                <w:lang w:eastAsia="zh-CN"/>
              </w:rPr>
              <w:t>选用低噪声设备</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设置减震基础、减震垫等措施及墙</w:t>
            </w:r>
            <w:r>
              <w:rPr>
                <w:rFonts w:hint="default" w:ascii="Times New Roman" w:hAnsi="Times New Roman" w:cs="Times New Roman"/>
                <w:color w:val="auto"/>
                <w:sz w:val="24"/>
                <w:highlight w:val="none"/>
                <w:lang w:val="en-US" w:eastAsia="zh-CN"/>
              </w:rPr>
              <w:t>体</w:t>
            </w:r>
            <w:r>
              <w:rPr>
                <w:rFonts w:hint="default" w:ascii="Times New Roman" w:hAnsi="Times New Roman" w:cs="Times New Roman"/>
                <w:color w:val="auto"/>
                <w:sz w:val="24"/>
                <w:highlight w:val="none"/>
              </w:rPr>
              <w:t>隔声和距离衰减后，</w:t>
            </w:r>
            <w:r>
              <w:rPr>
                <w:rFonts w:hint="default" w:ascii="Times New Roman" w:hAnsi="Times New Roman" w:cs="Times New Roman"/>
                <w:color w:val="auto"/>
                <w:sz w:val="24"/>
                <w:highlight w:val="none"/>
                <w:lang w:val="en-US" w:eastAsia="zh-CN"/>
              </w:rPr>
              <w:t>对周</w:t>
            </w:r>
            <w:r>
              <w:rPr>
                <w:rFonts w:hint="default" w:ascii="Times New Roman" w:hAnsi="Times New Roman" w:eastAsia="宋体" w:cs="Times New Roman"/>
                <w:color w:val="auto"/>
                <w:sz w:val="24"/>
                <w:szCs w:val="24"/>
                <w:highlight w:val="none"/>
                <w:lang w:val="en-US" w:eastAsia="zh-CN"/>
              </w:rPr>
              <w:t>围环境影响不大</w:t>
            </w:r>
            <w:r>
              <w:rPr>
                <w:rFonts w:hint="default" w:ascii="Times New Roman" w:hAnsi="Times New Roman" w:eastAsia="宋体" w:cs="Times New Roman"/>
                <w:color w:val="auto"/>
                <w:sz w:val="24"/>
                <w:szCs w:val="24"/>
                <w:highlight w:val="none"/>
                <w:lang w:eastAsia="zh-CN"/>
              </w:rPr>
              <w:t>。</w:t>
            </w:r>
          </w:p>
          <w:p w14:paraId="3FEA7097">
            <w:pPr>
              <w:pStyle w:val="58"/>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根据现场调查，</w:t>
            </w:r>
            <w:r>
              <w:rPr>
                <w:rFonts w:hint="default" w:ascii="Times New Roman" w:hAnsi="Times New Roman" w:eastAsia="宋体" w:cs="Times New Roman"/>
                <w:color w:val="auto"/>
                <w:sz w:val="24"/>
                <w:szCs w:val="24"/>
                <w:highlight w:val="none"/>
                <w:lang w:val="en-US" w:eastAsia="zh-CN"/>
              </w:rPr>
              <w:t>泵站</w:t>
            </w:r>
            <w:r>
              <w:rPr>
                <w:rFonts w:hint="eastAsia" w:ascii="Times New Roman" w:hAnsi="Times New Roman" w:eastAsia="宋体" w:cs="Times New Roman"/>
                <w:color w:val="auto"/>
                <w:sz w:val="24"/>
                <w:szCs w:val="24"/>
                <w:highlight w:val="none"/>
                <w:lang w:val="en-US" w:eastAsia="zh-CN"/>
              </w:rPr>
              <w:t>外15</w:t>
            </w:r>
            <w:r>
              <w:rPr>
                <w:rFonts w:hint="default"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lang w:val="en-US" w:eastAsia="zh-CN"/>
              </w:rPr>
              <w:t>处为</w:t>
            </w:r>
            <w:r>
              <w:rPr>
                <w:rFonts w:hint="default" w:ascii="Times New Roman" w:hAnsi="Times New Roman" w:eastAsia="宋体" w:cs="Times New Roman"/>
                <w:color w:val="auto"/>
                <w:sz w:val="24"/>
                <w:szCs w:val="24"/>
                <w:highlight w:val="none"/>
                <w:lang w:val="en-US" w:eastAsia="zh-CN"/>
              </w:rPr>
              <w:t>环境敏感点</w:t>
            </w:r>
            <w:r>
              <w:rPr>
                <w:rFonts w:hint="eastAsia" w:ascii="Times New Roman" w:hAnsi="Times New Roman" w:eastAsia="宋体" w:cs="Times New Roman"/>
                <w:color w:val="auto"/>
                <w:sz w:val="24"/>
                <w:szCs w:val="24"/>
                <w:highlight w:val="none"/>
                <w:lang w:val="en-US" w:eastAsia="zh-CN"/>
              </w:rPr>
              <w:t>好义村。根据预测，</w:t>
            </w:r>
            <w:r>
              <w:rPr>
                <w:rFonts w:hint="default" w:ascii="Times New Roman" w:hAnsi="Times New Roman" w:eastAsia="宋体" w:cs="Times New Roman"/>
                <w:color w:val="auto"/>
                <w:sz w:val="24"/>
                <w:szCs w:val="24"/>
                <w:highlight w:val="none"/>
                <w:lang w:eastAsia="zh-CN"/>
              </w:rPr>
              <w:t>噪声从厂界向外传播 15m，叠加地面农田、灌丛、民居围墙 / 建筑遮挡、空气吸收多重衰减。厂界最大贡献 49</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CN"/>
              </w:rPr>
              <w:t xml:space="preserve">dB </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A</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 xml:space="preserve"> 为厂界点位瞬时峰值，向外扩散至村庄住宅室外，噪声可进一步衰减 3~6dB </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A</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 xml:space="preserve">，村庄室外噪声贡献值约 43~46dB </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A</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 xml:space="preserve">；建筑墙体隔声量普遍可达 15~25dB </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A</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，室内噪声水平更低。</w:t>
            </w:r>
            <w:r>
              <w:rPr>
                <w:rFonts w:hint="eastAsia" w:ascii="Times New Roman" w:hAnsi="Times New Roman" w:eastAsia="宋体" w:cs="Times New Roman"/>
                <w:color w:val="auto"/>
                <w:sz w:val="24"/>
                <w:szCs w:val="24"/>
                <w:highlight w:val="none"/>
                <w:lang w:val="en-US" w:eastAsia="zh-CN"/>
              </w:rPr>
              <w:t>因此，</w:t>
            </w:r>
            <w:r>
              <w:rPr>
                <w:rFonts w:ascii="宋体" w:hAnsi="宋体" w:eastAsia="宋体" w:cs="宋体"/>
                <w:sz w:val="24"/>
                <w:szCs w:val="24"/>
              </w:rPr>
              <w:t>泵站间歇运行状态下，15m 村庄室外噪声贡献达标，对村民生活、农事无明显不利影响</w:t>
            </w:r>
            <w:r>
              <w:rPr>
                <w:rFonts w:hint="eastAsia" w:ascii="宋体" w:hAnsi="宋体" w:eastAsia="宋体" w:cs="宋体"/>
                <w:sz w:val="24"/>
                <w:szCs w:val="24"/>
                <w:lang w:eastAsia="zh-CN"/>
              </w:rPr>
              <w:t>。</w:t>
            </w:r>
          </w:p>
          <w:p w14:paraId="70F5C830">
            <w:pPr>
              <w:keepNext w:val="0"/>
              <w:keepLines w:val="0"/>
              <w:pageBreakBefore w:val="0"/>
              <w:widowControl w:val="0"/>
              <w:kinsoku/>
              <w:wordWrap/>
              <w:overflowPunct/>
              <w:topLinePunct w:val="0"/>
              <w:autoSpaceDE/>
              <w:autoSpaceDN/>
              <w:bidi w:val="0"/>
              <w:adjustRightInd/>
              <w:snapToGrid w:val="0"/>
              <w:spacing w:before="157" w:beforeLines="50" w:line="360" w:lineRule="auto"/>
              <w:jc w:val="left"/>
              <w:textAlignment w:val="auto"/>
              <w:rPr>
                <w:rFonts w:hint="default" w:ascii="Times New Roman" w:hAnsi="Times New Roman" w:cs="Times New Roman"/>
                <w:bCs/>
                <w:color w:val="auto"/>
                <w:kern w:val="0"/>
                <w:sz w:val="24"/>
                <w:highlight w:val="none"/>
                <w:lang w:val="en-US" w:eastAsia="zh-CN"/>
              </w:rPr>
            </w:pPr>
            <w:r>
              <w:rPr>
                <w:rFonts w:hint="default" w:ascii="Times New Roman" w:hAnsi="Times New Roman" w:cs="Times New Roman"/>
                <w:b/>
                <w:bCs/>
                <w:color w:val="auto"/>
                <w:kern w:val="0"/>
                <w:sz w:val="24"/>
                <w:highlight w:val="none"/>
                <w:lang w:val="en-US" w:eastAsia="zh-CN"/>
              </w:rPr>
              <w:t>2.2</w:t>
            </w:r>
            <w:r>
              <w:rPr>
                <w:rFonts w:hint="default" w:ascii="Times New Roman" w:hAnsi="Times New Roman" w:cs="Times New Roman"/>
                <w:b/>
                <w:bCs/>
                <w:color w:val="auto"/>
                <w:kern w:val="0"/>
                <w:sz w:val="24"/>
                <w:highlight w:val="none"/>
                <w:lang w:eastAsia="zh-CN"/>
              </w:rPr>
              <w:t>运营期</w:t>
            </w:r>
            <w:r>
              <w:rPr>
                <w:rFonts w:hint="default" w:ascii="Times New Roman" w:hAnsi="Times New Roman" w:cs="Times New Roman"/>
                <w:b/>
                <w:bCs/>
                <w:color w:val="auto"/>
                <w:kern w:val="0"/>
                <w:sz w:val="24"/>
                <w:highlight w:val="none"/>
                <w:lang w:val="en-US" w:eastAsia="zh-CN"/>
              </w:rPr>
              <w:t>固废</w:t>
            </w:r>
            <w:r>
              <w:rPr>
                <w:rFonts w:hint="default" w:ascii="Times New Roman" w:hAnsi="Times New Roman" w:cs="Times New Roman"/>
                <w:b/>
                <w:bCs/>
                <w:color w:val="auto"/>
                <w:kern w:val="0"/>
                <w:sz w:val="24"/>
                <w:highlight w:val="none"/>
              </w:rPr>
              <w:t>环境影响</w:t>
            </w:r>
            <w:r>
              <w:rPr>
                <w:rFonts w:hint="default" w:ascii="Times New Roman" w:hAnsi="Times New Roman" w:cs="Times New Roman"/>
                <w:b/>
                <w:bCs/>
                <w:color w:val="auto"/>
                <w:kern w:val="0"/>
                <w:sz w:val="24"/>
                <w:highlight w:val="none"/>
                <w:lang w:val="en-US" w:eastAsia="zh-CN"/>
              </w:rPr>
              <w:t>分析</w:t>
            </w:r>
          </w:p>
          <w:p w14:paraId="1956A21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eastAsia" w:ascii="Times New Roman" w:hAnsi="Times New Roman" w:cs="Times New Roman"/>
                <w:color w:val="auto"/>
                <w:sz w:val="24"/>
                <w:highlight w:val="none"/>
                <w:lang w:val="en-US" w:eastAsia="zh-CN"/>
              </w:rPr>
              <w:t>工程运行过程中，</w:t>
            </w:r>
            <w:r>
              <w:rPr>
                <w:rFonts w:hint="default" w:ascii="Times New Roman" w:hAnsi="Times New Roman" w:eastAsia="宋体" w:cs="Times New Roman"/>
                <w:color w:val="auto"/>
                <w:sz w:val="24"/>
                <w:highlight w:val="none"/>
                <w:lang w:val="en-US" w:eastAsia="zh-CN"/>
              </w:rPr>
              <w:t>管线、闸站等检修过程中可能产生少量更换零件等固废，经统一收集后做一般固废处理，不外排</w:t>
            </w:r>
            <w:r>
              <w:rPr>
                <w:rFonts w:hint="eastAsia" w:ascii="Times New Roman" w:hAnsi="Times New Roman" w:cs="Times New Roman"/>
                <w:color w:val="auto"/>
                <w:sz w:val="24"/>
                <w:highlight w:val="none"/>
                <w:lang w:val="en-US" w:eastAsia="zh-CN"/>
              </w:rPr>
              <w:t>；</w:t>
            </w:r>
            <w:r>
              <w:rPr>
                <w:rFonts w:hint="eastAsia" w:cs="Times New Roman"/>
                <w:b w:val="0"/>
                <w:bCs w:val="0"/>
                <w:color w:val="auto"/>
                <w:spacing w:val="0"/>
                <w:sz w:val="24"/>
                <w:szCs w:val="24"/>
                <w:lang w:val="en-US" w:eastAsia="zh-CN"/>
              </w:rPr>
              <w:t>排泥水做一般固废交</w:t>
            </w:r>
            <w:r>
              <w:rPr>
                <w:rFonts w:hint="default" w:ascii="Times New Roman" w:hAnsi="Times New Roman" w:eastAsia="宋体" w:cs="Times New Roman"/>
                <w:b w:val="0"/>
                <w:bCs w:val="0"/>
                <w:color w:val="auto"/>
                <w:spacing w:val="0"/>
                <w:sz w:val="24"/>
                <w:szCs w:val="24"/>
              </w:rPr>
              <w:t>环卫部门统一收集处置</w:t>
            </w:r>
            <w:r>
              <w:rPr>
                <w:rFonts w:hint="eastAsia" w:cs="Times New Roman"/>
                <w:b w:val="0"/>
                <w:bCs w:val="0"/>
                <w:color w:val="auto"/>
                <w:spacing w:val="0"/>
                <w:sz w:val="24"/>
                <w:szCs w:val="24"/>
                <w:lang w:eastAsia="zh-CN"/>
              </w:rPr>
              <w:t>，</w:t>
            </w:r>
            <w:r>
              <w:rPr>
                <w:rFonts w:hint="eastAsia" w:cs="Times New Roman"/>
                <w:b w:val="0"/>
                <w:bCs w:val="0"/>
                <w:color w:val="auto"/>
                <w:spacing w:val="0"/>
                <w:sz w:val="24"/>
                <w:szCs w:val="24"/>
                <w:lang w:val="en-US" w:eastAsia="zh-CN"/>
              </w:rPr>
              <w:t>具有一定周期性</w:t>
            </w:r>
            <w:r>
              <w:rPr>
                <w:rFonts w:hint="default" w:ascii="Times New Roman" w:hAnsi="Times New Roman" w:eastAsia="宋体" w:cs="Times New Roman"/>
                <w:color w:val="auto"/>
                <w:sz w:val="24"/>
                <w:highlight w:val="none"/>
              </w:rPr>
              <w:t>。</w:t>
            </w:r>
          </w:p>
          <w:p w14:paraId="6DE89D6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color w:val="0000FF"/>
                <w:sz w:val="24"/>
                <w:highlight w:val="none"/>
                <w:lang w:val="en-US" w:eastAsia="zh-CN"/>
              </w:rPr>
            </w:pPr>
          </w:p>
          <w:p w14:paraId="026E876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lang w:val="en-US" w:eastAsia="zh-CN"/>
              </w:rPr>
            </w:pPr>
          </w:p>
        </w:tc>
      </w:tr>
      <w:tr w14:paraId="27D50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3" w:type="pct"/>
            <w:noWrap w:val="0"/>
            <w:vAlign w:val="center"/>
          </w:tcPr>
          <w:p w14:paraId="46023AA9">
            <w:pPr>
              <w:pStyle w:val="21"/>
              <w:adjustRightInd w:val="0"/>
              <w:snapToGrid w:val="0"/>
              <w:spacing w:before="0" w:beforeAutospacing="0" w:after="0" w:afterAutospacing="0"/>
              <w:jc w:val="center"/>
              <w:rPr>
                <w:rFonts w:hint="default" w:ascii="Times New Roman" w:hAnsi="Times New Roman" w:cs="Times New Roman"/>
                <w:b/>
                <w:bCs w:val="0"/>
                <w:color w:val="auto"/>
                <w:kern w:val="2"/>
                <w:sz w:val="24"/>
                <w:szCs w:val="24"/>
              </w:rPr>
            </w:pPr>
            <w:r>
              <w:rPr>
                <w:rFonts w:hint="default" w:ascii="Times New Roman" w:hAnsi="Times New Roman" w:cs="Times New Roman"/>
                <w:b/>
                <w:bCs w:val="0"/>
                <w:color w:val="auto"/>
                <w:kern w:val="2"/>
                <w:sz w:val="24"/>
                <w:szCs w:val="24"/>
              </w:rPr>
              <w:t>选址选线环境合理性分析</w:t>
            </w:r>
          </w:p>
        </w:tc>
        <w:tc>
          <w:tcPr>
            <w:tcW w:w="4606" w:type="pct"/>
            <w:noWrap w:val="0"/>
            <w:vAlign w:val="top"/>
          </w:tcPr>
          <w:p w14:paraId="4FE58016">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一、政府部门相关意见</w:t>
            </w:r>
          </w:p>
          <w:p w14:paraId="26013E0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本项目为</w:t>
            </w:r>
            <w:r>
              <w:rPr>
                <w:rFonts w:hint="default" w:ascii="Times New Roman" w:hAnsi="Times New Roman" w:eastAsia="宋体" w:cs="Times New Roman"/>
                <w:color w:val="auto"/>
                <w:sz w:val="24"/>
                <w:szCs w:val="24"/>
                <w:highlight w:val="none"/>
                <w:lang w:val="en-US" w:eastAsia="zh-CN"/>
              </w:rPr>
              <w:t>引水管网</w:t>
            </w:r>
            <w:r>
              <w:rPr>
                <w:rFonts w:hint="default" w:ascii="Times New Roman" w:hAnsi="Times New Roman" w:eastAsia="宋体" w:cs="Times New Roman"/>
                <w:color w:val="auto"/>
                <w:sz w:val="24"/>
                <w:szCs w:val="24"/>
                <w:highlight w:val="none"/>
              </w:rPr>
              <w:t>建设项目</w:t>
            </w:r>
            <w:r>
              <w:rPr>
                <w:rFonts w:hint="default" w:ascii="Times New Roman" w:hAnsi="Times New Roman" w:eastAsia="宋体" w:cs="Times New Roman"/>
                <w:b w:val="0"/>
                <w:bCs w:val="0"/>
                <w:color w:val="auto"/>
                <w:sz w:val="24"/>
                <w:szCs w:val="24"/>
                <w:highlight w:val="none"/>
                <w:lang w:val="en-US" w:eastAsia="zh-CN"/>
              </w:rPr>
              <w:t>，对改善民生供水、改善环境起到了积极的作用。</w:t>
            </w:r>
          </w:p>
          <w:p w14:paraId="45154B9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根据安宁市自然资源局出具的</w:t>
            </w:r>
            <w:r>
              <w:rPr>
                <w:rFonts w:hint="eastAsia" w:ascii="Times New Roman" w:hAnsi="Times New Roman" w:cs="Times New Roman"/>
                <w:b w:val="0"/>
                <w:bCs w:val="0"/>
                <w:color w:val="auto"/>
                <w:sz w:val="24"/>
                <w:szCs w:val="24"/>
                <w:highlight w:val="none"/>
                <w:lang w:val="en-US" w:eastAsia="zh-CN"/>
              </w:rPr>
              <w:t>《国土空间规划合规性审查意见》（</w:t>
            </w:r>
            <w:r>
              <w:rPr>
                <w:rFonts w:hint="default" w:ascii="Times New Roman" w:hAnsi="Times New Roman" w:eastAsia="宋体" w:cs="Times New Roman"/>
                <w:b w:val="0"/>
                <w:bCs w:val="0"/>
                <w:color w:val="auto"/>
                <w:sz w:val="24"/>
                <w:szCs w:val="24"/>
                <w:highlight w:val="none"/>
                <w:lang w:val="en-US" w:eastAsia="zh-CN"/>
              </w:rPr>
              <w:t>见附件），工程选址、选线不涉及生态保护红线</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该项目输水管线涉及穿越安宁市永久基本农田7235.2米</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输水管采用地下埋管、管径1.4米、管道最小埋深3.4米、保证覆土2米，不影响耕作</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，输水管线457.5米涉及穿越城镇开发边界。</w:t>
            </w:r>
          </w:p>
          <w:p w14:paraId="55A2960A">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2）根据安宁市林业和草原局出具的意见结合现场调查，经核对安宁市相关林草资料，该项目范围内涉及III、IV级林地。</w:t>
            </w:r>
          </w:p>
          <w:p w14:paraId="6F7FC5CA">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二、</w:t>
            </w:r>
            <w:r>
              <w:rPr>
                <w:rFonts w:hint="default" w:ascii="Times New Roman" w:hAnsi="Times New Roman" w:eastAsia="宋体" w:cs="Times New Roman"/>
                <w:b/>
                <w:bCs/>
                <w:color w:val="auto"/>
                <w:sz w:val="24"/>
                <w:highlight w:val="none"/>
              </w:rPr>
              <w:t>项目选址选线的环境合理性分析</w:t>
            </w:r>
          </w:p>
          <w:p w14:paraId="4855B26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en-US" w:eastAsia="zh-CN"/>
              </w:rPr>
              <w:t>根据项目设计</w:t>
            </w:r>
            <w:r>
              <w:rPr>
                <w:rFonts w:hint="eastAsia" w:ascii="Times New Roman" w:hAnsi="Times New Roman" w:cs="Times New Roman"/>
                <w:b w:val="0"/>
                <w:bCs w:val="0"/>
                <w:color w:val="auto"/>
                <w:sz w:val="24"/>
                <w:szCs w:val="24"/>
                <w:highlight w:val="none"/>
                <w:lang w:val="en-US" w:eastAsia="zh-CN"/>
              </w:rPr>
              <w:t>方案</w:t>
            </w:r>
            <w:r>
              <w:rPr>
                <w:rFonts w:hint="default" w:ascii="Times New Roman" w:hAnsi="Times New Roman" w:eastAsia="宋体" w:cs="Times New Roman"/>
                <w:b w:val="0"/>
                <w:bCs w:val="0"/>
                <w:color w:val="auto"/>
                <w:sz w:val="24"/>
                <w:szCs w:val="24"/>
                <w:highlight w:val="none"/>
                <w:lang w:val="en-US" w:eastAsia="zh-CN"/>
              </w:rPr>
              <w:t>，新建管线与</w:t>
            </w:r>
            <w:r>
              <w:rPr>
                <w:rFonts w:hint="eastAsia" w:ascii="Times New Roman" w:hAnsi="Times New Roman" w:cs="Times New Roman"/>
                <w:b w:val="0"/>
                <w:bCs w:val="0"/>
                <w:color w:val="auto"/>
                <w:sz w:val="24"/>
                <w:szCs w:val="24"/>
                <w:highlight w:val="none"/>
                <w:lang w:val="en-US" w:eastAsia="zh-CN"/>
              </w:rPr>
              <w:t>原有车木河</w:t>
            </w:r>
            <w:r>
              <w:rPr>
                <w:rFonts w:hint="default" w:ascii="Times New Roman" w:hAnsi="Times New Roman" w:eastAsia="宋体" w:cs="Times New Roman"/>
                <w:b w:val="0"/>
                <w:bCs w:val="0"/>
                <w:color w:val="auto"/>
                <w:sz w:val="24"/>
                <w:szCs w:val="24"/>
                <w:highlight w:val="none"/>
                <w:lang w:val="en-US" w:eastAsia="zh-CN"/>
              </w:rPr>
              <w:t>管线</w:t>
            </w:r>
            <w:r>
              <w:rPr>
                <w:rFonts w:hint="eastAsia" w:ascii="Times New Roman" w:hAnsi="Times New Roman" w:cs="Times New Roman"/>
                <w:b w:val="0"/>
                <w:bCs w:val="0"/>
                <w:color w:val="auto"/>
                <w:sz w:val="24"/>
                <w:szCs w:val="24"/>
                <w:highlight w:val="none"/>
                <w:lang w:val="en-US" w:eastAsia="zh-CN"/>
              </w:rPr>
              <w:t>连接）（连通）</w:t>
            </w:r>
            <w:r>
              <w:rPr>
                <w:rFonts w:hint="default" w:ascii="Times New Roman" w:hAnsi="Times New Roman" w:eastAsia="宋体" w:cs="Times New Roman"/>
                <w:b w:val="0"/>
                <w:bCs w:val="0"/>
                <w:color w:val="auto"/>
                <w:sz w:val="24"/>
                <w:szCs w:val="24"/>
                <w:highlight w:val="none"/>
                <w:lang w:val="en-US" w:eastAsia="zh-CN"/>
              </w:rPr>
              <w:t>敷设，提高了供水的安全性和事故时的供水保障率，也有利于今后管道运行的集中管理和维护；同时经与规划对接，该段管线沿线规划主要是</w:t>
            </w:r>
            <w:r>
              <w:rPr>
                <w:rFonts w:hint="eastAsia" w:ascii="Times New Roman" w:hAnsi="Times New Roman" w:cs="Times New Roman"/>
                <w:b w:val="0"/>
                <w:bCs w:val="0"/>
                <w:color w:val="auto"/>
                <w:sz w:val="24"/>
                <w:szCs w:val="24"/>
                <w:highlight w:val="none"/>
                <w:lang w:val="en-US" w:eastAsia="zh-CN"/>
              </w:rPr>
              <w:t>农田、</w:t>
            </w:r>
            <w:r>
              <w:rPr>
                <w:rFonts w:hint="default" w:ascii="Times New Roman" w:hAnsi="Times New Roman" w:eastAsia="宋体" w:cs="Times New Roman"/>
                <w:b w:val="0"/>
                <w:bCs w:val="0"/>
                <w:color w:val="auto"/>
                <w:sz w:val="24"/>
                <w:szCs w:val="24"/>
                <w:highlight w:val="none"/>
                <w:lang w:val="en-US" w:eastAsia="zh-CN"/>
              </w:rPr>
              <w:t>林地和道路，降低了对沿线土地规划及开发的影响。</w:t>
            </w:r>
          </w:p>
          <w:p w14:paraId="35F162F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从环境保护角度</w:t>
            </w:r>
            <w:r>
              <w:rPr>
                <w:rFonts w:hint="default" w:ascii="Times New Roman" w:hAnsi="Times New Roman" w:eastAsia="宋体" w:cs="Times New Roman"/>
                <w:color w:val="auto"/>
                <w:sz w:val="24"/>
                <w:highlight w:val="none"/>
                <w:lang w:val="en-US" w:eastAsia="zh-CN"/>
              </w:rPr>
              <w:t>及经济方面</w:t>
            </w:r>
            <w:r>
              <w:rPr>
                <w:rFonts w:hint="default" w:ascii="Times New Roman" w:hAnsi="Times New Roman" w:eastAsia="宋体" w:cs="Times New Roman"/>
                <w:color w:val="auto"/>
                <w:sz w:val="24"/>
                <w:highlight w:val="none"/>
              </w:rPr>
              <w:t>考虑，本项目的选线是合理的。</w:t>
            </w:r>
          </w:p>
          <w:p w14:paraId="05B7ACE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2</w:t>
            </w:r>
            <w:r>
              <w:rPr>
                <w:rFonts w:hint="default" w:ascii="Times New Roman" w:hAnsi="Times New Roman" w:eastAsia="宋体" w:cs="Times New Roman"/>
                <w:color w:val="auto"/>
                <w:sz w:val="24"/>
                <w:highlight w:val="none"/>
                <w:lang w:eastAsia="zh-CN"/>
              </w:rPr>
              <w:t>）</w:t>
            </w:r>
            <w:r>
              <w:rPr>
                <w:rFonts w:hint="eastAsia" w:ascii="Times New Roman" w:hAnsi="Times New Roman" w:cs="Times New Roman"/>
                <w:color w:val="auto"/>
                <w:sz w:val="24"/>
                <w:highlight w:val="none"/>
                <w:lang w:val="en-US" w:eastAsia="zh-CN"/>
              </w:rPr>
              <w:t>临时占用基本农田符合性分析：根据前述分析，</w:t>
            </w:r>
            <w:r>
              <w:rPr>
                <w:rFonts w:hint="default" w:ascii="Times New Roman" w:hAnsi="Times New Roman" w:eastAsia="宋体" w:cs="Times New Roman"/>
                <w:color w:val="auto"/>
                <w:sz w:val="24"/>
                <w:szCs w:val="24"/>
                <w:highlight w:val="none"/>
                <w:lang w:val="en-US" w:eastAsia="zh-CN"/>
              </w:rPr>
              <w:t>考虑到管线施工和运营的安全性要求，以及引调水工程作为水利基础设施的供水功能需求，无法完全避让沿线成片分布的永久基本农田</w:t>
            </w: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施工过程对基本农田及农作物的影响可以接受，在</w:t>
            </w:r>
            <w:r>
              <w:rPr>
                <w:rFonts w:hint="default" w:ascii="Times New Roman" w:hAnsi="Times New Roman" w:eastAsia="宋体" w:cs="Times New Roman"/>
                <w:color w:val="auto"/>
                <w:sz w:val="24"/>
                <w:szCs w:val="24"/>
                <w:highlight w:val="none"/>
                <w:lang w:val="en-US" w:eastAsia="zh-CN"/>
              </w:rPr>
              <w:t>完善临时用地审批、复垦方案评审手续</w:t>
            </w:r>
            <w:r>
              <w:rPr>
                <w:rFonts w:hint="eastAsia" w:ascii="Times New Roman" w:hAnsi="Times New Roman" w:eastAsia="宋体" w:cs="Times New Roman"/>
                <w:color w:val="auto"/>
                <w:sz w:val="24"/>
                <w:szCs w:val="24"/>
                <w:highlight w:val="none"/>
                <w:lang w:val="en-US" w:eastAsia="zh-CN"/>
              </w:rPr>
              <w:t>的前提下符合国家、地方临时用地管理要求</w:t>
            </w:r>
            <w:r>
              <w:rPr>
                <w:rFonts w:hint="default" w:ascii="Times New Roman" w:hAnsi="Times New Roman" w:eastAsia="宋体" w:cs="Times New Roman"/>
                <w:color w:val="auto"/>
                <w:sz w:val="24"/>
                <w:szCs w:val="24"/>
                <w:highlight w:val="none"/>
                <w:lang w:val="en-US" w:eastAsia="zh-CN"/>
              </w:rPr>
              <w:t>。</w:t>
            </w:r>
          </w:p>
          <w:p w14:paraId="33E574D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与城镇开发边界的符合性分析：</w:t>
            </w:r>
          </w:p>
          <w:p w14:paraId="44F7E5E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根据《自然资源部关于做好城镇开发边界管理的通知》</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自然资发〔2023〕193号）及《城镇开发边界管理办法</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试行）》</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自然资规〔2026〕1号），城镇开发边界外不得进行城镇集中建设，但线性基础设施项目不属于禁止范畴。本项目为引调水工程，管线属线性水利基础设施，不涉及城镇集中建设，不改变城镇开发边界内用地性质和规划功能。</w:t>
            </w:r>
          </w:p>
          <w:p w14:paraId="76B8FA2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管线穿越城镇开发边界段均为施工临时占地，全线地埋敷设，不修建永久性建</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构）筑物。施工临时用地将按程序办理临时用地审批及临时建设用地规划许可-，施工结束后按土地复垦方案恢复土地原状。项目选线已取得安宁市自然资源局初步认可，后续将依法完善规划许可及临时用地审批手续。</w:t>
            </w:r>
          </w:p>
          <w:p w14:paraId="2BA13FD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综上，本项目管线穿越城镇开发边界符合现行国土空间规划管控要求。</w:t>
            </w:r>
          </w:p>
          <w:p w14:paraId="2C40BD35">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三</w:t>
            </w:r>
            <w:r>
              <w:rPr>
                <w:rFonts w:hint="default" w:ascii="Times New Roman" w:hAnsi="Times New Roman" w:eastAsia="宋体" w:cs="Times New Roman"/>
                <w:b/>
                <w:bCs/>
                <w:color w:val="auto"/>
                <w:sz w:val="24"/>
                <w:highlight w:val="none"/>
              </w:rPr>
              <w:t>、“三场”布置的环境合理性分析</w:t>
            </w:r>
          </w:p>
          <w:p w14:paraId="7D4F044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根据本项目施工设计方案，项目所需混凝土采用外购商品混凝土，不设置混凝土</w:t>
            </w:r>
            <w:r>
              <w:rPr>
                <w:rFonts w:hint="eastAsia" w:ascii="Times New Roman" w:hAnsi="Times New Roman" w:cs="Times New Roman"/>
                <w:color w:val="auto"/>
                <w:sz w:val="24"/>
                <w:highlight w:val="none"/>
                <w:lang w:eastAsia="zh-CN"/>
              </w:rPr>
              <w:t>拌和</w:t>
            </w:r>
            <w:r>
              <w:rPr>
                <w:rFonts w:hint="default" w:ascii="Times New Roman" w:hAnsi="Times New Roman" w:eastAsia="宋体" w:cs="Times New Roman"/>
                <w:color w:val="auto"/>
                <w:sz w:val="24"/>
                <w:highlight w:val="none"/>
              </w:rPr>
              <w:t>场地。本项目不设置弃渣场、砂石料场、混凝土搅拌站、预制场、拌料场、施工便道。</w:t>
            </w:r>
          </w:p>
          <w:p w14:paraId="576235F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1）砂石料场、取土场</w:t>
            </w:r>
          </w:p>
          <w:p w14:paraId="1835DA3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本工程建设无需外购土石方，不设置取土场。项目施工期间，砂、石、土料完全采用合法料场外购的方式获得，因此，评价认为拟建</w:t>
            </w:r>
            <w:r>
              <w:rPr>
                <w:rFonts w:hint="default" w:ascii="Times New Roman" w:hAnsi="Times New Roman" w:eastAsia="宋体" w:cs="Times New Roman"/>
                <w:color w:val="auto"/>
                <w:sz w:val="24"/>
                <w:highlight w:val="none"/>
                <w:lang w:val="en-US" w:eastAsia="zh-CN"/>
              </w:rPr>
              <w:t>项目</w:t>
            </w:r>
            <w:r>
              <w:rPr>
                <w:rFonts w:hint="default" w:ascii="Times New Roman" w:hAnsi="Times New Roman" w:eastAsia="宋体" w:cs="Times New Roman"/>
                <w:color w:val="auto"/>
                <w:sz w:val="24"/>
                <w:highlight w:val="none"/>
              </w:rPr>
              <w:t>不设置砂石料场、取土场符合环境保护要求，规划合理。</w:t>
            </w:r>
          </w:p>
          <w:p w14:paraId="541FBD8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2）临时表土堆场</w:t>
            </w:r>
          </w:p>
          <w:p w14:paraId="2FD3E33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主线工程区</w:t>
            </w:r>
            <w:r>
              <w:rPr>
                <w:rFonts w:hint="default" w:ascii="Times New Roman" w:hAnsi="Times New Roman" w:eastAsia="宋体" w:cs="Times New Roman"/>
                <w:color w:val="auto"/>
                <w:sz w:val="24"/>
                <w:highlight w:val="none"/>
                <w:lang w:val="en-US" w:eastAsia="zh-CN"/>
              </w:rPr>
              <w:t>沿线设置</w:t>
            </w:r>
            <w:r>
              <w:rPr>
                <w:rFonts w:hint="default" w:ascii="Times New Roman" w:hAnsi="Times New Roman" w:eastAsia="宋体" w:cs="Times New Roman"/>
                <w:color w:val="auto"/>
                <w:sz w:val="24"/>
                <w:highlight w:val="none"/>
              </w:rPr>
              <w:t>临</w:t>
            </w:r>
            <w:r>
              <w:rPr>
                <w:rFonts w:hint="default" w:ascii="Times New Roman" w:hAnsi="Times New Roman" w:eastAsia="宋体" w:cs="Times New Roman"/>
                <w:color w:val="auto"/>
                <w:sz w:val="24"/>
                <w:szCs w:val="24"/>
                <w:highlight w:val="none"/>
              </w:rPr>
              <w:t>时堆土场</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在临时征地范围内</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，土方堆存期间对临时表土堆场进行临时拦挡和临时覆盖措施，防止土方的流失。临时堆土场利用结束后对场地进行清理，然后对场地进行平整后，进行</w:t>
            </w:r>
            <w:r>
              <w:rPr>
                <w:rFonts w:hint="default" w:ascii="Times New Roman" w:hAnsi="Times New Roman" w:cs="Times New Roman"/>
                <w:color w:val="auto"/>
                <w:sz w:val="24"/>
                <w:szCs w:val="24"/>
                <w:lang w:val="en-US" w:eastAsia="zh-CN"/>
              </w:rPr>
              <w:t>复垦或者植被恢复</w:t>
            </w:r>
            <w:r>
              <w:rPr>
                <w:rFonts w:hint="default" w:ascii="Times New Roman" w:hAnsi="Times New Roman" w:eastAsia="宋体" w:cs="Times New Roman"/>
                <w:color w:val="auto"/>
                <w:sz w:val="24"/>
                <w:szCs w:val="24"/>
                <w:highlight w:val="none"/>
              </w:rPr>
              <w:t>。在采取上述措施防止水土流失后，堆场选址对周边环境影响不大，同时也不影响</w:t>
            </w:r>
            <w:r>
              <w:rPr>
                <w:rFonts w:hint="default" w:ascii="Times New Roman" w:hAnsi="Times New Roman" w:eastAsia="宋体" w:cs="Times New Roman"/>
                <w:color w:val="auto"/>
                <w:sz w:val="24"/>
                <w:highlight w:val="none"/>
              </w:rPr>
              <w:t>项目的施工作业，因此表土堆场选址合理。</w:t>
            </w:r>
          </w:p>
          <w:p w14:paraId="1D2C366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eastAsia"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3）弃土场</w:t>
            </w:r>
          </w:p>
          <w:p w14:paraId="447A350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rPr>
              <w:t>本项目在建设过程中将产生部分不能用于回填的弃渣，工程建设产生的弃渣均</w:t>
            </w:r>
            <w:r>
              <w:rPr>
                <w:rFonts w:hint="default" w:ascii="Times New Roman" w:hAnsi="Times New Roman" w:cs="Times New Roman"/>
                <w:color w:val="auto"/>
                <w:sz w:val="24"/>
                <w:szCs w:val="24"/>
                <w:lang w:val="en-US" w:eastAsia="zh-CN"/>
              </w:rPr>
              <w:t>交由安宁市交通投资有限公司运至具有合法手续的弃土场地合法</w:t>
            </w:r>
            <w:r>
              <w:rPr>
                <w:rFonts w:hint="default" w:ascii="Times New Roman" w:hAnsi="Times New Roman" w:cs="Times New Roman"/>
                <w:color w:val="auto"/>
                <w:sz w:val="24"/>
                <w:szCs w:val="24"/>
              </w:rPr>
              <w:t>处理</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见附件</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highlight w:val="none"/>
              </w:rPr>
              <w:t>，因此，不设置弃土场。</w:t>
            </w:r>
          </w:p>
          <w:p w14:paraId="697B09D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00D64DA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15114AC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162B56B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7DC928B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731240F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6CEBDD0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0B9FA82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2C4641A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4C68343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6096A6B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1AADCE11">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p w14:paraId="1B616FE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FF"/>
                <w:sz w:val="24"/>
                <w:highlight w:val="none"/>
              </w:rPr>
            </w:pPr>
          </w:p>
        </w:tc>
      </w:tr>
    </w:tbl>
    <w:p w14:paraId="5C2C3C24">
      <w:pPr>
        <w:pStyle w:val="21"/>
        <w:jc w:val="center"/>
        <w:rPr>
          <w:rFonts w:hint="default" w:ascii="Times New Roman" w:hAnsi="Times New Roman" w:eastAsia="黑体" w:cs="Times New Roman"/>
          <w:snapToGrid w:val="0"/>
          <w:color w:val="0000FF"/>
          <w:sz w:val="36"/>
          <w:szCs w:val="36"/>
        </w:rPr>
        <w:sectPr>
          <w:pgSz w:w="11906" w:h="16838"/>
          <w:pgMar w:top="1304" w:right="1531" w:bottom="1417" w:left="1531" w:header="851" w:footer="850" w:gutter="0"/>
          <w:cols w:space="720" w:num="1"/>
          <w:docGrid w:linePitch="312" w:charSpace="0"/>
        </w:sectPr>
      </w:pPr>
    </w:p>
    <w:p w14:paraId="2E6FB21C">
      <w:pPr>
        <w:pStyle w:val="21"/>
        <w:adjustRightInd w:val="0"/>
        <w:snapToGrid w:val="0"/>
        <w:spacing w:before="0" w:beforeAutospacing="0" w:after="0" w:afterAutospacing="0" w:line="14" w:lineRule="auto"/>
        <w:jc w:val="center"/>
        <w:outlineLvl w:val="0"/>
        <w:rPr>
          <w:rFonts w:hint="default" w:ascii="Times New Roman" w:hAnsi="Times New Roman" w:eastAsia="黑体" w:cs="Times New Roman"/>
          <w:snapToGrid w:val="0"/>
          <w:color w:val="0000FF"/>
          <w:sz w:val="30"/>
          <w:szCs w:val="30"/>
        </w:rPr>
      </w:pPr>
    </w:p>
    <w:p w14:paraId="5D347BC8">
      <w:pPr>
        <w:pStyle w:val="21"/>
        <w:jc w:val="center"/>
        <w:outlineLvl w:val="0"/>
        <w:rPr>
          <w:rFonts w:hint="default" w:ascii="Times New Roman" w:hAnsi="Times New Roman" w:eastAsia="黑体" w:cs="Times New Roman"/>
          <w:snapToGrid w:val="0"/>
          <w:color w:val="auto"/>
          <w:sz w:val="30"/>
          <w:szCs w:val="30"/>
        </w:rPr>
      </w:pPr>
      <w:bookmarkStart w:id="15" w:name="_Toc8504"/>
      <w:r>
        <w:rPr>
          <w:rFonts w:hint="default" w:ascii="Times New Roman" w:hAnsi="Times New Roman" w:eastAsia="黑体" w:cs="Times New Roman"/>
          <w:snapToGrid w:val="0"/>
          <w:color w:val="auto"/>
          <w:sz w:val="30"/>
          <w:szCs w:val="30"/>
        </w:rPr>
        <w:t>五、主要生态环境保护措施</w:t>
      </w:r>
      <w:bookmarkEnd w:id="15"/>
    </w:p>
    <w:tbl>
      <w:tblPr>
        <w:tblStyle w:val="26"/>
        <w:tblW w:w="50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2"/>
        <w:gridCol w:w="8427"/>
      </w:tblGrid>
      <w:tr w14:paraId="4B8B84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389" w:type="pct"/>
            <w:noWrap w:val="0"/>
            <w:tcMar>
              <w:left w:w="28" w:type="dxa"/>
              <w:right w:w="28" w:type="dxa"/>
            </w:tcMar>
            <w:vAlign w:val="center"/>
          </w:tcPr>
          <w:p w14:paraId="2980EABB">
            <w:pPr>
              <w:adjustRightInd w:val="0"/>
              <w:snapToGrid w:val="0"/>
              <w:jc w:val="center"/>
              <w:rPr>
                <w:rFonts w:hint="default" w:ascii="Times New Roman" w:hAnsi="Times New Roman" w:cs="Times New Roman"/>
                <w:b/>
                <w:bCs w:val="0"/>
                <w:color w:val="auto"/>
                <w:sz w:val="24"/>
                <w:szCs w:val="24"/>
              </w:rPr>
            </w:pPr>
            <w:r>
              <w:rPr>
                <w:rFonts w:hint="default" w:ascii="Times New Roman" w:hAnsi="Times New Roman" w:cs="Times New Roman"/>
                <w:b/>
                <w:bCs w:val="0"/>
                <w:color w:val="auto"/>
                <w:spacing w:val="10"/>
                <w:sz w:val="24"/>
                <w:szCs w:val="24"/>
              </w:rPr>
              <w:t>施工期生态环境保护措施</w:t>
            </w:r>
          </w:p>
        </w:tc>
        <w:tc>
          <w:tcPr>
            <w:tcW w:w="4610" w:type="pct"/>
            <w:noWrap w:val="0"/>
            <w:vAlign w:val="top"/>
          </w:tcPr>
          <w:p w14:paraId="3A91AB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color w:val="auto"/>
                <w:sz w:val="24"/>
                <w:szCs w:val="24"/>
              </w:rPr>
            </w:pPr>
            <w:r>
              <w:rPr>
                <w:rFonts w:hint="default" w:ascii="Times New Roman" w:hAnsi="Times New Roman" w:cs="Times New Roman"/>
                <w:b/>
                <w:bCs/>
                <w:color w:val="auto"/>
                <w:sz w:val="24"/>
                <w:szCs w:val="24"/>
                <w:lang w:val="en-US" w:eastAsia="zh-CN"/>
              </w:rPr>
              <w:t>1</w:t>
            </w:r>
            <w:r>
              <w:rPr>
                <w:rFonts w:hint="default" w:ascii="Times New Roman" w:hAnsi="Times New Roman" w:eastAsia="宋体" w:cs="Times New Roman"/>
                <w:b/>
                <w:bCs/>
                <w:color w:val="auto"/>
                <w:sz w:val="24"/>
                <w:szCs w:val="24"/>
              </w:rPr>
              <w:t>、生态环境保护措施</w:t>
            </w:r>
          </w:p>
          <w:p w14:paraId="2229396D">
            <w:pPr>
              <w:pStyle w:val="62"/>
              <w:keepNext w:val="0"/>
              <w:keepLines w:val="0"/>
              <w:suppressLineNumbers w:val="0"/>
              <w:shd w:val="clear"/>
              <w:overflowPunct w:val="0"/>
              <w:spacing w:before="0" w:beforeAutospacing="0" w:after="0" w:afterAutospacing="0" w:line="360" w:lineRule="auto"/>
              <w:ind w:right="0"/>
              <w:jc w:val="left"/>
              <w:rPr>
                <w:rFonts w:hint="default" w:ascii="Times New Roman" w:hAnsi="Times New Roman" w:cs="Times New Roman"/>
                <w:b/>
                <w:bCs/>
                <w:color w:val="auto"/>
                <w:sz w:val="24"/>
                <w:highlight w:val="none"/>
                <w:shd w:val="clear" w:color="auto" w:fill="auto"/>
                <w:lang w:val="en-US" w:eastAsia="zh-CN"/>
              </w:rPr>
            </w:pPr>
            <w:r>
              <w:rPr>
                <w:rFonts w:hint="default" w:ascii="Times New Roman" w:hAnsi="Times New Roman" w:cs="Times New Roman"/>
                <w:b/>
                <w:bCs/>
                <w:color w:val="auto"/>
                <w:sz w:val="24"/>
                <w:highlight w:val="none"/>
                <w:shd w:val="clear" w:color="auto" w:fill="auto"/>
                <w:lang w:val="en-US" w:eastAsia="zh-CN"/>
              </w:rPr>
              <w:t>1.1各阶段生态保护措施</w:t>
            </w:r>
          </w:p>
          <w:p w14:paraId="01146571">
            <w:pPr>
              <w:pStyle w:val="62"/>
              <w:keepNext w:val="0"/>
              <w:keepLines w:val="0"/>
              <w:suppressLineNumbers w:val="0"/>
              <w:shd w:val="clear"/>
              <w:overflowPunct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val="0"/>
                <w:color w:val="auto"/>
                <w:sz w:val="24"/>
                <w:highlight w:val="none"/>
                <w:shd w:val="clear" w:color="auto" w:fill="auto"/>
                <w:lang w:val="en-US"/>
              </w:rPr>
            </w:pPr>
            <w:r>
              <w:rPr>
                <w:rFonts w:hint="eastAsia" w:ascii="Times New Roman" w:hAnsi="Times New Roman" w:cs="Times New Roman"/>
                <w:b w:val="0"/>
                <w:bCs w:val="0"/>
                <w:color w:val="auto"/>
                <w:sz w:val="24"/>
                <w:highlight w:val="none"/>
                <w:shd w:val="clear" w:color="auto" w:fill="auto"/>
                <w:lang w:val="en-US" w:eastAsia="zh-CN"/>
              </w:rPr>
              <w:t>（</w:t>
            </w:r>
            <w:r>
              <w:rPr>
                <w:rFonts w:hint="default" w:ascii="Times New Roman" w:hAnsi="Times New Roman" w:eastAsia="宋体" w:cs="Times New Roman"/>
                <w:b w:val="0"/>
                <w:bCs w:val="0"/>
                <w:color w:val="auto"/>
                <w:sz w:val="24"/>
                <w:highlight w:val="none"/>
                <w:shd w:val="clear" w:color="auto" w:fill="auto"/>
                <w:lang w:val="en-US"/>
              </w:rPr>
              <w:t>1）</w:t>
            </w:r>
            <w:r>
              <w:rPr>
                <w:rFonts w:hint="default" w:ascii="Times New Roman" w:hAnsi="Times New Roman" w:cs="Times New Roman"/>
                <w:b w:val="0"/>
                <w:bCs w:val="0"/>
                <w:color w:val="auto"/>
                <w:sz w:val="24"/>
                <w:highlight w:val="none"/>
                <w:shd w:val="clear" w:color="auto" w:fill="auto"/>
                <w:lang w:val="en-US"/>
              </w:rPr>
              <w:t>施工设计</w:t>
            </w:r>
            <w:r>
              <w:rPr>
                <w:rFonts w:hint="default" w:ascii="Times New Roman" w:hAnsi="Times New Roman" w:eastAsia="宋体" w:cs="Times New Roman"/>
                <w:b w:val="0"/>
                <w:bCs w:val="0"/>
                <w:color w:val="auto"/>
                <w:sz w:val="24"/>
                <w:highlight w:val="none"/>
                <w:shd w:val="clear" w:color="auto" w:fill="auto"/>
                <w:lang w:val="en-US"/>
              </w:rPr>
              <w:t>阶段</w:t>
            </w:r>
          </w:p>
          <w:p w14:paraId="2887BC46">
            <w:pPr>
              <w:keepNext w:val="0"/>
              <w:keepLines w:val="0"/>
              <w:widowControl/>
              <w:suppressLineNumbers w:val="0"/>
              <w:shd w:val="clear"/>
              <w:spacing w:before="0" w:beforeAutospacing="0" w:after="0" w:afterAutospacing="0" w:line="360" w:lineRule="auto"/>
              <w:ind w:left="0" w:right="0" w:firstLine="480" w:firstLineChars="200"/>
              <w:jc w:val="left"/>
              <w:rPr>
                <w:rFonts w:hint="default" w:ascii="Times New Roman" w:hAnsi="Times New Roman" w:cs="Times New Roman"/>
                <w:color w:val="auto"/>
                <w:sz w:val="24"/>
                <w:highlight w:val="none"/>
                <w:shd w:val="clear" w:color="auto" w:fill="auto"/>
              </w:rPr>
            </w:pPr>
            <w:r>
              <w:rPr>
                <w:rFonts w:hint="default" w:ascii="Times New Roman" w:hAnsi="Times New Roman" w:eastAsia="Times New Roman" w:cs="Times New Roman"/>
                <w:color w:val="auto"/>
                <w:sz w:val="24"/>
                <w:highlight w:val="none"/>
                <w:shd w:val="clear" w:color="auto" w:fill="auto"/>
                <w:lang w:bidi="zh-CN"/>
              </w:rPr>
              <w:t>①在施工建设过程中，尽量减少施工占地及临时占地，最大限度</w:t>
            </w:r>
            <w:r>
              <w:rPr>
                <w:rFonts w:hint="eastAsia" w:ascii="Times New Roman" w:hAnsi="Times New Roman" w:eastAsia="Times New Roman" w:cs="Times New Roman"/>
                <w:color w:val="auto"/>
                <w:sz w:val="24"/>
                <w:highlight w:val="none"/>
                <w:shd w:val="clear" w:color="auto" w:fill="auto"/>
                <w:lang w:bidi="zh-CN"/>
              </w:rPr>
              <w:t>地</w:t>
            </w:r>
            <w:r>
              <w:rPr>
                <w:rFonts w:hint="default" w:ascii="Times New Roman" w:hAnsi="Times New Roman" w:eastAsia="Times New Roman" w:cs="Times New Roman"/>
                <w:color w:val="auto"/>
                <w:sz w:val="24"/>
                <w:highlight w:val="none"/>
                <w:shd w:val="clear" w:color="auto" w:fill="auto"/>
                <w:lang w:bidi="zh-CN"/>
              </w:rPr>
              <w:t>减少对地表原貌的生态破坏。</w:t>
            </w:r>
          </w:p>
          <w:p w14:paraId="080FB198">
            <w:pPr>
              <w:pStyle w:val="62"/>
              <w:keepNext w:val="0"/>
              <w:keepLines w:val="0"/>
              <w:suppressLineNumbers w:val="0"/>
              <w:shd w:val="clear"/>
              <w:overflowPunct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szCs w:val="24"/>
                <w:highlight w:val="none"/>
                <w:shd w:val="clear" w:color="auto" w:fill="auto"/>
                <w:lang w:val="en-US" w:eastAsia="zh-CN"/>
              </w:rPr>
            </w:pPr>
            <w:r>
              <w:rPr>
                <w:rFonts w:hint="default" w:ascii="Times New Roman" w:hAnsi="Times New Roman" w:eastAsia="宋体" w:cs="Times New Roman"/>
                <w:color w:val="auto"/>
                <w:sz w:val="24"/>
                <w:highlight w:val="none"/>
                <w:shd w:val="clear" w:color="auto" w:fill="auto"/>
                <w:lang w:val="en-US"/>
              </w:rPr>
              <w:t>②</w:t>
            </w:r>
            <w:r>
              <w:rPr>
                <w:rFonts w:hint="default" w:ascii="Times New Roman" w:hAnsi="Times New Roman" w:cs="Times New Roman"/>
                <w:color w:val="auto"/>
                <w:spacing w:val="-5"/>
                <w:sz w:val="24"/>
                <w:szCs w:val="24"/>
                <w:highlight w:val="none"/>
                <w:shd w:val="clear" w:color="auto" w:fill="auto"/>
                <w:lang w:val="en-US" w:eastAsia="zh-CN" w:bidi="he-IL"/>
              </w:rPr>
              <w:t>项目开工前请依法</w:t>
            </w:r>
            <w:r>
              <w:rPr>
                <w:rFonts w:hint="default" w:ascii="Times New Roman" w:hAnsi="Times New Roman" w:cs="Times New Roman"/>
                <w:color w:val="auto"/>
                <w:spacing w:val="-5"/>
                <w:sz w:val="24"/>
                <w:szCs w:val="24"/>
                <w:highlight w:val="none"/>
                <w:shd w:val="clear" w:color="auto" w:fill="auto"/>
                <w:lang w:bidi="he-IL"/>
              </w:rPr>
              <w:t>办理水土保持方案审批手续</w:t>
            </w:r>
            <w:r>
              <w:rPr>
                <w:rFonts w:hint="default" w:ascii="Times New Roman" w:hAnsi="Times New Roman" w:eastAsia="宋体" w:cs="Times New Roman"/>
                <w:color w:val="auto"/>
                <w:spacing w:val="-5"/>
                <w:sz w:val="24"/>
                <w:szCs w:val="24"/>
                <w:highlight w:val="none"/>
                <w:shd w:val="clear" w:color="auto" w:fill="auto"/>
                <w:lang w:eastAsia="zh-CN" w:bidi="he-IL"/>
              </w:rPr>
              <w:t>，</w:t>
            </w:r>
            <w:r>
              <w:rPr>
                <w:rFonts w:hint="default" w:ascii="Times New Roman" w:hAnsi="Times New Roman" w:cs="Times New Roman"/>
                <w:color w:val="auto"/>
                <w:spacing w:val="-5"/>
                <w:sz w:val="24"/>
                <w:szCs w:val="24"/>
                <w:highlight w:val="none"/>
                <w:shd w:val="clear" w:color="auto" w:fill="auto"/>
                <w:lang w:val="en-US" w:eastAsia="zh-CN" w:bidi="he-IL"/>
              </w:rPr>
              <w:t>施工过程中应尽量避免大挖大填，避免大范围扰动地表面积</w:t>
            </w:r>
            <w:r>
              <w:rPr>
                <w:rFonts w:hint="default" w:ascii="Times New Roman" w:hAnsi="Times New Roman" w:cs="Times New Roman"/>
                <w:color w:val="auto"/>
                <w:spacing w:val="-5"/>
                <w:sz w:val="24"/>
                <w:szCs w:val="24"/>
                <w:highlight w:val="none"/>
                <w:shd w:val="clear" w:color="auto" w:fill="auto"/>
                <w:lang w:bidi="he-IL"/>
              </w:rPr>
              <w:t>。</w:t>
            </w:r>
          </w:p>
          <w:p w14:paraId="1F949594">
            <w:pPr>
              <w:pStyle w:val="62"/>
              <w:keepNext w:val="0"/>
              <w:keepLines w:val="0"/>
              <w:suppressLineNumbers w:val="0"/>
              <w:shd w:val="clear"/>
              <w:overflowPunct w:val="0"/>
              <w:spacing w:before="0" w:beforeAutospacing="0" w:after="0" w:afterAutospacing="0" w:line="360" w:lineRule="auto"/>
              <w:ind w:left="0" w:right="0" w:firstLine="480" w:firstLineChars="200"/>
              <w:jc w:val="left"/>
              <w:rPr>
                <w:rFonts w:hint="default" w:ascii="Times New Roman" w:hAnsi="Times New Roman" w:cs="Times New Roman"/>
                <w:b w:val="0"/>
                <w:bCs w:val="0"/>
                <w:color w:val="auto"/>
                <w:sz w:val="24"/>
                <w:highlight w:val="none"/>
                <w:shd w:val="clear" w:color="auto" w:fill="auto"/>
                <w:lang w:val="en-US"/>
              </w:rPr>
            </w:pPr>
            <w:r>
              <w:rPr>
                <w:rFonts w:hint="eastAsia" w:ascii="Times New Roman" w:hAnsi="Times New Roman" w:cs="Times New Roman"/>
                <w:b w:val="0"/>
                <w:bCs w:val="0"/>
                <w:color w:val="auto"/>
                <w:sz w:val="24"/>
                <w:highlight w:val="none"/>
                <w:shd w:val="clear" w:color="auto" w:fill="auto"/>
                <w:lang w:val="en-US" w:eastAsia="zh-CN"/>
              </w:rPr>
              <w:t>（</w:t>
            </w:r>
            <w:r>
              <w:rPr>
                <w:rFonts w:hint="default" w:ascii="Times New Roman" w:hAnsi="Times New Roman" w:cs="Times New Roman"/>
                <w:b w:val="0"/>
                <w:bCs w:val="0"/>
                <w:color w:val="auto"/>
                <w:sz w:val="24"/>
                <w:highlight w:val="none"/>
                <w:shd w:val="clear" w:color="auto" w:fill="auto"/>
                <w:lang w:val="en-US"/>
              </w:rPr>
              <w:t>2）避让措施</w:t>
            </w:r>
          </w:p>
          <w:p w14:paraId="73BDB550">
            <w:pPr>
              <w:pStyle w:val="62"/>
              <w:keepNext w:val="0"/>
              <w:keepLines w:val="0"/>
              <w:suppressLineNumbers w:val="0"/>
              <w:overflowPunct w:val="0"/>
              <w:spacing w:before="0" w:beforeAutospacing="0" w:after="0" w:afterAutospacing="0" w:line="360" w:lineRule="auto"/>
              <w:ind w:left="0" w:right="0"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施工设计阶段必须进行施工组织设计，合理规划</w:t>
            </w:r>
            <w:r>
              <w:rPr>
                <w:rFonts w:hint="default" w:ascii="Times New Roman" w:hAnsi="Times New Roman" w:cs="Times New Roman"/>
                <w:color w:val="auto"/>
                <w:sz w:val="24"/>
                <w:highlight w:val="none"/>
                <w:lang w:val="en-US"/>
              </w:rPr>
              <w:t>临时</w:t>
            </w:r>
            <w:r>
              <w:rPr>
                <w:rFonts w:hint="default" w:ascii="Times New Roman" w:hAnsi="Times New Roman" w:cs="Times New Roman"/>
                <w:color w:val="auto"/>
                <w:sz w:val="24"/>
                <w:highlight w:val="none"/>
              </w:rPr>
              <w:t>施工场地，严格选择施工附属设施的布置位置，施工禁止超计划占地，尽可能少占植被，从源头上减少对植被的破坏；征占用林地要报请林业部门批准。</w:t>
            </w:r>
          </w:p>
          <w:p w14:paraId="08E4FFA1">
            <w:pPr>
              <w:pStyle w:val="62"/>
              <w:keepNext w:val="0"/>
              <w:keepLines w:val="0"/>
              <w:suppressLineNumbers w:val="0"/>
              <w:overflowPunct w:val="0"/>
              <w:spacing w:before="0" w:beforeAutospacing="0" w:after="0" w:afterAutospacing="0" w:line="360" w:lineRule="auto"/>
              <w:ind w:left="0" w:right="0" w:firstLine="480" w:firstLineChars="200"/>
              <w:jc w:val="left"/>
              <w:rPr>
                <w:rFonts w:hint="default" w:ascii="Times New Roman" w:hAnsi="Times New Roman" w:cs="Times New Roman"/>
                <w:color w:val="auto"/>
                <w:sz w:val="24"/>
                <w:highlight w:val="none"/>
                <w:shd w:val="clear" w:color="auto" w:fill="auto"/>
              </w:rPr>
            </w:pPr>
            <w:r>
              <w:rPr>
                <w:rFonts w:hint="default" w:ascii="Times New Roman" w:hAnsi="Times New Roman" w:eastAsia="宋体" w:cs="Times New Roman"/>
                <w:color w:val="auto"/>
                <w:sz w:val="24"/>
                <w:highlight w:val="none"/>
                <w:lang w:val="en-US" w:eastAsia="zh-CN"/>
              </w:rPr>
              <w:t>对受破</w:t>
            </w:r>
            <w:r>
              <w:rPr>
                <w:rFonts w:hint="default" w:ascii="Times New Roman" w:hAnsi="Times New Roman" w:cs="Times New Roman"/>
                <w:color w:val="auto"/>
                <w:sz w:val="24"/>
                <w:highlight w:val="none"/>
              </w:rPr>
              <w:t>坏的树木，主要表现为歪斜，应及时扶正树体，出现的裂缝等，应及时填补裂缝，覆盖营养土层，厚度不得小于0.7m，并首先选择原有树种进行补种，同时地表撒播草籽。</w:t>
            </w:r>
          </w:p>
          <w:p w14:paraId="28EF939E">
            <w:pPr>
              <w:pStyle w:val="62"/>
              <w:keepNext w:val="0"/>
              <w:keepLines w:val="0"/>
              <w:suppressLineNumbers w:val="0"/>
              <w:shd w:val="clear"/>
              <w:overflowPunct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val="0"/>
                <w:color w:val="auto"/>
                <w:sz w:val="24"/>
                <w:highlight w:val="none"/>
                <w:shd w:val="clear" w:color="auto" w:fill="auto"/>
                <w:lang w:val="en-US"/>
              </w:rPr>
            </w:pPr>
            <w:r>
              <w:rPr>
                <w:rFonts w:hint="eastAsia" w:ascii="Times New Roman" w:hAnsi="Times New Roman" w:cs="Times New Roman"/>
                <w:b w:val="0"/>
                <w:bCs w:val="0"/>
                <w:color w:val="auto"/>
                <w:sz w:val="24"/>
                <w:highlight w:val="none"/>
                <w:shd w:val="clear" w:color="auto" w:fill="auto"/>
                <w:lang w:val="en-US" w:eastAsia="zh-CN"/>
              </w:rPr>
              <w:t>（</w:t>
            </w:r>
            <w:r>
              <w:rPr>
                <w:rFonts w:hint="default" w:ascii="Times New Roman" w:hAnsi="Times New Roman" w:cs="Times New Roman"/>
                <w:b w:val="0"/>
                <w:bCs w:val="0"/>
                <w:color w:val="auto"/>
                <w:sz w:val="24"/>
                <w:highlight w:val="none"/>
                <w:shd w:val="clear" w:color="auto" w:fill="auto"/>
                <w:lang w:val="en-US"/>
              </w:rPr>
              <w:t>3）减缓措施</w:t>
            </w:r>
          </w:p>
          <w:p w14:paraId="552AF645">
            <w:pPr>
              <w:pStyle w:val="62"/>
              <w:keepNext w:val="0"/>
              <w:keepLines w:val="0"/>
              <w:suppressLineNumbers w:val="0"/>
              <w:overflowPunct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highlight w:val="none"/>
                <w:lang w:val="en-US"/>
              </w:rPr>
            </w:pPr>
            <w:r>
              <w:rPr>
                <w:rFonts w:hint="default" w:ascii="Times New Roman" w:hAnsi="Times New Roman" w:eastAsia="宋体" w:cs="Times New Roman"/>
                <w:color w:val="auto"/>
                <w:sz w:val="24"/>
                <w:highlight w:val="none"/>
                <w:lang w:val="en-US"/>
              </w:rPr>
              <w:t>①</w:t>
            </w:r>
            <w:r>
              <w:rPr>
                <w:rFonts w:hint="default" w:ascii="Times New Roman" w:hAnsi="Times New Roman" w:eastAsia="宋体" w:cs="Times New Roman"/>
                <w:color w:val="auto"/>
                <w:sz w:val="24"/>
                <w:highlight w:val="none"/>
                <w:lang w:val="en-US" w:eastAsia="zh-CN"/>
              </w:rPr>
              <w:t>开工前对表土进行规范剥离、集中堆存和保护，</w:t>
            </w:r>
            <w:r>
              <w:rPr>
                <w:rFonts w:hint="default" w:ascii="Times New Roman" w:hAnsi="Times New Roman" w:eastAsia="宋体" w:cs="Times New Roman"/>
                <w:color w:val="auto"/>
                <w:sz w:val="24"/>
                <w:szCs w:val="24"/>
                <w:highlight w:val="none"/>
                <w:lang w:val="en-US" w:eastAsia="zh-CN"/>
              </w:rPr>
              <w:t>采用</w:t>
            </w:r>
            <w:r>
              <w:rPr>
                <w:rFonts w:hint="default" w:ascii="Times New Roman" w:hAnsi="Times New Roman" w:eastAsia="宋体" w:cs="Times New Roman"/>
                <w:color w:val="auto"/>
                <w:sz w:val="24"/>
                <w:szCs w:val="24"/>
                <w:highlight w:val="none"/>
              </w:rPr>
              <w:t>防尘网进行苫盖，</w:t>
            </w:r>
            <w:r>
              <w:rPr>
                <w:rFonts w:hint="default" w:ascii="Times New Roman" w:hAnsi="Times New Roman" w:eastAsia="宋体" w:cs="Times New Roman"/>
                <w:color w:val="auto"/>
                <w:sz w:val="24"/>
                <w:highlight w:val="none"/>
                <w:lang w:val="en-US" w:eastAsia="zh-CN"/>
              </w:rPr>
              <w:t>用于施工结束后的复垦，有效保护土地资源。</w:t>
            </w:r>
          </w:p>
          <w:p w14:paraId="3ABF940D">
            <w:pPr>
              <w:pStyle w:val="62"/>
              <w:keepNext w:val="0"/>
              <w:keepLines w:val="0"/>
              <w:suppressLineNumbers w:val="0"/>
              <w:shd w:val="clear"/>
              <w:overflowPunct w:val="0"/>
              <w:spacing w:beforeAutospacing="0" w:after="0" w:afterAutospacing="0" w:line="360" w:lineRule="auto"/>
              <w:ind w:left="0" w:right="0" w:firstLine="480" w:firstLineChars="200"/>
              <w:jc w:val="left"/>
              <w:rPr>
                <w:rFonts w:hint="default" w:ascii="Times New Roman" w:hAnsi="Times New Roman" w:eastAsia="宋体" w:cs="Times New Roman"/>
                <w:bCs/>
                <w:color w:val="auto"/>
                <w:sz w:val="24"/>
                <w:highlight w:val="none"/>
                <w:shd w:val="clear" w:color="auto" w:fill="auto"/>
                <w:lang w:val="en-US" w:eastAsia="zh-CN"/>
              </w:rPr>
            </w:pPr>
            <w:r>
              <w:rPr>
                <w:rFonts w:hint="default" w:ascii="Times New Roman" w:hAnsi="Times New Roman" w:eastAsia="宋体" w:cs="Times New Roman"/>
                <w:color w:val="auto"/>
                <w:sz w:val="24"/>
                <w:szCs w:val="24"/>
                <w:highlight w:val="none"/>
                <w:shd w:val="clear" w:color="auto" w:fill="auto"/>
                <w:lang w:val="en-US"/>
              </w:rPr>
              <w:t>②</w:t>
            </w:r>
            <w:r>
              <w:rPr>
                <w:rFonts w:hint="default" w:ascii="Times New Roman" w:hAnsi="Times New Roman" w:eastAsia="宋体" w:cs="Times New Roman"/>
                <w:bCs/>
                <w:color w:val="auto"/>
                <w:sz w:val="24"/>
                <w:highlight w:val="none"/>
                <w:shd w:val="clear" w:color="auto" w:fill="auto"/>
                <w:lang w:val="en-US"/>
              </w:rPr>
              <w:t>施工现场加强管理，做好机械的日常维修保养，杜绝跑、冒、滴、漏现象</w:t>
            </w:r>
            <w:r>
              <w:rPr>
                <w:rFonts w:hint="default" w:ascii="Times New Roman" w:hAnsi="Times New Roman" w:eastAsia="宋体" w:cs="Times New Roman"/>
                <w:bCs/>
                <w:color w:val="auto"/>
                <w:sz w:val="24"/>
                <w:highlight w:val="none"/>
                <w:shd w:val="clear" w:color="auto" w:fill="auto"/>
                <w:lang w:val="en-US" w:eastAsia="zh-CN"/>
              </w:rPr>
              <w:t>，</w:t>
            </w:r>
            <w:r>
              <w:rPr>
                <w:rFonts w:hint="default" w:ascii="Times New Roman" w:hAnsi="Times New Roman" w:eastAsia="宋体" w:cs="Times New Roman"/>
                <w:bCs/>
                <w:color w:val="auto"/>
                <w:sz w:val="24"/>
                <w:highlight w:val="none"/>
                <w:shd w:val="clear" w:color="auto" w:fill="auto"/>
                <w:lang w:val="en-US"/>
              </w:rPr>
              <w:t>防止对土壤和水体造成污染。</w:t>
            </w:r>
          </w:p>
          <w:p w14:paraId="207A6139">
            <w:pPr>
              <w:pStyle w:val="62"/>
              <w:keepNext w:val="0"/>
              <w:keepLines w:val="0"/>
              <w:suppressLineNumbers w:val="0"/>
              <w:shd w:val="clear"/>
              <w:overflowPunct w:val="0"/>
              <w:spacing w:before="0" w:beforeAutospacing="0" w:after="0" w:afterAutospacing="0" w:line="360" w:lineRule="auto"/>
              <w:ind w:left="0" w:right="0" w:firstLine="480" w:firstLineChars="200"/>
              <w:jc w:val="left"/>
              <w:rPr>
                <w:rFonts w:hint="default" w:ascii="Times New Roman" w:hAnsi="Times New Roman" w:eastAsia="Times New Roman" w:cs="Times New Roman"/>
                <w:color w:val="auto"/>
                <w:sz w:val="24"/>
                <w:highlight w:val="none"/>
                <w:shd w:val="clear" w:color="auto" w:fill="auto"/>
              </w:rPr>
            </w:pPr>
            <w:r>
              <w:rPr>
                <w:rFonts w:hint="default" w:ascii="Times New Roman" w:hAnsi="Times New Roman" w:eastAsia="宋体" w:cs="Times New Roman"/>
                <w:bCs/>
                <w:color w:val="auto"/>
                <w:sz w:val="24"/>
                <w:highlight w:val="none"/>
                <w:shd w:val="clear" w:color="auto" w:fill="auto"/>
                <w:lang w:val="en-US" w:eastAsia="zh-CN"/>
              </w:rPr>
              <w:t>③</w:t>
            </w:r>
            <w:r>
              <w:rPr>
                <w:rFonts w:hint="default" w:ascii="Times New Roman" w:hAnsi="Times New Roman" w:eastAsia="宋体" w:cs="Times New Roman"/>
                <w:color w:val="auto"/>
                <w:kern w:val="2"/>
                <w:sz w:val="24"/>
                <w:szCs w:val="24"/>
                <w:highlight w:val="none"/>
                <w:lang w:val="en-US" w:eastAsia="zh-CN" w:bidi="ar-SA"/>
              </w:rPr>
              <w:t>设专人负责施工期环境管理，加强施工人员生态保护宣传，禁止施工时乱砍滥伐、狩猎等行为，严格执行国家有关动物保护法律法规。</w:t>
            </w:r>
          </w:p>
          <w:p w14:paraId="031E5AB8">
            <w:pPr>
              <w:pStyle w:val="62"/>
              <w:keepNext w:val="0"/>
              <w:keepLines w:val="0"/>
              <w:suppressLineNumbers w:val="0"/>
              <w:overflowPunct w:val="0"/>
              <w:spacing w:before="0" w:beforeAutospacing="0" w:after="0" w:afterAutospacing="0" w:line="360" w:lineRule="auto"/>
              <w:ind w:left="0" w:right="0" w:firstLine="480" w:firstLineChars="200"/>
              <w:jc w:val="left"/>
              <w:rPr>
                <w:rFonts w:hint="default" w:ascii="Times New Roman" w:hAnsi="Times New Roman" w:eastAsia="宋体" w:cs="Times New Roman"/>
                <w:bCs/>
                <w:color w:val="auto"/>
                <w:sz w:val="24"/>
                <w:highlight w:val="none"/>
                <w:shd w:val="clear" w:color="auto" w:fill="auto"/>
                <w:lang w:val="en-US" w:eastAsia="zh-CN"/>
              </w:rPr>
            </w:pPr>
            <w:r>
              <w:rPr>
                <w:rFonts w:hint="default" w:ascii="Times New Roman" w:hAnsi="Times New Roman" w:eastAsia="宋体" w:cs="Times New Roman"/>
                <w:bCs/>
                <w:color w:val="auto"/>
                <w:sz w:val="24"/>
                <w:highlight w:val="none"/>
                <w:shd w:val="clear" w:color="auto" w:fill="auto"/>
                <w:lang w:val="en-US"/>
              </w:rPr>
              <w:t>④</w:t>
            </w:r>
            <w:r>
              <w:rPr>
                <w:rFonts w:hint="default" w:ascii="Times New Roman" w:hAnsi="Times New Roman" w:eastAsia="宋体" w:cs="Times New Roman"/>
                <w:color w:val="auto"/>
                <w:kern w:val="2"/>
                <w:sz w:val="24"/>
                <w:szCs w:val="24"/>
                <w:highlight w:val="none"/>
                <w:lang w:val="en-US" w:eastAsia="zh-CN" w:bidi="ar-SA"/>
              </w:rPr>
              <w:t>优化施工方案，优化施工组织设计，尽量压缩作业面。</w:t>
            </w:r>
          </w:p>
          <w:p w14:paraId="24D8C767">
            <w:pPr>
              <w:pStyle w:val="62"/>
              <w:keepNext w:val="0"/>
              <w:keepLines w:val="0"/>
              <w:suppressLineNumbers w:val="0"/>
              <w:overflowPunct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highlight w:val="none"/>
                <w:shd w:val="clear" w:color="auto" w:fill="auto"/>
                <w:lang w:eastAsia="zh-CN"/>
              </w:rPr>
            </w:pPr>
            <w:r>
              <w:rPr>
                <w:rFonts w:hint="default" w:ascii="Times New Roman" w:hAnsi="Times New Roman" w:eastAsia="宋体" w:cs="Times New Roman"/>
                <w:bCs/>
                <w:color w:val="auto"/>
                <w:sz w:val="24"/>
                <w:highlight w:val="none"/>
                <w:shd w:val="clear" w:color="auto" w:fill="auto"/>
                <w:lang w:val="en-US" w:eastAsia="zh-CN"/>
              </w:rPr>
              <w:t>⑤</w:t>
            </w:r>
            <w:r>
              <w:rPr>
                <w:rFonts w:hint="default" w:ascii="Times New Roman" w:hAnsi="Times New Roman" w:eastAsia="宋体" w:cs="Times New Roman"/>
                <w:color w:val="auto"/>
                <w:kern w:val="2"/>
                <w:sz w:val="24"/>
                <w:szCs w:val="24"/>
                <w:highlight w:val="none"/>
                <w:lang w:val="en-US" w:eastAsia="zh-CN" w:bidi="ar-SA"/>
              </w:rPr>
              <w:t>科学规划、精心组织、强化教育、缩短工期，减少工程施工期对鸟类栖息地的扰动和破坏，降低施工噪声对鸟类的惊扰和驱赶，避免捕鸟、掏蛋等对鸟类直接伤害的行为。</w:t>
            </w:r>
          </w:p>
          <w:p w14:paraId="634F2B02">
            <w:pPr>
              <w:pStyle w:val="62"/>
              <w:keepNext w:val="0"/>
              <w:keepLines w:val="0"/>
              <w:suppressLineNumbers w:val="0"/>
              <w:shd w:val="clear"/>
              <w:overflowPunct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val="0"/>
                <w:color w:val="auto"/>
                <w:sz w:val="24"/>
                <w:highlight w:val="none"/>
                <w:shd w:val="clear" w:color="auto" w:fill="auto"/>
                <w:lang w:val="en-US"/>
              </w:rPr>
            </w:pPr>
            <w:r>
              <w:rPr>
                <w:rFonts w:hint="eastAsia" w:ascii="Times New Roman" w:hAnsi="Times New Roman" w:cs="Times New Roman"/>
                <w:b w:val="0"/>
                <w:bCs w:val="0"/>
                <w:color w:val="auto"/>
                <w:sz w:val="24"/>
                <w:highlight w:val="none"/>
                <w:shd w:val="clear" w:color="auto" w:fill="auto"/>
                <w:lang w:val="en-US" w:eastAsia="zh-CN"/>
              </w:rPr>
              <w:t>（</w:t>
            </w:r>
            <w:r>
              <w:rPr>
                <w:rFonts w:hint="default" w:ascii="Times New Roman" w:hAnsi="Times New Roman" w:cs="Times New Roman"/>
                <w:b w:val="0"/>
                <w:bCs w:val="0"/>
                <w:color w:val="auto"/>
                <w:sz w:val="24"/>
                <w:highlight w:val="none"/>
                <w:shd w:val="clear" w:color="auto" w:fill="auto"/>
                <w:lang w:val="en-US"/>
              </w:rPr>
              <w:t>4）修复措施</w:t>
            </w:r>
          </w:p>
          <w:p w14:paraId="0F384565">
            <w:pPr>
              <w:pStyle w:val="62"/>
              <w:keepNext w:val="0"/>
              <w:keepLines w:val="0"/>
              <w:suppressLineNumbers w:val="0"/>
              <w:overflowPunct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①严格施工管理，禁止超范围占地；施工结束后，对临时占地进行植被修复。</w:t>
            </w:r>
          </w:p>
          <w:p w14:paraId="62A0F5DD">
            <w:pPr>
              <w:pStyle w:val="62"/>
              <w:keepNext w:val="0"/>
              <w:keepLines w:val="0"/>
              <w:suppressLineNumbers w:val="0"/>
              <w:overflowPunct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②施工结束后，及时</w:t>
            </w:r>
            <w:r>
              <w:rPr>
                <w:rFonts w:hint="default" w:ascii="Times New Roman" w:hAnsi="Times New Roman" w:eastAsia="宋体" w:cs="Times New Roman"/>
                <w:color w:val="auto"/>
                <w:sz w:val="24"/>
                <w:szCs w:val="24"/>
                <w:highlight w:val="none"/>
                <w:lang w:val="en-US" w:eastAsia="zh-CN"/>
              </w:rPr>
              <w:t>对施工场地进行清理</w:t>
            </w:r>
            <w:r>
              <w:rPr>
                <w:rFonts w:hint="default" w:ascii="Times New Roman" w:hAnsi="Times New Roman" w:eastAsia="宋体" w:cs="Times New Roman"/>
                <w:color w:val="auto"/>
                <w:kern w:val="2"/>
                <w:sz w:val="24"/>
                <w:szCs w:val="24"/>
                <w:highlight w:val="none"/>
                <w:lang w:val="en-US" w:eastAsia="zh-CN" w:bidi="ar-SA"/>
              </w:rPr>
              <w:t>，及时迹地恢复。</w:t>
            </w:r>
          </w:p>
          <w:p w14:paraId="112D4DAF">
            <w:pPr>
              <w:pStyle w:val="62"/>
              <w:keepNext w:val="0"/>
              <w:keepLines w:val="0"/>
              <w:suppressLineNumbers w:val="0"/>
              <w:overflowPunct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③应按照《土地复垦方案》进行复垦，确保土壤肥力指标达到或超过原有水平。</w:t>
            </w:r>
          </w:p>
          <w:p w14:paraId="1F2E20D5">
            <w:pPr>
              <w:pStyle w:val="62"/>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④项目施工过程中、施工结束后应按照</w:t>
            </w:r>
            <w:r>
              <w:rPr>
                <w:rFonts w:hint="default" w:ascii="Times New Roman" w:hAnsi="Times New Roman" w:cs="Times New Roman"/>
                <w:color w:val="auto"/>
                <w:sz w:val="24"/>
                <w:szCs w:val="24"/>
                <w:highlight w:val="none"/>
                <w:shd w:val="clear" w:color="auto" w:fill="auto"/>
                <w:lang w:val="en-US" w:eastAsia="zh-CN"/>
              </w:rPr>
              <w:t>项目</w:t>
            </w:r>
            <w:r>
              <w:rPr>
                <w:rFonts w:hint="default" w:ascii="Times New Roman" w:hAnsi="Times New Roman" w:eastAsia="宋体" w:cs="Times New Roman"/>
                <w:color w:val="auto"/>
                <w:kern w:val="2"/>
                <w:sz w:val="24"/>
                <w:szCs w:val="24"/>
                <w:highlight w:val="none"/>
                <w:lang w:val="en-US" w:eastAsia="zh-CN" w:bidi="ar-SA"/>
              </w:rPr>
              <w:t>水土保持方案报告中的要求采取相应水保措施。</w:t>
            </w:r>
          </w:p>
          <w:p w14:paraId="45A46097">
            <w:pPr>
              <w:pStyle w:val="62"/>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b w:val="0"/>
                <w:bCs w:val="0"/>
                <w:color w:val="auto"/>
                <w:sz w:val="24"/>
                <w:highlight w:val="none"/>
                <w:shd w:val="clear" w:color="auto" w:fill="auto"/>
                <w:lang w:val="en-US"/>
              </w:rPr>
            </w:pPr>
            <w:r>
              <w:rPr>
                <w:rFonts w:hint="default" w:ascii="Times New Roman" w:hAnsi="Times New Roman" w:cs="Times New Roman"/>
                <w:color w:val="auto"/>
                <w:kern w:val="2"/>
                <w:sz w:val="24"/>
                <w:szCs w:val="24"/>
                <w:highlight w:val="none"/>
                <w:lang w:val="en-US" w:eastAsia="zh-CN" w:bidi="ar-SA"/>
              </w:rPr>
              <w:t>⑤</w:t>
            </w:r>
            <w:r>
              <w:rPr>
                <w:rFonts w:hint="default" w:ascii="Times New Roman" w:hAnsi="Times New Roman" w:cs="Times New Roman"/>
                <w:b w:val="0"/>
                <w:bCs w:val="0"/>
                <w:color w:val="auto"/>
                <w:sz w:val="24"/>
                <w:highlight w:val="none"/>
                <w:shd w:val="clear" w:color="auto" w:fill="auto"/>
                <w:lang w:val="en-US"/>
              </w:rPr>
              <w:t>植被恢复及绿化过程中，宜采用当地植物进行“恢复性"种植，然后采取“封育”手段，促进自然恢复。在植被恢复及绿化过程中，应选择乡土树种及适合当地环境的植物，并注意乔、灌、草搭配的原则，同时要与周围的自然景观相协调统一，可选用乡土植物。</w:t>
            </w:r>
          </w:p>
          <w:p w14:paraId="7296B29E">
            <w:pPr>
              <w:pStyle w:val="62"/>
              <w:keepNext w:val="0"/>
              <w:keepLines w:val="0"/>
              <w:suppressLineNumbers w:val="0"/>
              <w:shd w:val="clear"/>
              <w:overflowPunct w:val="0"/>
              <w:spacing w:before="0" w:beforeAutospacing="0" w:after="0" w:afterAutospacing="0" w:line="360" w:lineRule="auto"/>
              <w:ind w:left="0" w:right="0" w:firstLine="480" w:firstLineChars="200"/>
              <w:jc w:val="left"/>
              <w:rPr>
                <w:rFonts w:hint="default" w:ascii="Times New Roman" w:hAnsi="Times New Roman" w:eastAsia="宋体" w:cs="Times New Roman"/>
                <w:b w:val="0"/>
                <w:bCs w:val="0"/>
                <w:color w:val="auto"/>
                <w:sz w:val="24"/>
                <w:highlight w:val="none"/>
                <w:shd w:val="clear" w:color="auto" w:fill="auto"/>
                <w:lang w:val="en-US"/>
              </w:rPr>
            </w:pPr>
            <w:r>
              <w:rPr>
                <w:rFonts w:hint="eastAsia" w:ascii="Times New Roman" w:hAnsi="Times New Roman" w:cs="Times New Roman"/>
                <w:b w:val="0"/>
                <w:bCs w:val="0"/>
                <w:color w:val="auto"/>
                <w:sz w:val="24"/>
                <w:highlight w:val="none"/>
                <w:shd w:val="clear" w:color="auto" w:fill="auto"/>
                <w:lang w:val="en-US" w:eastAsia="zh-CN"/>
              </w:rPr>
              <w:t>（</w:t>
            </w:r>
            <w:r>
              <w:rPr>
                <w:rFonts w:hint="default" w:ascii="Times New Roman" w:hAnsi="Times New Roman" w:cs="Times New Roman"/>
                <w:b w:val="0"/>
                <w:bCs w:val="0"/>
                <w:color w:val="auto"/>
                <w:sz w:val="24"/>
                <w:highlight w:val="none"/>
                <w:shd w:val="clear" w:color="auto" w:fill="auto"/>
                <w:lang w:val="en-US"/>
              </w:rPr>
              <w:t>5）补偿措施</w:t>
            </w:r>
          </w:p>
          <w:p w14:paraId="3A03E183">
            <w:pPr>
              <w:keepNext w:val="0"/>
              <w:keepLines w:val="0"/>
              <w:pageBreakBefore w:val="0"/>
              <w:widowControl w:val="0"/>
              <w:kinsoku/>
              <w:wordWrap/>
              <w:overflowPunct/>
              <w:topLinePunct w:val="0"/>
              <w:autoSpaceDE/>
              <w:autoSpaceDN/>
              <w:bidi w:val="0"/>
              <w:spacing w:line="360" w:lineRule="auto"/>
              <w:ind w:left="0" w:firstLine="480" w:firstLineChars="200"/>
              <w:jc w:val="left"/>
              <w:textAlignment w:val="auto"/>
              <w:rPr>
                <w:rFonts w:hint="default" w:ascii="Times New Roman" w:hAnsi="Times New Roman" w:cs="Times New Roman"/>
                <w:color w:val="auto"/>
                <w:sz w:val="24"/>
                <w:highlight w:val="none"/>
                <w:shd w:val="clear" w:color="auto" w:fill="auto"/>
                <w:lang w:val="en-US"/>
              </w:rPr>
            </w:pPr>
            <w:r>
              <w:rPr>
                <w:rFonts w:hint="default" w:ascii="Times New Roman" w:hAnsi="Times New Roman" w:eastAsia="宋体" w:cs="Times New Roman"/>
                <w:color w:val="auto"/>
                <w:kern w:val="2"/>
                <w:sz w:val="24"/>
                <w:szCs w:val="24"/>
                <w:highlight w:val="none"/>
                <w:lang w:val="en-US" w:eastAsia="zh-CN" w:bidi="ar-SA"/>
              </w:rPr>
              <w:t>①临时占用永久基本农田管道采用地埋式，采取的施工方式为边开挖管槽，边进行覆土，由于临时占用永久基本农田内会破坏农作物，建设方对被临时征占农地农户进行相关的经济补偿。</w:t>
            </w:r>
          </w:p>
          <w:p w14:paraId="09F6C97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highlight w:val="none"/>
                <w:shd w:val="clear" w:color="auto" w:fill="auto"/>
                <w:lang w:val="en-US" w:eastAsia="zh-CN"/>
              </w:rPr>
              <w:t>②</w:t>
            </w:r>
            <w:r>
              <w:rPr>
                <w:rFonts w:hint="default" w:ascii="Times New Roman" w:hAnsi="Times New Roman" w:cs="Times New Roman"/>
                <w:color w:val="auto"/>
                <w:sz w:val="24"/>
                <w:highlight w:val="none"/>
                <w:shd w:val="clear" w:color="auto" w:fill="auto"/>
                <w:lang w:val="en-US"/>
              </w:rPr>
              <w:t>项目</w:t>
            </w:r>
            <w:r>
              <w:rPr>
                <w:rFonts w:hint="default" w:ascii="Times New Roman" w:hAnsi="Times New Roman" w:cs="Times New Roman"/>
                <w:color w:val="auto"/>
                <w:sz w:val="24"/>
                <w:highlight w:val="none"/>
                <w:shd w:val="clear" w:color="auto" w:fill="auto"/>
              </w:rPr>
              <w:t>永久性</w:t>
            </w:r>
            <w:r>
              <w:rPr>
                <w:rFonts w:hint="default" w:ascii="Times New Roman" w:hAnsi="Times New Roman" w:cs="Times New Roman"/>
                <w:color w:val="auto"/>
                <w:sz w:val="24"/>
                <w:highlight w:val="none"/>
                <w:shd w:val="clear" w:color="auto" w:fill="auto"/>
                <w:lang w:val="en-US" w:eastAsia="zh-CN"/>
              </w:rPr>
              <w:t>占地</w:t>
            </w:r>
            <w:r>
              <w:rPr>
                <w:rFonts w:hint="default" w:ascii="Times New Roman" w:hAnsi="Times New Roman" w:cs="Times New Roman"/>
                <w:color w:val="auto"/>
                <w:sz w:val="24"/>
                <w:highlight w:val="none"/>
                <w:shd w:val="clear" w:color="auto" w:fill="auto"/>
              </w:rPr>
              <w:t>和临时性</w:t>
            </w:r>
            <w:r>
              <w:rPr>
                <w:rFonts w:hint="default" w:ascii="Times New Roman" w:hAnsi="Times New Roman" w:cs="Times New Roman"/>
                <w:color w:val="auto"/>
                <w:sz w:val="24"/>
                <w:highlight w:val="none"/>
                <w:shd w:val="clear" w:color="auto" w:fill="auto"/>
                <w:lang w:val="en-US" w:eastAsia="zh-CN"/>
              </w:rPr>
              <w:t>占地</w:t>
            </w:r>
            <w:r>
              <w:rPr>
                <w:rFonts w:hint="default" w:ascii="Times New Roman" w:hAnsi="Times New Roman" w:cs="Times New Roman"/>
                <w:color w:val="auto"/>
                <w:sz w:val="24"/>
                <w:highlight w:val="none"/>
                <w:shd w:val="clear" w:color="auto" w:fill="auto"/>
              </w:rPr>
              <w:t>占用部分林地</w:t>
            </w:r>
            <w:r>
              <w:rPr>
                <w:rFonts w:hint="default" w:ascii="Times New Roman" w:hAnsi="Times New Roman" w:cs="Times New Roman"/>
                <w:color w:val="auto"/>
                <w:sz w:val="24"/>
                <w:highlight w:val="none"/>
                <w:shd w:val="clear" w:color="auto" w:fill="auto"/>
                <w:lang w:eastAsia="zh-CN"/>
              </w:rPr>
              <w:t>，</w:t>
            </w:r>
            <w:r>
              <w:rPr>
                <w:rFonts w:hint="default" w:ascii="Times New Roman" w:hAnsi="Times New Roman" w:cs="Times New Roman"/>
                <w:color w:val="auto"/>
                <w:sz w:val="24"/>
                <w:highlight w:val="none"/>
                <w:shd w:val="clear" w:color="auto" w:fill="auto"/>
              </w:rPr>
              <w:t>须按照国家相关土地补偿标准予以补偿。应根据国家关于林地补偿相关规定，向地方缴纳森林植被恢复费，补偿</w:t>
            </w:r>
            <w:r>
              <w:rPr>
                <w:rFonts w:hint="default" w:ascii="Times New Roman" w:hAnsi="Times New Roman" w:cs="Times New Roman"/>
                <w:color w:val="auto"/>
                <w:sz w:val="24"/>
                <w:highlight w:val="none"/>
                <w:shd w:val="clear" w:color="auto" w:fill="auto"/>
                <w:lang w:val="en-US"/>
              </w:rPr>
              <w:t>项目</w:t>
            </w:r>
            <w:r>
              <w:rPr>
                <w:rFonts w:hint="default" w:ascii="Times New Roman" w:hAnsi="Times New Roman" w:cs="Times New Roman"/>
                <w:color w:val="auto"/>
                <w:sz w:val="24"/>
                <w:highlight w:val="none"/>
                <w:shd w:val="clear" w:color="auto" w:fill="auto"/>
              </w:rPr>
              <w:t>占地造成的损失，专款用于林地恢复、异地造林和养护。</w:t>
            </w:r>
          </w:p>
          <w:p w14:paraId="5D418CEE">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1.2具体项目生态保护措施</w:t>
            </w:r>
          </w:p>
          <w:p w14:paraId="69B3CC8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土地利用</w:t>
            </w:r>
            <w:r>
              <w:rPr>
                <w:rFonts w:hint="default" w:ascii="Times New Roman" w:hAnsi="Times New Roman" w:cs="Times New Roman"/>
                <w:color w:val="auto"/>
                <w:sz w:val="24"/>
                <w:szCs w:val="24"/>
                <w:highlight w:val="none"/>
                <w:lang w:val="en-US" w:eastAsia="zh-CN"/>
              </w:rPr>
              <w:t>保护措施</w:t>
            </w:r>
          </w:p>
          <w:p w14:paraId="3011340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eastAsia="zh-CN"/>
              </w:rPr>
              <w:t>加强施工管理，</w:t>
            </w:r>
            <w:r>
              <w:rPr>
                <w:rFonts w:hint="default" w:ascii="Times New Roman" w:hAnsi="Times New Roman" w:cs="Times New Roman"/>
                <w:color w:val="auto"/>
                <w:sz w:val="24"/>
                <w:szCs w:val="24"/>
                <w:highlight w:val="none"/>
                <w:lang w:val="en-US" w:eastAsia="zh-CN"/>
              </w:rPr>
              <w:t>做</w:t>
            </w:r>
            <w:r>
              <w:rPr>
                <w:rFonts w:hint="default" w:ascii="Times New Roman" w:hAnsi="Times New Roman" w:eastAsia="宋体" w:cs="Times New Roman"/>
                <w:color w:val="auto"/>
                <w:sz w:val="24"/>
                <w:szCs w:val="24"/>
                <w:highlight w:val="none"/>
                <w:lang w:eastAsia="zh-CN"/>
              </w:rPr>
              <w:t>好施工组织设计，科学规划施工场地，合理安排施工进度，</w:t>
            </w:r>
            <w:r>
              <w:rPr>
                <w:rFonts w:hint="default" w:ascii="Times New Roman" w:hAnsi="Times New Roman" w:cs="Times New Roman"/>
                <w:color w:val="auto"/>
                <w:sz w:val="24"/>
                <w:szCs w:val="24"/>
                <w:highlight w:val="none"/>
                <w:lang w:val="en-US" w:eastAsia="zh-CN"/>
              </w:rPr>
              <w:t>尽量缩短施工工期</w:t>
            </w:r>
            <w:r>
              <w:rPr>
                <w:rFonts w:hint="default" w:ascii="Times New Roman" w:hAnsi="Times New Roman" w:eastAsia="宋体" w:cs="Times New Roman"/>
                <w:color w:val="auto"/>
                <w:sz w:val="24"/>
                <w:szCs w:val="24"/>
                <w:highlight w:val="none"/>
                <w:lang w:eastAsia="zh-CN"/>
              </w:rPr>
              <w:t>，尽量减少临时工程占地</w:t>
            </w:r>
            <w:r>
              <w:rPr>
                <w:rFonts w:hint="default" w:ascii="Times New Roman" w:hAnsi="Times New Roman" w:cs="Times New Roman"/>
                <w:color w:val="auto"/>
                <w:sz w:val="24"/>
                <w:szCs w:val="24"/>
                <w:highlight w:val="none"/>
                <w:lang w:eastAsia="zh-CN"/>
              </w:rPr>
              <w:t>。</w:t>
            </w:r>
          </w:p>
          <w:p w14:paraId="440F94F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rPr>
              <w:t>施工便道尽量利用</w:t>
            </w:r>
            <w:r>
              <w:rPr>
                <w:rFonts w:hint="default" w:ascii="Times New Roman" w:hAnsi="Times New Roman" w:cs="Times New Roman"/>
                <w:color w:val="auto"/>
                <w:sz w:val="24"/>
                <w:szCs w:val="24"/>
                <w:highlight w:val="none"/>
                <w:lang w:val="en-US" w:eastAsia="zh-CN"/>
              </w:rPr>
              <w:t>周边现</w:t>
            </w:r>
            <w:r>
              <w:rPr>
                <w:rFonts w:hint="default" w:ascii="Times New Roman" w:hAnsi="Times New Roman" w:eastAsia="宋体" w:cs="Times New Roman"/>
                <w:color w:val="auto"/>
                <w:sz w:val="24"/>
                <w:szCs w:val="24"/>
                <w:highlight w:val="none"/>
              </w:rPr>
              <w:t>有</w:t>
            </w:r>
            <w:r>
              <w:rPr>
                <w:rFonts w:hint="default" w:ascii="Times New Roman" w:hAnsi="Times New Roman" w:cs="Times New Roman"/>
                <w:color w:val="auto"/>
                <w:sz w:val="24"/>
                <w:szCs w:val="24"/>
                <w:highlight w:val="none"/>
                <w:lang w:val="en-US" w:eastAsia="zh-CN"/>
              </w:rPr>
              <w:t>道路</w:t>
            </w:r>
            <w:r>
              <w:rPr>
                <w:rFonts w:hint="default" w:ascii="Times New Roman" w:hAnsi="Times New Roman" w:eastAsia="宋体" w:cs="Times New Roman"/>
                <w:color w:val="auto"/>
                <w:sz w:val="24"/>
                <w:szCs w:val="24"/>
                <w:highlight w:val="none"/>
              </w:rPr>
              <w:t>，合理布线，</w:t>
            </w:r>
            <w:r>
              <w:rPr>
                <w:rFonts w:hint="default" w:ascii="Times New Roman" w:hAnsi="Times New Roman" w:cs="Times New Roman"/>
                <w:color w:val="auto"/>
                <w:sz w:val="24"/>
                <w:szCs w:val="24"/>
                <w:highlight w:val="none"/>
              </w:rPr>
              <w:t>严格控制施工</w:t>
            </w:r>
            <w:r>
              <w:rPr>
                <w:rFonts w:hint="default" w:ascii="Times New Roman" w:hAnsi="Times New Roman" w:eastAsia="宋体" w:cs="Times New Roman"/>
                <w:color w:val="auto"/>
                <w:sz w:val="24"/>
                <w:szCs w:val="24"/>
                <w:highlight w:val="none"/>
              </w:rPr>
              <w:t>用地范围</w:t>
            </w:r>
            <w:r>
              <w:rPr>
                <w:rFonts w:hint="default" w:ascii="Times New Roman" w:hAnsi="Times New Roman" w:cs="Times New Roman"/>
                <w:color w:val="auto"/>
                <w:sz w:val="24"/>
                <w:szCs w:val="24"/>
                <w:highlight w:val="none"/>
                <w:lang w:val="en-US" w:eastAsia="zh-CN"/>
              </w:rPr>
              <w:t>和</w:t>
            </w:r>
            <w:r>
              <w:rPr>
                <w:rFonts w:hint="default" w:ascii="Times New Roman" w:hAnsi="Times New Roman" w:cs="Times New Roman"/>
                <w:color w:val="auto"/>
                <w:sz w:val="24"/>
                <w:szCs w:val="24"/>
                <w:highlight w:val="none"/>
              </w:rPr>
              <w:t>活动区域，必须在规定的作业范围内活动</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可以减少植被破坏面积和临时占地面积</w:t>
            </w:r>
            <w:r>
              <w:rPr>
                <w:rFonts w:hint="default" w:ascii="Times New Roman" w:hAnsi="Times New Roman" w:cs="Times New Roman"/>
                <w:color w:val="auto"/>
                <w:sz w:val="24"/>
                <w:szCs w:val="24"/>
                <w:highlight w:val="none"/>
                <w:lang w:eastAsia="zh-CN"/>
              </w:rPr>
              <w:t>。</w:t>
            </w:r>
          </w:p>
          <w:p w14:paraId="169ABCF2">
            <w:pPr>
              <w:pStyle w:val="63"/>
              <w:keepNext w:val="0"/>
              <w:keepLines w:val="0"/>
              <w:pageBreakBefore w:val="0"/>
              <w:widowControl w:val="0"/>
              <w:tabs>
                <w:tab w:val="left" w:pos="4404"/>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③</w:t>
            </w:r>
            <w:r>
              <w:rPr>
                <w:rFonts w:hint="default" w:ascii="Times New Roman" w:hAnsi="Times New Roman" w:eastAsia="宋体" w:cs="Times New Roman"/>
                <w:color w:val="auto"/>
                <w:spacing w:val="0"/>
                <w:w w:val="100"/>
                <w:position w:val="0"/>
                <w:sz w:val="24"/>
                <w:szCs w:val="24"/>
                <w:highlight w:val="none"/>
              </w:rPr>
              <w:t>工程施工中应严格按设计开挖，不得随意扩大开挖范围，尽量减少对土地的毁坏。</w:t>
            </w:r>
          </w:p>
          <w:p w14:paraId="4E4FB212">
            <w:pPr>
              <w:pStyle w:val="63"/>
              <w:keepNext w:val="0"/>
              <w:keepLines w:val="0"/>
              <w:pageBreakBefore w:val="0"/>
              <w:widowControl w:val="0"/>
              <w:tabs>
                <w:tab w:val="left" w:pos="4404"/>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pacing w:val="0"/>
                <w:w w:val="100"/>
                <w:position w:val="0"/>
                <w:sz w:val="24"/>
                <w:szCs w:val="24"/>
                <w:highlight w:val="none"/>
                <w:lang w:eastAsia="zh-CN"/>
              </w:rPr>
            </w:pPr>
            <w:r>
              <w:rPr>
                <w:rFonts w:hint="default" w:ascii="Times New Roman" w:hAnsi="Times New Roman" w:eastAsia="宋体" w:cs="Times New Roman"/>
                <w:color w:val="auto"/>
                <w:spacing w:val="0"/>
                <w:w w:val="100"/>
                <w:position w:val="0"/>
                <w:sz w:val="24"/>
                <w:szCs w:val="24"/>
                <w:highlight w:val="none"/>
                <w:lang w:val="en-US" w:eastAsia="zh-CN"/>
              </w:rPr>
              <w:t>④</w:t>
            </w:r>
            <w:r>
              <w:rPr>
                <w:rFonts w:hint="default" w:ascii="Times New Roman" w:hAnsi="Times New Roman" w:eastAsia="宋体" w:cs="Times New Roman"/>
                <w:color w:val="auto"/>
                <w:spacing w:val="0"/>
                <w:w w:val="100"/>
                <w:position w:val="0"/>
                <w:sz w:val="24"/>
                <w:szCs w:val="24"/>
                <w:highlight w:val="none"/>
              </w:rPr>
              <w:t>进一步优化</w:t>
            </w:r>
            <w:r>
              <w:rPr>
                <w:rFonts w:hint="default" w:ascii="Times New Roman" w:hAnsi="Times New Roman" w:eastAsia="宋体" w:cs="Times New Roman"/>
                <w:color w:val="auto"/>
                <w:spacing w:val="0"/>
                <w:w w:val="100"/>
                <w:position w:val="0"/>
                <w:sz w:val="24"/>
                <w:szCs w:val="24"/>
                <w:highlight w:val="none"/>
                <w:lang w:val="en-US" w:eastAsia="zh-CN"/>
              </w:rPr>
              <w:t>施工路线及</w:t>
            </w:r>
            <w:r>
              <w:rPr>
                <w:rFonts w:hint="default" w:ascii="Times New Roman" w:hAnsi="Times New Roman" w:eastAsia="宋体" w:cs="Times New Roman"/>
                <w:color w:val="auto"/>
                <w:spacing w:val="0"/>
                <w:w w:val="100"/>
                <w:position w:val="0"/>
                <w:sz w:val="24"/>
                <w:szCs w:val="24"/>
                <w:highlight w:val="none"/>
              </w:rPr>
              <w:t>施工布局，尽量缩短路线长度，减少临时用地面积。</w:t>
            </w:r>
          </w:p>
          <w:p w14:paraId="473D37C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植被</w:t>
            </w:r>
            <w:r>
              <w:rPr>
                <w:rFonts w:hint="default" w:ascii="Times New Roman" w:hAnsi="Times New Roman" w:cs="Times New Roman"/>
                <w:color w:val="auto"/>
                <w:sz w:val="24"/>
                <w:szCs w:val="24"/>
                <w:highlight w:val="none"/>
                <w:lang w:val="en-US" w:eastAsia="zh-CN"/>
              </w:rPr>
              <w:t>保护措施</w:t>
            </w:r>
          </w:p>
          <w:p w14:paraId="6453273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eastAsia="zh-CN"/>
              </w:rPr>
              <w:t>严格控制施工占地，减少对地表植被的破坏。</w:t>
            </w:r>
          </w:p>
          <w:p w14:paraId="7713C7C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②施工结束后</w:t>
            </w:r>
            <w:r>
              <w:rPr>
                <w:rFonts w:hint="default" w:ascii="Times New Roman" w:hAnsi="Times New Roman" w:eastAsia="宋体" w:cs="Times New Roman"/>
                <w:color w:val="auto"/>
                <w:sz w:val="24"/>
                <w:szCs w:val="24"/>
                <w:highlight w:val="none"/>
              </w:rPr>
              <w:t>对施工场地</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施工临时道路</w:t>
            </w:r>
            <w:r>
              <w:rPr>
                <w:rFonts w:hint="default" w:ascii="Times New Roman" w:hAnsi="Times New Roman" w:cs="Times New Roman"/>
                <w:color w:val="auto"/>
                <w:sz w:val="24"/>
                <w:szCs w:val="24"/>
                <w:highlight w:val="none"/>
                <w:lang w:val="en-US" w:eastAsia="zh-CN"/>
              </w:rPr>
              <w:t>进行植被恢复。</w:t>
            </w:r>
          </w:p>
          <w:p w14:paraId="7C04189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rPr>
              <w:t>在工程建设中也应高度重视对施工沿线植被的保护，充分发挥其生态效应</w:t>
            </w:r>
            <w:r>
              <w:rPr>
                <w:rFonts w:hint="default" w:ascii="Times New Roman" w:hAnsi="Times New Roman" w:cs="Times New Roman"/>
                <w:color w:val="auto"/>
                <w:sz w:val="24"/>
                <w:szCs w:val="24"/>
                <w:highlight w:val="none"/>
                <w:lang w:eastAsia="zh-CN"/>
              </w:rPr>
              <w:t>。</w:t>
            </w:r>
          </w:p>
          <w:p w14:paraId="694EB99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④</w:t>
            </w:r>
            <w:r>
              <w:rPr>
                <w:rFonts w:hint="default" w:ascii="Times New Roman" w:hAnsi="Times New Roman" w:eastAsia="宋体" w:cs="Times New Roman"/>
                <w:color w:val="auto"/>
                <w:sz w:val="24"/>
                <w:szCs w:val="24"/>
                <w:highlight w:val="none"/>
              </w:rPr>
              <w:t>施工前对施工人员进行环保意识的宣传教育</w:t>
            </w:r>
            <w:r>
              <w:rPr>
                <w:rFonts w:hint="default" w:ascii="Times New Roman" w:hAnsi="Times New Roman" w:cs="Times New Roman"/>
                <w:color w:val="auto"/>
                <w:sz w:val="24"/>
                <w:szCs w:val="24"/>
                <w:highlight w:val="none"/>
                <w:lang w:eastAsia="zh-CN"/>
              </w:rPr>
              <w:t>。</w:t>
            </w:r>
          </w:p>
          <w:p w14:paraId="2138548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⑤</w:t>
            </w:r>
            <w:r>
              <w:rPr>
                <w:rFonts w:hint="default" w:ascii="Times New Roman" w:hAnsi="Times New Roman" w:eastAsia="宋体" w:cs="Times New Roman"/>
                <w:color w:val="auto"/>
                <w:sz w:val="24"/>
                <w:szCs w:val="24"/>
                <w:highlight w:val="none"/>
              </w:rPr>
              <w:t>禁止对区域大面积占地及破坏，在工程施工、</w:t>
            </w:r>
            <w:r>
              <w:rPr>
                <w:rFonts w:hint="default" w:ascii="Times New Roman" w:hAnsi="Times New Roman" w:eastAsia="宋体" w:cs="Times New Roman"/>
                <w:color w:val="auto"/>
                <w:sz w:val="24"/>
                <w:szCs w:val="24"/>
                <w:highlight w:val="none"/>
                <w:lang w:val="en-US" w:eastAsia="zh-CN"/>
              </w:rPr>
              <w:t>便道</w:t>
            </w:r>
            <w:r>
              <w:rPr>
                <w:rFonts w:hint="default" w:ascii="Times New Roman" w:hAnsi="Times New Roman" w:eastAsia="宋体" w:cs="Times New Roman"/>
                <w:color w:val="auto"/>
                <w:sz w:val="24"/>
                <w:szCs w:val="24"/>
                <w:highlight w:val="none"/>
              </w:rPr>
              <w:t>修建等人为活动中都应该充分重视对生态资源的保护</w:t>
            </w:r>
            <w:r>
              <w:rPr>
                <w:rFonts w:hint="default" w:ascii="Times New Roman" w:hAnsi="Times New Roman" w:cs="Times New Roman"/>
                <w:color w:val="auto"/>
                <w:sz w:val="24"/>
                <w:szCs w:val="24"/>
                <w:highlight w:val="none"/>
                <w:lang w:eastAsia="zh-CN"/>
              </w:rPr>
              <w:t>。</w:t>
            </w:r>
          </w:p>
          <w:p w14:paraId="132BA53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⑥</w:t>
            </w:r>
            <w:r>
              <w:rPr>
                <w:rFonts w:hint="default" w:ascii="Times New Roman" w:hAnsi="Times New Roman" w:eastAsia="宋体" w:cs="Times New Roman"/>
                <w:color w:val="auto"/>
                <w:sz w:val="24"/>
                <w:szCs w:val="24"/>
                <w:highlight w:val="none"/>
                <w:lang w:eastAsia="zh-CN"/>
              </w:rPr>
              <w:t>施工前划定严格边界，禁止任何超范围占用，施工结束后优先进行生态恢复。</w:t>
            </w:r>
          </w:p>
          <w:p w14:paraId="2F9CE371">
            <w:pPr>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⑦生物量保护措施</w:t>
            </w:r>
          </w:p>
          <w:p w14:paraId="0E7E189B">
            <w:pPr>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优化管线走向，实现与生态保护红线、自然保护地的“零冲突”。</w:t>
            </w:r>
          </w:p>
          <w:p w14:paraId="4B6A2FC2">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Segoe UI" w:cs="Times New Roman"/>
                <w:i w:val="0"/>
                <w:iCs w:val="0"/>
                <w:caps w:val="0"/>
                <w:color w:val="auto"/>
                <w:spacing w:val="0"/>
                <w:sz w:val="24"/>
                <w:szCs w:val="24"/>
                <w:highlight w:val="none"/>
                <w:shd w:val="clear" w:fill="FFFFFF"/>
              </w:rPr>
              <w:t>严格控制临时占地面积，避免对占地区域外的地表植被造成碾压</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w:t>
            </w:r>
          </w:p>
          <w:p w14:paraId="52632813">
            <w:pPr>
              <w:spacing w:line="360" w:lineRule="auto"/>
              <w:ind w:firstLine="480" w:firstLineChars="200"/>
              <w:rPr>
                <w:rFonts w:hint="default" w:ascii="Times New Roman" w:hAnsi="Times New Roman" w:eastAsia="宋体" w:cs="Times New Roman"/>
                <w:i w:val="0"/>
                <w:iCs w:val="0"/>
                <w:caps w:val="0"/>
                <w:color w:val="auto"/>
                <w:spacing w:val="0"/>
                <w:sz w:val="24"/>
                <w:szCs w:val="24"/>
                <w:highlight w:val="none"/>
                <w:shd w:val="clear" w:fill="FFFFFF"/>
                <w:lang w:eastAsia="zh-CN"/>
              </w:rPr>
            </w:pPr>
            <w:r>
              <w:rPr>
                <w:rFonts w:hint="default" w:ascii="Times New Roman" w:hAnsi="Times New Roman" w:eastAsia="Segoe UI" w:cs="Times New Roman"/>
                <w:i w:val="0"/>
                <w:iCs w:val="0"/>
                <w:caps w:val="0"/>
                <w:color w:val="auto"/>
                <w:spacing w:val="0"/>
                <w:sz w:val="24"/>
                <w:szCs w:val="24"/>
                <w:highlight w:val="none"/>
                <w:shd w:val="clear" w:fill="FFFFFF"/>
              </w:rPr>
              <w:t>施工扰动结束后，及时对土地进行平整</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p>
          <w:p w14:paraId="2D86B3DC">
            <w:pPr>
              <w:tabs>
                <w:tab w:val="left" w:pos="2568"/>
              </w:tabs>
              <w:spacing w:line="360" w:lineRule="auto"/>
              <w:ind w:firstLine="480" w:firstLineChars="200"/>
              <w:rPr>
                <w:rFonts w:hint="default" w:ascii="Times New Roman" w:hAnsi="Times New Roman" w:eastAsia="宋体" w:cs="Times New Roman"/>
                <w:i w:val="0"/>
                <w:iCs w:val="0"/>
                <w:caps w:val="0"/>
                <w:color w:val="auto"/>
                <w:spacing w:val="0"/>
                <w:sz w:val="24"/>
                <w:szCs w:val="24"/>
                <w:highlight w:val="none"/>
                <w:shd w:val="clear" w:fill="FFFFFF"/>
                <w:lang w:eastAsia="zh-CN"/>
              </w:rPr>
            </w:pP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坚持本土化复绿原则</w:t>
            </w:r>
            <w:r>
              <w:rPr>
                <w:rFonts w:hint="default" w:ascii="Times New Roman" w:hAnsi="Times New Roman" w:cs="Times New Roman"/>
                <w:i w:val="0"/>
                <w:iCs w:val="0"/>
                <w:caps w:val="0"/>
                <w:color w:val="auto"/>
                <w:spacing w:val="0"/>
                <w:sz w:val="24"/>
                <w:szCs w:val="24"/>
                <w:highlight w:val="none"/>
                <w:shd w:val="clear" w:fill="FFFFFF"/>
                <w:lang w:val="en-US" w:eastAsia="zh-CN"/>
              </w:rPr>
              <w:t>，</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优先选用</w:t>
            </w:r>
            <w:r>
              <w:rPr>
                <w:rFonts w:hint="default" w:ascii="Times New Roman" w:hAnsi="Times New Roman" w:eastAsia="Segoe UI" w:cs="Times New Roman"/>
                <w:i w:val="0"/>
                <w:iCs w:val="0"/>
                <w:caps w:val="0"/>
                <w:color w:val="auto"/>
                <w:spacing w:val="0"/>
                <w:sz w:val="24"/>
                <w:szCs w:val="24"/>
                <w:highlight w:val="none"/>
                <w:shd w:val="clear" w:fill="FFFFFF"/>
              </w:rPr>
              <w:t>乡土树种和植物</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r>
              <w:rPr>
                <w:rFonts w:hint="default" w:ascii="Times New Roman" w:hAnsi="Times New Roman" w:eastAsia="Segoe UI" w:cs="Times New Roman"/>
                <w:i w:val="0"/>
                <w:iCs w:val="0"/>
                <w:caps w:val="0"/>
                <w:color w:val="auto"/>
                <w:spacing w:val="0"/>
                <w:sz w:val="24"/>
                <w:szCs w:val="24"/>
                <w:highlight w:val="none"/>
                <w:shd w:val="clear" w:fill="FFFFFF"/>
              </w:rPr>
              <w:t>提高植物存活率</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p>
          <w:p w14:paraId="0F0C08D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Segoe UI" w:cs="Times New Roman"/>
                <w:i w:val="0"/>
                <w:iCs w:val="0"/>
                <w:caps w:val="0"/>
                <w:color w:val="auto"/>
                <w:spacing w:val="0"/>
                <w:sz w:val="24"/>
                <w:szCs w:val="24"/>
                <w:highlight w:val="none"/>
                <w:shd w:val="clear" w:fill="FFFFFF"/>
              </w:rPr>
              <w:t>严格控制噪声</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r>
              <w:rPr>
                <w:rFonts w:hint="default" w:ascii="Times New Roman" w:hAnsi="Times New Roman" w:eastAsia="Segoe UI" w:cs="Times New Roman"/>
                <w:i w:val="0"/>
                <w:iCs w:val="0"/>
                <w:caps w:val="0"/>
                <w:color w:val="auto"/>
                <w:spacing w:val="0"/>
                <w:sz w:val="24"/>
                <w:szCs w:val="24"/>
                <w:highlight w:val="none"/>
                <w:shd w:val="clear" w:fill="FFFFFF"/>
              </w:rPr>
              <w:t>将对野生动物的栖息干扰降到最低</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p>
          <w:p w14:paraId="0C77D610">
            <w:pPr>
              <w:tabs>
                <w:tab w:val="left" w:pos="2568"/>
              </w:tabs>
              <w:spacing w:line="360" w:lineRule="auto"/>
              <w:ind w:firstLine="480" w:firstLineChars="200"/>
              <w:rPr>
                <w:rFonts w:hint="default" w:ascii="Times New Roman" w:hAnsi="Times New Roman" w:eastAsia="宋体" w:cs="Times New Roman"/>
                <w:i w:val="0"/>
                <w:iCs w:val="0"/>
                <w:caps w:val="0"/>
                <w:color w:val="auto"/>
                <w:spacing w:val="0"/>
                <w:sz w:val="24"/>
                <w:szCs w:val="24"/>
                <w:highlight w:val="none"/>
                <w:shd w:val="clear" w:fill="FFFFFF"/>
                <w:lang w:val="en-US" w:eastAsia="zh-CN"/>
              </w:rPr>
            </w:pPr>
            <w:r>
              <w:rPr>
                <w:rFonts w:hint="default" w:ascii="Times New Roman" w:hAnsi="Times New Roman" w:cs="Times New Roman"/>
                <w:color w:val="auto"/>
                <w:sz w:val="24"/>
                <w:szCs w:val="24"/>
                <w:highlight w:val="none"/>
                <w:lang w:val="en-US" w:eastAsia="zh-CN"/>
              </w:rPr>
              <w:t>⑧</w:t>
            </w: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生产力保护措施</w:t>
            </w:r>
          </w:p>
          <w:p w14:paraId="1D087F59">
            <w:pPr>
              <w:spacing w:line="360" w:lineRule="auto"/>
              <w:ind w:firstLine="480" w:firstLineChars="200"/>
              <w:rPr>
                <w:rFonts w:hint="default" w:ascii="Times New Roman" w:hAnsi="Times New Roman" w:cs="Times New Roman" w:eastAsiaTheme="minorEastAsia"/>
                <w:i w:val="0"/>
                <w:iCs w:val="0"/>
                <w:caps w:val="0"/>
                <w:color w:val="auto"/>
                <w:spacing w:val="0"/>
                <w:sz w:val="24"/>
                <w:szCs w:val="24"/>
                <w:highlight w:val="none"/>
                <w:shd w:val="clear" w:fill="FFFFFF"/>
                <w:lang w:val="en-US" w:eastAsia="zh-CN"/>
              </w:rPr>
            </w:pPr>
            <w:r>
              <w:rPr>
                <w:rFonts w:hint="default" w:ascii="Times New Roman" w:hAnsi="Times New Roman" w:cs="Times New Roman"/>
                <w:color w:val="auto"/>
                <w:sz w:val="24"/>
                <w:szCs w:val="24"/>
                <w:highlight w:val="none"/>
                <w:lang w:val="en-US" w:eastAsia="zh-CN"/>
              </w:rPr>
              <w:t>采用表土回填，</w:t>
            </w:r>
            <w:r>
              <w:rPr>
                <w:rFonts w:hint="default" w:ascii="Times New Roman" w:hAnsi="Times New Roman" w:cs="Times New Roman"/>
                <w:color w:val="auto"/>
                <w:sz w:val="24"/>
                <w:szCs w:val="24"/>
                <w:highlight w:val="none"/>
              </w:rPr>
              <w:t>确保土壤的结构和肥力不被破坏</w:t>
            </w:r>
            <w:r>
              <w:rPr>
                <w:rFonts w:hint="default" w:ascii="Times New Roman" w:hAnsi="Times New Roman" w:cs="Times New Roman"/>
                <w:color w:val="auto"/>
                <w:sz w:val="24"/>
                <w:szCs w:val="24"/>
                <w:highlight w:val="none"/>
                <w:lang w:eastAsia="zh-CN"/>
              </w:rPr>
              <w:t>。</w:t>
            </w:r>
          </w:p>
          <w:p w14:paraId="10AB9A76">
            <w:pPr>
              <w:tabs>
                <w:tab w:val="left" w:pos="2568"/>
              </w:tabs>
              <w:spacing w:line="360" w:lineRule="auto"/>
              <w:ind w:firstLine="480" w:firstLineChars="200"/>
              <w:rPr>
                <w:rFonts w:hint="default" w:ascii="Times New Roman" w:hAnsi="Times New Roman" w:eastAsia="宋体" w:cs="Times New Roman"/>
                <w:i w:val="0"/>
                <w:iCs w:val="0"/>
                <w:caps w:val="0"/>
                <w:color w:val="auto"/>
                <w:spacing w:val="0"/>
                <w:sz w:val="24"/>
                <w:szCs w:val="24"/>
                <w:highlight w:val="none"/>
                <w:shd w:val="clear" w:fill="FFFFFF"/>
                <w:lang w:val="en-US" w:eastAsia="zh-CN"/>
              </w:rPr>
            </w:pPr>
            <w:r>
              <w:rPr>
                <w:rFonts w:hint="default" w:ascii="Times New Roman" w:hAnsi="Times New Roman" w:eastAsia="宋体" w:cs="Times New Roman"/>
                <w:i w:val="0"/>
                <w:iCs w:val="0"/>
                <w:caps w:val="0"/>
                <w:color w:val="auto"/>
                <w:spacing w:val="0"/>
                <w:sz w:val="24"/>
                <w:szCs w:val="24"/>
                <w:highlight w:val="none"/>
                <w:shd w:val="clear" w:fill="FFFFFF"/>
                <w:lang w:val="en-US" w:eastAsia="zh-CN"/>
              </w:rPr>
              <w:t>复垦后增施有机肥，守护土壤微生物系统，保障肥力。</w:t>
            </w:r>
          </w:p>
          <w:p w14:paraId="3BB9C9D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Segoe UI" w:cs="Times New Roman"/>
                <w:i w:val="0"/>
                <w:iCs w:val="0"/>
                <w:caps w:val="0"/>
                <w:color w:val="auto"/>
                <w:spacing w:val="0"/>
                <w:sz w:val="24"/>
                <w:szCs w:val="24"/>
                <w:highlight w:val="none"/>
                <w:shd w:val="clear" w:fill="FFFFFF"/>
              </w:rPr>
              <w:t>严格控制施工扰动范围，落实水土保持方案，防止水土流失</w:t>
            </w:r>
            <w:r>
              <w:rPr>
                <w:rFonts w:hint="default" w:ascii="Times New Roman" w:hAnsi="Times New Roman" w:eastAsia="宋体" w:cs="Times New Roman"/>
                <w:i w:val="0"/>
                <w:iCs w:val="0"/>
                <w:caps w:val="0"/>
                <w:color w:val="auto"/>
                <w:spacing w:val="0"/>
                <w:sz w:val="24"/>
                <w:szCs w:val="24"/>
                <w:highlight w:val="none"/>
                <w:shd w:val="clear" w:fill="FFFFFF"/>
                <w:lang w:eastAsia="zh-CN"/>
              </w:rPr>
              <w:t>。</w:t>
            </w:r>
          </w:p>
          <w:p w14:paraId="4DBC438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陆生</w:t>
            </w:r>
            <w:r>
              <w:rPr>
                <w:rFonts w:hint="default" w:ascii="Times New Roman" w:hAnsi="Times New Roman" w:cs="Times New Roman"/>
                <w:color w:val="auto"/>
                <w:sz w:val="24"/>
                <w:szCs w:val="24"/>
                <w:highlight w:val="none"/>
              </w:rPr>
              <w:t>动物</w:t>
            </w:r>
            <w:r>
              <w:rPr>
                <w:rFonts w:hint="default" w:ascii="Times New Roman" w:hAnsi="Times New Roman" w:cs="Times New Roman"/>
                <w:color w:val="auto"/>
                <w:sz w:val="24"/>
                <w:szCs w:val="24"/>
                <w:highlight w:val="none"/>
                <w:lang w:val="en-US" w:eastAsia="zh-CN"/>
              </w:rPr>
              <w:t>保护措施</w:t>
            </w:r>
          </w:p>
          <w:p w14:paraId="1CB4BA3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①文明施工，</w:t>
            </w:r>
            <w:r>
              <w:rPr>
                <w:rFonts w:hint="default" w:ascii="Times New Roman" w:hAnsi="Times New Roman" w:cs="Times New Roman"/>
                <w:color w:val="auto"/>
                <w:sz w:val="24"/>
                <w:szCs w:val="24"/>
                <w:highlight w:val="none"/>
              </w:rPr>
              <w:t>严禁在施工区及其周围捕猎野生动物</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保护野生动物的栖息地，施工</w:t>
            </w:r>
            <w:r>
              <w:rPr>
                <w:rFonts w:hint="default" w:ascii="Times New Roman" w:hAnsi="Times New Roman" w:cs="Times New Roman"/>
                <w:color w:val="auto"/>
                <w:sz w:val="24"/>
                <w:szCs w:val="24"/>
                <w:highlight w:val="none"/>
                <w:lang w:val="en-US" w:eastAsia="zh-CN"/>
              </w:rPr>
              <w:t>结束</w:t>
            </w:r>
            <w:r>
              <w:rPr>
                <w:rFonts w:hint="default" w:ascii="Times New Roman" w:hAnsi="Times New Roman" w:eastAsia="宋体" w:cs="Times New Roman"/>
                <w:color w:val="auto"/>
                <w:sz w:val="24"/>
                <w:szCs w:val="24"/>
                <w:highlight w:val="none"/>
              </w:rPr>
              <w:t>后及时进行生态恢复</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highlight w:val="none"/>
                <w:lang w:val="en-US" w:eastAsia="zh-CN"/>
              </w:rPr>
              <w:t>恢复动物生境</w:t>
            </w:r>
            <w:r>
              <w:rPr>
                <w:rFonts w:hint="default" w:ascii="Times New Roman" w:hAnsi="Times New Roman" w:eastAsia="宋体" w:cs="Times New Roman"/>
                <w:color w:val="auto"/>
                <w:sz w:val="24"/>
                <w:szCs w:val="24"/>
                <w:highlight w:val="none"/>
              </w:rPr>
              <w:t>。</w:t>
            </w:r>
          </w:p>
          <w:p w14:paraId="5C0B6B5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w:t>
            </w:r>
            <w:r>
              <w:rPr>
                <w:rFonts w:hint="default" w:ascii="Times New Roman" w:hAnsi="Times New Roman" w:cs="Times New Roman"/>
                <w:color w:val="auto"/>
                <w:sz w:val="24"/>
                <w:highlight w:val="none"/>
                <w:lang w:val="en-US" w:eastAsia="zh-CN"/>
              </w:rPr>
              <w:t>优化临时设施布局，减小对动物生境的扰动。</w:t>
            </w:r>
          </w:p>
          <w:p w14:paraId="6E18C7F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rPr>
              <w:t>项目施工期间通过施工临时占地植被恢复、水土保持措施可将生态影响降至最</w:t>
            </w:r>
            <w:r>
              <w:rPr>
                <w:rFonts w:hint="default" w:ascii="Times New Roman" w:hAnsi="Times New Roman" w:cs="Times New Roman"/>
                <w:color w:val="auto"/>
                <w:sz w:val="24"/>
                <w:szCs w:val="24"/>
                <w:highlight w:val="none"/>
                <w:lang w:val="en-US" w:eastAsia="zh-CN"/>
              </w:rPr>
              <w:t>低</w:t>
            </w:r>
            <w:r>
              <w:rPr>
                <w:rFonts w:hint="default" w:ascii="Times New Roman" w:hAnsi="Times New Roman" w:eastAsia="宋体" w:cs="Times New Roman"/>
                <w:color w:val="auto"/>
                <w:sz w:val="24"/>
                <w:szCs w:val="24"/>
                <w:highlight w:val="none"/>
              </w:rPr>
              <w:t>。可缓解和消除产生新的水土流失隐患，减少影响工程区内野生动物的生活习性，有效维护自然景观。</w:t>
            </w:r>
          </w:p>
          <w:p w14:paraId="132A43D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④</w:t>
            </w:r>
            <w:r>
              <w:rPr>
                <w:rFonts w:hint="default" w:ascii="Times New Roman" w:hAnsi="Times New Roman" w:eastAsia="宋体" w:cs="Times New Roman"/>
                <w:color w:val="auto"/>
                <w:sz w:val="24"/>
                <w:szCs w:val="24"/>
                <w:highlight w:val="none"/>
              </w:rPr>
              <w:t>为了减少工程施工噪声对野生动物的惊扰，应做好施工时间的安排，加强进出施工场地的车辆管理，禁止鸣笛，减少对动物的惊吓而导致迁离。加强保护野生动物的宣传教育，严禁捕杀野生动物，保护野生动物的栖息地，施工后及时进行生态恢复。</w:t>
            </w:r>
            <w:r>
              <w:rPr>
                <w:rFonts w:hint="default" w:ascii="Times New Roman" w:hAnsi="Times New Roman" w:cs="Times New Roman"/>
                <w:color w:val="auto"/>
                <w:sz w:val="24"/>
                <w:szCs w:val="24"/>
                <w:highlight w:val="none"/>
                <w:lang w:val="en-US" w:eastAsia="zh-CN"/>
              </w:rPr>
              <w:t>挂警示牌。</w:t>
            </w:r>
          </w:p>
          <w:p w14:paraId="5618827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⑤</w:t>
            </w:r>
            <w:r>
              <w:rPr>
                <w:rFonts w:hint="default" w:ascii="Times New Roman" w:hAnsi="Times New Roman" w:eastAsia="宋体" w:cs="Times New Roman"/>
                <w:color w:val="auto"/>
                <w:spacing w:val="0"/>
                <w:w w:val="100"/>
                <w:position w:val="0"/>
                <w:sz w:val="24"/>
                <w:szCs w:val="24"/>
                <w:highlight w:val="none"/>
              </w:rPr>
              <w:t>禁止施工人员砍伐，禁止到非施工区活动，杜绝施工人员对施工</w:t>
            </w:r>
            <w:r>
              <w:rPr>
                <w:rFonts w:hint="default" w:ascii="Times New Roman" w:hAnsi="Times New Roman" w:eastAsia="宋体" w:cs="Times New Roman"/>
                <w:color w:val="auto"/>
                <w:spacing w:val="0"/>
                <w:w w:val="100"/>
                <w:position w:val="0"/>
                <w:sz w:val="24"/>
                <w:szCs w:val="24"/>
                <w:highlight w:val="none"/>
                <w:lang w:val="en-US" w:eastAsia="zh-CN"/>
              </w:rPr>
              <w:t>区域</w:t>
            </w:r>
            <w:r>
              <w:rPr>
                <w:rFonts w:hint="default" w:ascii="Times New Roman" w:hAnsi="Times New Roman" w:eastAsia="宋体" w:cs="Times New Roman"/>
                <w:color w:val="auto"/>
                <w:spacing w:val="0"/>
                <w:w w:val="100"/>
                <w:position w:val="0"/>
                <w:sz w:val="24"/>
                <w:szCs w:val="24"/>
                <w:highlight w:val="none"/>
              </w:rPr>
              <w:t>植物的破坏，减轻工程施工对野生生物的影响。</w:t>
            </w:r>
          </w:p>
          <w:p w14:paraId="2F96658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⑥</w:t>
            </w:r>
            <w:r>
              <w:rPr>
                <w:rFonts w:hint="default" w:ascii="Times New Roman" w:hAnsi="Times New Roman" w:cs="Times New Roman"/>
                <w:color w:val="auto"/>
                <w:kern w:val="0"/>
                <w:sz w:val="24"/>
                <w:highlight w:val="none"/>
              </w:rPr>
              <w:t>施工过程中尽量减少对动物栖息地生境的破坏</w:t>
            </w:r>
            <w:r>
              <w:rPr>
                <w:rFonts w:hint="default" w:ascii="Times New Roman" w:hAnsi="Times New Roman" w:eastAsia="宋体" w:cs="Times New Roman"/>
                <w:color w:val="auto"/>
                <w:spacing w:val="0"/>
                <w:w w:val="100"/>
                <w:position w:val="0"/>
                <w:sz w:val="24"/>
                <w:szCs w:val="24"/>
                <w:highlight w:val="none"/>
                <w:lang w:eastAsia="zh-CN"/>
              </w:rPr>
              <w:t>。</w:t>
            </w:r>
          </w:p>
          <w:p w14:paraId="765DB62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4）占地保护措施</w:t>
            </w:r>
          </w:p>
          <w:p w14:paraId="65CD2C9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①复垦时增施有机肥，提高土壤肥力。</w:t>
            </w:r>
          </w:p>
          <w:p w14:paraId="73FC995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②施工结束后进行植被恢复，最大地减轻工程占地负面影响。</w:t>
            </w:r>
          </w:p>
          <w:p w14:paraId="3CC150E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③优化施工路线，将对永久基本农田和公益林的影响降至最低。</w:t>
            </w:r>
          </w:p>
          <w:p w14:paraId="3AFBA20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④禁止在施工区域清洗施工机械。</w:t>
            </w:r>
          </w:p>
          <w:p w14:paraId="1F36F97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⑤施工结束后及时清理场地。</w:t>
            </w:r>
          </w:p>
          <w:p w14:paraId="2E16B447">
            <w:pPr>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⑥施工作业带保护措施：a</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明确作业带范围，不超红线占地，减少原生植被破坏；作业带临时用地优先利用荒地、闲置地。b</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表土临时堆放</w:t>
            </w:r>
            <w:r>
              <w:rPr>
                <w:rFonts w:hint="default" w:ascii="Times New Roman" w:hAnsi="Times New Roman" w:eastAsia="宋体" w:cs="Times New Roman"/>
                <w:color w:val="auto"/>
                <w:sz w:val="24"/>
                <w:szCs w:val="24"/>
                <w:highlight w:val="none"/>
              </w:rPr>
              <w:t>覆盖防尘网。</w:t>
            </w:r>
            <w:r>
              <w:rPr>
                <w:rFonts w:hint="default" w:ascii="Times New Roman" w:hAnsi="Times New Roman" w:cs="Times New Roman"/>
                <w:color w:val="auto"/>
                <w:sz w:val="24"/>
                <w:szCs w:val="24"/>
                <w:highlight w:val="none"/>
                <w:lang w:val="en-US" w:eastAsia="zh-CN"/>
              </w:rPr>
              <w:t>c</w:t>
            </w:r>
            <w:r>
              <w:rPr>
                <w:rFonts w:hint="default" w:ascii="Times New Roman" w:hAnsi="Times New Roman" w:eastAsia="宋体" w:cs="Times New Roman"/>
                <w:color w:val="auto"/>
                <w:sz w:val="24"/>
                <w:szCs w:val="24"/>
                <w:highlight w:val="none"/>
              </w:rPr>
              <w:t>、作业带两侧开挖临时截排水沟，防止雨水冲刷形成水土流失</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d</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施工结束后</w:t>
            </w:r>
            <w:r>
              <w:rPr>
                <w:rFonts w:hint="default" w:ascii="Times New Roman" w:hAnsi="Times New Roman" w:eastAsia="宋体" w:cs="Times New Roman"/>
                <w:color w:val="auto"/>
                <w:sz w:val="24"/>
                <w:szCs w:val="24"/>
                <w:highlight w:val="none"/>
                <w:lang w:val="en-US" w:eastAsia="zh-CN"/>
              </w:rPr>
              <w:t>，清理作业带，整平场地，恢复原土地用途。</w:t>
            </w:r>
          </w:p>
          <w:p w14:paraId="5DE8A98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rPr>
              <w:t>水土流失</w:t>
            </w:r>
            <w:r>
              <w:rPr>
                <w:rFonts w:hint="default" w:ascii="Times New Roman" w:hAnsi="Times New Roman" w:cs="Times New Roman"/>
                <w:color w:val="auto"/>
                <w:sz w:val="24"/>
                <w:szCs w:val="24"/>
                <w:highlight w:val="none"/>
                <w:lang w:val="en-US" w:eastAsia="zh-CN"/>
              </w:rPr>
              <w:t>保护措施</w:t>
            </w:r>
          </w:p>
          <w:p w14:paraId="5B17DD4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①土石方开挖后及时回填，避免雨水冲刷发生局部水土流失。</w:t>
            </w:r>
          </w:p>
          <w:p w14:paraId="4EAEFE8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pacing w:val="0"/>
                <w:w w:val="100"/>
                <w:position w:val="0"/>
                <w:sz w:val="24"/>
                <w:highlight w:val="none"/>
                <w:lang w:eastAsia="zh-CN"/>
              </w:rPr>
            </w:pPr>
            <w:r>
              <w:rPr>
                <w:rFonts w:hint="default" w:ascii="Times New Roman" w:hAnsi="Times New Roman" w:eastAsia="宋体" w:cs="Times New Roman"/>
                <w:color w:val="auto"/>
                <w:spacing w:val="0"/>
                <w:w w:val="100"/>
                <w:position w:val="0"/>
                <w:sz w:val="24"/>
                <w:highlight w:val="none"/>
                <w:lang w:val="en-US" w:eastAsia="zh-CN"/>
              </w:rPr>
              <w:t>②</w:t>
            </w:r>
            <w:r>
              <w:rPr>
                <w:rFonts w:hint="default" w:ascii="Times New Roman" w:hAnsi="Times New Roman" w:eastAsia="宋体" w:cs="Times New Roman"/>
                <w:color w:val="auto"/>
                <w:spacing w:val="0"/>
                <w:w w:val="100"/>
                <w:position w:val="0"/>
                <w:sz w:val="24"/>
                <w:highlight w:val="none"/>
              </w:rPr>
              <w:t>施工中</w:t>
            </w:r>
            <w:r>
              <w:rPr>
                <w:rFonts w:hint="default" w:ascii="Times New Roman" w:hAnsi="Times New Roman" w:eastAsia="宋体" w:cs="Times New Roman"/>
                <w:color w:val="auto"/>
                <w:spacing w:val="0"/>
                <w:w w:val="100"/>
                <w:position w:val="0"/>
                <w:sz w:val="24"/>
                <w:highlight w:val="none"/>
                <w:lang w:val="en-US" w:eastAsia="zh-CN"/>
              </w:rPr>
              <w:t>时尽可能</w:t>
            </w:r>
            <w:r>
              <w:rPr>
                <w:rFonts w:hint="default" w:ascii="Times New Roman" w:hAnsi="Times New Roman" w:eastAsia="宋体" w:cs="Times New Roman"/>
                <w:color w:val="auto"/>
                <w:spacing w:val="0"/>
                <w:w w:val="100"/>
                <w:position w:val="0"/>
                <w:sz w:val="24"/>
                <w:highlight w:val="none"/>
              </w:rPr>
              <w:t>随挖随填</w:t>
            </w:r>
            <w:r>
              <w:rPr>
                <w:rFonts w:hint="default" w:ascii="Times New Roman" w:hAnsi="Times New Roman" w:eastAsia="宋体" w:cs="Times New Roman"/>
                <w:color w:val="auto"/>
                <w:spacing w:val="0"/>
                <w:w w:val="100"/>
                <w:position w:val="0"/>
                <w:sz w:val="24"/>
                <w:highlight w:val="none"/>
                <w:lang w:eastAsia="zh-CN"/>
              </w:rPr>
              <w:t>，</w:t>
            </w:r>
            <w:r>
              <w:rPr>
                <w:rFonts w:hint="default" w:ascii="Times New Roman" w:hAnsi="Times New Roman" w:eastAsia="宋体" w:cs="Times New Roman"/>
                <w:color w:val="auto"/>
                <w:spacing w:val="0"/>
                <w:w w:val="100"/>
                <w:position w:val="0"/>
                <w:sz w:val="24"/>
                <w:highlight w:val="none"/>
              </w:rPr>
              <w:t>尽量减少水土流失对环境的影响</w:t>
            </w:r>
            <w:r>
              <w:rPr>
                <w:rFonts w:hint="default" w:ascii="Times New Roman" w:hAnsi="Times New Roman" w:eastAsia="宋体" w:cs="Times New Roman"/>
                <w:color w:val="auto"/>
                <w:spacing w:val="0"/>
                <w:w w:val="100"/>
                <w:position w:val="0"/>
                <w:sz w:val="24"/>
                <w:highlight w:val="none"/>
                <w:lang w:eastAsia="zh-CN"/>
              </w:rPr>
              <w:t>。</w:t>
            </w:r>
          </w:p>
          <w:p w14:paraId="70CDB97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pacing w:val="0"/>
                <w:w w:val="100"/>
                <w:position w:val="0"/>
                <w:sz w:val="24"/>
                <w:highlight w:val="none"/>
                <w:lang w:val="en-US" w:eastAsia="zh-CN"/>
              </w:rPr>
            </w:pPr>
            <w:r>
              <w:rPr>
                <w:rFonts w:hint="default" w:ascii="Times New Roman" w:hAnsi="Times New Roman" w:cs="Times New Roman"/>
                <w:color w:val="auto"/>
                <w:spacing w:val="0"/>
                <w:w w:val="100"/>
                <w:position w:val="0"/>
                <w:sz w:val="24"/>
                <w:highlight w:val="none"/>
                <w:lang w:val="en-US" w:eastAsia="zh-CN"/>
              </w:rPr>
              <w:t>③</w:t>
            </w:r>
            <w:r>
              <w:rPr>
                <w:rFonts w:hint="default" w:ascii="Times New Roman" w:hAnsi="Times New Roman" w:cs="Times New Roman"/>
                <w:color w:val="auto"/>
                <w:sz w:val="24"/>
                <w:szCs w:val="24"/>
                <w:highlight w:val="none"/>
                <w:lang w:val="en-US" w:eastAsia="zh-CN"/>
              </w:rPr>
              <w:t>施工便道使用结束后纳入交通道路区统一恢复。</w:t>
            </w:r>
          </w:p>
          <w:p w14:paraId="535C851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rPr>
              <w:t>景观</w:t>
            </w:r>
            <w:r>
              <w:rPr>
                <w:rFonts w:hint="default" w:ascii="Times New Roman" w:hAnsi="Times New Roman" w:cs="Times New Roman"/>
                <w:color w:val="auto"/>
                <w:sz w:val="24"/>
                <w:szCs w:val="24"/>
                <w:highlight w:val="none"/>
                <w:lang w:val="en-US" w:eastAsia="zh-CN"/>
              </w:rPr>
              <w:t>保护措施</w:t>
            </w:r>
          </w:p>
          <w:p w14:paraId="2F919A3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①</w:t>
            </w:r>
            <w:r>
              <w:rPr>
                <w:rFonts w:hint="default" w:ascii="Times New Roman" w:hAnsi="Times New Roman" w:cs="Times New Roman"/>
                <w:color w:val="auto"/>
                <w:sz w:val="24"/>
                <w:szCs w:val="24"/>
                <w:highlight w:val="none"/>
                <w:lang w:eastAsia="zh-CN"/>
              </w:rPr>
              <w:t>土方开挖</w:t>
            </w:r>
            <w:r>
              <w:rPr>
                <w:rFonts w:hint="default" w:ascii="Times New Roman" w:hAnsi="Times New Roman" w:cs="Times New Roman"/>
                <w:color w:val="auto"/>
                <w:sz w:val="24"/>
                <w:szCs w:val="24"/>
                <w:highlight w:val="none"/>
                <w:lang w:val="en-US" w:eastAsia="zh-CN"/>
              </w:rPr>
              <w:t>后及时</w:t>
            </w:r>
            <w:r>
              <w:rPr>
                <w:rFonts w:hint="default" w:ascii="Times New Roman" w:hAnsi="Times New Roman" w:cs="Times New Roman"/>
                <w:color w:val="auto"/>
                <w:sz w:val="24"/>
                <w:szCs w:val="24"/>
                <w:highlight w:val="none"/>
                <w:lang w:eastAsia="zh-CN"/>
              </w:rPr>
              <w:t>回填。</w:t>
            </w:r>
          </w:p>
          <w:p w14:paraId="0A80685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②施工结束后</w:t>
            </w:r>
            <w:r>
              <w:rPr>
                <w:rFonts w:hint="default" w:ascii="Times New Roman" w:hAnsi="Times New Roman" w:cs="Times New Roman"/>
                <w:color w:val="auto"/>
                <w:sz w:val="24"/>
                <w:szCs w:val="24"/>
                <w:highlight w:val="none"/>
                <w:lang w:eastAsia="zh-CN"/>
              </w:rPr>
              <w:t>进行恢复</w:t>
            </w:r>
            <w:r>
              <w:rPr>
                <w:rFonts w:hint="default" w:ascii="Times New Roman" w:hAnsi="Times New Roman" w:cs="Times New Roman"/>
                <w:color w:val="auto"/>
                <w:sz w:val="24"/>
                <w:szCs w:val="24"/>
                <w:highlight w:val="none"/>
                <w:lang w:val="en-US" w:eastAsia="zh-CN"/>
              </w:rPr>
              <w:t>原状，恢复原有景观。</w:t>
            </w:r>
          </w:p>
          <w:p w14:paraId="5DECF36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rPr>
              <w:t>生态系统</w:t>
            </w:r>
            <w:r>
              <w:rPr>
                <w:rFonts w:hint="default" w:ascii="Times New Roman" w:hAnsi="Times New Roman" w:cs="Times New Roman"/>
                <w:color w:val="auto"/>
                <w:sz w:val="24"/>
                <w:szCs w:val="24"/>
                <w:highlight w:val="none"/>
                <w:lang w:val="en-US" w:eastAsia="zh-CN"/>
              </w:rPr>
              <w:t>保护措施</w:t>
            </w:r>
          </w:p>
          <w:p w14:paraId="0549C76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①制定科学的水土保持方案，最大程度利用剥离的表土恢复植被，将生态影响降至最低。</w:t>
            </w:r>
          </w:p>
          <w:p w14:paraId="2B269E9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②优化施工线路，</w:t>
            </w:r>
            <w:r>
              <w:rPr>
                <w:rFonts w:hint="default" w:ascii="Times New Roman" w:hAnsi="Times New Roman" w:eastAsia="宋体" w:cs="Times New Roman"/>
                <w:color w:val="auto"/>
                <w:sz w:val="24"/>
                <w:szCs w:val="24"/>
                <w:highlight w:val="none"/>
              </w:rPr>
              <w:t>可以有效降低对</w:t>
            </w:r>
            <w:r>
              <w:rPr>
                <w:rFonts w:hint="default" w:ascii="Times New Roman" w:hAnsi="Times New Roman" w:eastAsia="宋体" w:cs="Times New Roman"/>
                <w:color w:val="auto"/>
                <w:sz w:val="24"/>
                <w:szCs w:val="24"/>
                <w:highlight w:val="none"/>
                <w:lang w:val="en-US" w:eastAsia="zh-CN"/>
              </w:rPr>
              <w:t>施工</w:t>
            </w:r>
            <w:r>
              <w:rPr>
                <w:rFonts w:hint="default" w:ascii="Times New Roman" w:hAnsi="Times New Roman" w:eastAsia="宋体" w:cs="Times New Roman"/>
                <w:color w:val="auto"/>
                <w:sz w:val="24"/>
                <w:szCs w:val="24"/>
                <w:highlight w:val="none"/>
              </w:rPr>
              <w:t>沿线生态系统的破碎化影响</w:t>
            </w:r>
            <w:r>
              <w:rPr>
                <w:rFonts w:hint="default" w:ascii="Times New Roman" w:hAnsi="Times New Roman" w:eastAsia="宋体" w:cs="Times New Roman"/>
                <w:color w:val="auto"/>
                <w:sz w:val="24"/>
                <w:szCs w:val="24"/>
                <w:highlight w:val="none"/>
                <w:lang w:eastAsia="zh-CN"/>
              </w:rPr>
              <w:t>。</w:t>
            </w:r>
          </w:p>
          <w:p w14:paraId="34029FB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rPr>
              <w:t>在工程规划选线阶段，就主动避让自然保护区等生态敏感区域，从源头上减少生态扰动</w:t>
            </w:r>
            <w:r>
              <w:rPr>
                <w:rFonts w:hint="default" w:ascii="Times New Roman" w:hAnsi="Times New Roman" w:eastAsia="宋体" w:cs="Times New Roman"/>
                <w:color w:val="auto"/>
                <w:sz w:val="24"/>
                <w:szCs w:val="24"/>
                <w:highlight w:val="none"/>
                <w:lang w:eastAsia="zh-CN"/>
              </w:rPr>
              <w:t>。</w:t>
            </w:r>
          </w:p>
          <w:p w14:paraId="7D3FFB8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i w:val="0"/>
                <w:iCs w:val="0"/>
                <w:caps w:val="0"/>
                <w:color w:val="auto"/>
                <w:spacing w:val="0"/>
                <w:sz w:val="19"/>
                <w:szCs w:val="19"/>
                <w:highlight w:val="none"/>
                <w:shd w:val="clear" w:fill="FFFFFF"/>
                <w:lang w:val="en-US" w:eastAsia="zh-CN"/>
              </w:rPr>
            </w:pPr>
            <w:r>
              <w:rPr>
                <w:rFonts w:hint="default" w:ascii="Times New Roman" w:hAnsi="Times New Roman" w:eastAsia="宋体" w:cs="Times New Roman"/>
                <w:color w:val="auto"/>
                <w:sz w:val="24"/>
                <w:szCs w:val="24"/>
                <w:highlight w:val="none"/>
                <w:lang w:val="en-US" w:eastAsia="zh-CN"/>
              </w:rPr>
              <w:t>④施工期间加强对永久基本农田和</w:t>
            </w:r>
            <w:r>
              <w:rPr>
                <w:rFonts w:hint="default" w:ascii="Times New Roman" w:hAnsi="Times New Roman" w:cs="Times New Roman" w:eastAsiaTheme="majorEastAsia"/>
                <w:b w:val="0"/>
                <w:bCs w:val="0"/>
                <w:color w:val="auto"/>
                <w:spacing w:val="0"/>
                <w:w w:val="100"/>
                <w:position w:val="0"/>
                <w:sz w:val="24"/>
                <w:szCs w:val="24"/>
                <w:highlight w:val="none"/>
                <w:lang w:val="en-US" w:eastAsia="zh-CN"/>
              </w:rPr>
              <w:t>地方公益林</w:t>
            </w:r>
            <w:r>
              <w:rPr>
                <w:rFonts w:hint="eastAsia" w:ascii="Times New Roman" w:hAnsi="Times New Roman" w:cs="Times New Roman" w:eastAsiaTheme="majorEastAsia"/>
                <w:b w:val="0"/>
                <w:bCs w:val="0"/>
                <w:color w:val="auto"/>
                <w:spacing w:val="0"/>
                <w:w w:val="100"/>
                <w:position w:val="0"/>
                <w:sz w:val="24"/>
                <w:szCs w:val="24"/>
                <w:highlight w:val="none"/>
                <w:lang w:val="en-US" w:eastAsia="zh-CN"/>
              </w:rPr>
              <w:t>（</w:t>
            </w:r>
            <w:r>
              <w:rPr>
                <w:rFonts w:hint="default" w:ascii="Times New Roman" w:hAnsi="Times New Roman" w:cs="Times New Roman" w:eastAsiaTheme="majorEastAsia"/>
                <w:b w:val="0"/>
                <w:bCs w:val="0"/>
                <w:color w:val="auto"/>
                <w:spacing w:val="0"/>
                <w:w w:val="100"/>
                <w:position w:val="0"/>
                <w:sz w:val="24"/>
                <w:szCs w:val="24"/>
                <w:highlight w:val="none"/>
                <w:lang w:val="en-US" w:eastAsia="zh-CN"/>
              </w:rPr>
              <w:t>省级）</w:t>
            </w:r>
            <w:r>
              <w:rPr>
                <w:rFonts w:hint="default" w:ascii="Times New Roman" w:hAnsi="Times New Roman" w:eastAsia="宋体" w:cs="Times New Roman"/>
                <w:color w:val="auto"/>
                <w:sz w:val="24"/>
                <w:szCs w:val="24"/>
                <w:highlight w:val="none"/>
                <w:lang w:val="en-US" w:eastAsia="zh-CN"/>
              </w:rPr>
              <w:t>的保护，禁止超范围施工。施工结束后，及时恢复原状。</w:t>
            </w:r>
          </w:p>
          <w:p w14:paraId="73F70713">
            <w:pPr>
              <w:adjustRightInd w:val="0"/>
              <w:spacing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kern w:val="0"/>
                <w:sz w:val="24"/>
                <w:highlight w:val="none"/>
                <w:lang w:val="en-US" w:eastAsia="zh-CN" w:bidi="ar"/>
              </w:rPr>
              <w:t>土地征用</w:t>
            </w:r>
            <w:r>
              <w:rPr>
                <w:rFonts w:hint="default" w:ascii="Times New Roman" w:hAnsi="Times New Roman" w:cs="Times New Roman"/>
                <w:color w:val="auto"/>
                <w:sz w:val="24"/>
                <w:szCs w:val="24"/>
                <w:highlight w:val="none"/>
                <w:lang w:val="en-US" w:eastAsia="zh-CN"/>
              </w:rPr>
              <w:t>保护措施</w:t>
            </w:r>
          </w:p>
          <w:p w14:paraId="2D6D2E26">
            <w:pPr>
              <w:adjustRightInd w:val="0"/>
              <w:spacing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cs="Times New Roman"/>
                <w:color w:val="auto"/>
                <w:sz w:val="24"/>
                <w:szCs w:val="24"/>
                <w:highlight w:val="none"/>
                <w:lang w:val="en-US" w:eastAsia="zh-CN"/>
              </w:rPr>
              <w:t>①施工结束后，对临时征地进行</w:t>
            </w:r>
            <w:r>
              <w:rPr>
                <w:rFonts w:hint="default" w:ascii="Times New Roman" w:hAnsi="Times New Roman" w:cs="Times New Roman"/>
                <w:color w:val="auto"/>
                <w:sz w:val="24"/>
                <w:szCs w:val="24"/>
                <w:highlight w:val="none"/>
                <w:lang w:eastAsia="zh-CN"/>
              </w:rPr>
              <w:t>恢复</w:t>
            </w:r>
            <w:r>
              <w:rPr>
                <w:rFonts w:hint="default" w:ascii="Times New Roman" w:hAnsi="Times New Roman" w:cs="Times New Roman"/>
                <w:color w:val="auto"/>
                <w:sz w:val="24"/>
                <w:szCs w:val="24"/>
                <w:highlight w:val="none"/>
                <w:lang w:val="en-US" w:eastAsia="zh-CN"/>
              </w:rPr>
              <w:t>原状。</w:t>
            </w:r>
          </w:p>
          <w:p w14:paraId="6C1CB4DE">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②对被征用的土地进行经济补偿。</w:t>
            </w:r>
          </w:p>
          <w:p w14:paraId="3E9E6AE1">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8）穿越公路保护措施</w:t>
            </w:r>
          </w:p>
          <w:p w14:paraId="46FFF609">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控制作业范围：严格划定施工边界，采用彩钢板或警示带围挡，减少对周边植被的碾压和破坏。</w:t>
            </w:r>
          </w:p>
          <w:p w14:paraId="1AC5D7E7">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表土剥离与回用：开挖前剥离表土单独堆放并进行遮盖，施工结束后用于植被恢复。</w:t>
            </w:r>
          </w:p>
          <w:p w14:paraId="013CE77F">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水保工程：在设置临时排水沟、沉沙池；土方堆场采用防尘网全覆盖；雨季施工时准备土工布等材料。</w:t>
            </w:r>
          </w:p>
          <w:p w14:paraId="1EDCBEA9">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生态恢复：施工结束后，立即对临时占地进行平整和植被复绿，防止造成水土流失。</w:t>
            </w:r>
          </w:p>
          <w:p w14:paraId="30E469CE">
            <w:pPr>
              <w:adjustRightInd w:val="0"/>
              <w:spacing w:line="360" w:lineRule="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1.3永久基本农田保护措施</w:t>
            </w:r>
          </w:p>
          <w:p w14:paraId="54670179">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1）施工前，对占用区域的表土进行剥离，剥离厚度不低于30厘米，施工结束后，管顶恢复厚度不低于1m。表土选择地势平坦、排水良好的场地集中堆放，堆体边坡不陡于1</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1.5，并采取密目网</w:t>
            </w:r>
            <w:r>
              <w:rPr>
                <w:rFonts w:hint="default" w:ascii="Times New Roman" w:hAnsi="Times New Roman" w:eastAsia="Segoe UI" w:cs="Times New Roman"/>
                <w:i w:val="0"/>
                <w:iCs w:val="0"/>
                <w:caps w:val="0"/>
                <w:color w:val="auto"/>
                <w:spacing w:val="0"/>
                <w:sz w:val="24"/>
                <w:szCs w:val="24"/>
                <w:highlight w:val="none"/>
                <w:shd w:val="clear" w:fill="FFFFFF"/>
              </w:rPr>
              <w:t>苫盖</w:t>
            </w:r>
            <w:r>
              <w:rPr>
                <w:rFonts w:hint="default" w:ascii="Times New Roman" w:hAnsi="Times New Roman" w:cs="Times New Roman"/>
                <w:color w:val="auto"/>
                <w:sz w:val="24"/>
                <w:highlight w:val="none"/>
                <w:lang w:val="en-US" w:eastAsia="zh-CN"/>
              </w:rPr>
              <w:t>，周边设置临时排水沟等措施进行防护。表土用于施工结束后生态复垦。</w:t>
            </w:r>
          </w:p>
          <w:p w14:paraId="46623E4A">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2）临时占用永久基本农田管道采用地埋式，采取的施工方式为边开挖管槽，边进行覆土，由于临时占用永久基本农田内会破坏农作物，建设方对被临时征占农地农户进行相关的经济补偿。</w:t>
            </w:r>
          </w:p>
          <w:p w14:paraId="634511F1">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3）加强对施工机械的保养，避免发生跑、冒、滴、漏，防止污染土壤和地下水。</w:t>
            </w:r>
          </w:p>
          <w:p w14:paraId="709F2C48">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4）严格划定施工边界，禁止超范围占用，</w:t>
            </w:r>
            <w:r>
              <w:rPr>
                <w:rFonts w:hint="default" w:ascii="Times New Roman" w:hAnsi="Times New Roman" w:eastAsia="宋体" w:cs="Times New Roman"/>
                <w:color w:val="auto"/>
                <w:kern w:val="0"/>
                <w:sz w:val="24"/>
                <w:szCs w:val="24"/>
                <w:highlight w:val="none"/>
                <w:lang w:val="en-US" w:eastAsia="zh-CN" w:bidi="ar"/>
              </w:rPr>
              <w:t>减少对</w:t>
            </w:r>
            <w:r>
              <w:rPr>
                <w:rFonts w:hint="default" w:ascii="Times New Roman" w:hAnsi="Times New Roman" w:cs="Times New Roman"/>
                <w:color w:val="auto"/>
                <w:kern w:val="0"/>
                <w:sz w:val="24"/>
                <w:szCs w:val="24"/>
                <w:highlight w:val="none"/>
                <w:lang w:val="en-US" w:eastAsia="zh-CN" w:bidi="ar"/>
              </w:rPr>
              <w:t>永久</w:t>
            </w:r>
            <w:r>
              <w:rPr>
                <w:rFonts w:hint="default" w:ascii="Times New Roman" w:hAnsi="Times New Roman" w:eastAsia="宋体" w:cs="Times New Roman"/>
                <w:color w:val="auto"/>
                <w:kern w:val="0"/>
                <w:sz w:val="24"/>
                <w:szCs w:val="24"/>
                <w:highlight w:val="none"/>
                <w:lang w:val="en-US" w:eastAsia="zh-CN" w:bidi="ar"/>
              </w:rPr>
              <w:t>基本农田的扰动及破坏</w:t>
            </w:r>
            <w:r>
              <w:rPr>
                <w:rFonts w:hint="default" w:ascii="Times New Roman" w:hAnsi="Times New Roman" w:cs="Times New Roman"/>
                <w:color w:val="auto"/>
                <w:sz w:val="24"/>
                <w:highlight w:val="none"/>
                <w:lang w:val="en-US" w:eastAsia="zh-CN"/>
              </w:rPr>
              <w:t>。施工结束后迹地恢复，将影响降至最低。节约土地，尽量减少对永久基本农田的临时占用。</w:t>
            </w:r>
          </w:p>
          <w:p w14:paraId="0B9F53B0">
            <w:pPr>
              <w:adjustRightIn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管线临时占用永久基本农田，将严格按照《土地管理法》及永久基本农田保护相关规定，按照“占优补优、占水田补水田”的原则，在施工结束后立即进行复垦，确保耕地质量和数量不降低。</w:t>
            </w:r>
          </w:p>
          <w:p w14:paraId="2775AA5C">
            <w:pPr>
              <w:adjustRightIn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6）对于永久基本农田，应按照《土地复垦方案》进行复垦，确保土壤肥力指标达到或超过原有水平。</w:t>
            </w:r>
          </w:p>
          <w:p w14:paraId="4F0BEE5A">
            <w:pPr>
              <w:adjustRightIn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７）挂标识牌和警示牌。</w:t>
            </w:r>
          </w:p>
          <w:p w14:paraId="631480DC">
            <w:pPr>
              <w:adjustRightIn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８）施工结束后恢复基本农田耕种功能的措施</w:t>
            </w:r>
          </w:p>
          <w:p w14:paraId="63E5959E">
            <w:pPr>
              <w:adjustRightInd w:val="0"/>
              <w:spacing w:line="360" w:lineRule="auto"/>
              <w:ind w:firstLine="480" w:firstLineChars="200"/>
              <w:rPr>
                <w:rFonts w:hint="default" w:ascii="Times New Roman" w:hAnsi="Times New Roman" w:eastAsia="宋体" w:cs="Times New Roman"/>
                <w:color w:val="0000FF"/>
                <w:sz w:val="24"/>
                <w:szCs w:val="24"/>
                <w:highlight w:val="yellow"/>
              </w:rPr>
            </w:pPr>
            <w:r>
              <w:rPr>
                <w:rFonts w:hint="default" w:ascii="Times New Roman" w:hAnsi="Times New Roman" w:eastAsia="宋体" w:cs="Times New Roman"/>
                <w:color w:val="auto"/>
                <w:sz w:val="24"/>
                <w:highlight w:val="none"/>
                <w:lang w:val="en-US" w:eastAsia="zh-CN"/>
              </w:rPr>
              <w:t>①彻底清理：全面全埋清理施工期杂物，保证农田无障</w:t>
            </w:r>
            <w:r>
              <w:rPr>
                <w:rFonts w:hint="default" w:ascii="Times New Roman" w:hAnsi="Times New Roman" w:cs="Times New Roman"/>
                <w:color w:val="auto"/>
                <w:sz w:val="24"/>
                <w:szCs w:val="24"/>
                <w:highlight w:val="none"/>
                <w:lang w:val="en-US" w:eastAsia="zh-CN"/>
              </w:rPr>
              <w:t>碍、无污染。②土方回填与客土回覆：对管沟开挖区域进行分层回填压实，达到作物生长所需的土壤厚度和密实度。在缺乏表土的区域，可采取客土回填的方式，回填客土厚度一般为60cm左右以满足作物生长需求。③表土回覆与土壤改良</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将存储的耕作层土壤按原土层结构分层回覆，通过深耕施肥、施用有机肥等方式修复土壤结构和肥力。④地形整理与田面平整</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精细平整土地，确保田面坡度符合耕种要求，消除因管沟开挖和回填形成的地表起伏。⑤植被重建：如播撒草籽，为耕作创造良好条件。⑥验收</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恢复复垦条件后进行验收，确保复垦后的耕地质量不低于原等地块周边水平，验收合格后方可移交耕作。</w:t>
            </w:r>
          </w:p>
          <w:p w14:paraId="441EA6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2、其他污染物防治措施</w:t>
            </w:r>
          </w:p>
          <w:p w14:paraId="5E8A51D3">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rPr>
            </w:pPr>
            <w:r>
              <w:rPr>
                <w:rFonts w:hint="default" w:ascii="Times New Roman" w:hAnsi="Times New Roman" w:cs="Times New Roman"/>
                <w:b/>
                <w:bCs/>
                <w:color w:val="auto"/>
                <w:sz w:val="24"/>
                <w:szCs w:val="24"/>
                <w:highlight w:val="none"/>
                <w:lang w:val="en-US" w:eastAsia="zh-CN"/>
              </w:rPr>
              <w:t>2</w:t>
            </w:r>
            <w:r>
              <w:rPr>
                <w:rFonts w:hint="default" w:ascii="Times New Roman" w:hAnsi="Times New Roman" w:cs="Times New Roman"/>
                <w:b/>
                <w:bCs/>
                <w:color w:val="auto"/>
                <w:sz w:val="24"/>
                <w:szCs w:val="24"/>
                <w:lang w:val="en-US" w:eastAsia="zh-CN"/>
              </w:rPr>
              <w:t>.1</w:t>
            </w:r>
            <w:r>
              <w:rPr>
                <w:rFonts w:hint="default" w:ascii="Times New Roman" w:hAnsi="Times New Roman" w:eastAsia="宋体" w:cs="Times New Roman"/>
                <w:b/>
                <w:bCs/>
                <w:color w:val="auto"/>
                <w:sz w:val="24"/>
                <w:szCs w:val="24"/>
              </w:rPr>
              <w:t>大气污染防治对策措施</w:t>
            </w:r>
          </w:p>
          <w:p w14:paraId="2F7A8FC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1）项目不设置混凝土</w:t>
            </w:r>
            <w:r>
              <w:rPr>
                <w:rFonts w:hint="default" w:ascii="Times New Roman" w:hAnsi="Times New Roman" w:cs="Times New Roman"/>
                <w:color w:val="auto"/>
                <w:sz w:val="24"/>
                <w:szCs w:val="24"/>
                <w:lang w:eastAsia="zh-CN"/>
              </w:rPr>
              <w:t>拌和</w:t>
            </w:r>
            <w:r>
              <w:rPr>
                <w:rFonts w:hint="default" w:ascii="Times New Roman" w:hAnsi="Times New Roman" w:eastAsia="宋体" w:cs="Times New Roman"/>
                <w:color w:val="auto"/>
                <w:sz w:val="24"/>
                <w:szCs w:val="24"/>
              </w:rPr>
              <w:t>场，购买商品砼。</w:t>
            </w:r>
          </w:p>
          <w:p w14:paraId="4DA108E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2）对作业面</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作业区域</w:t>
            </w:r>
            <w:r>
              <w:rPr>
                <w:rFonts w:hint="default" w:ascii="Times New Roman" w:hAnsi="Times New Roman" w:eastAsia="宋体" w:cs="Times New Roman"/>
                <w:color w:val="auto"/>
                <w:sz w:val="24"/>
                <w:szCs w:val="24"/>
              </w:rPr>
              <w:t>应适当地洒水，使其保持一定的湿度，减小起尘量，防止扬尘的扩散。在旱季风大时，应加大洒水量及洒水频次。项目施工过</w:t>
            </w:r>
            <w:r>
              <w:rPr>
                <w:rFonts w:hint="default" w:ascii="Times New Roman" w:hAnsi="Times New Roman" w:cs="Times New Roman"/>
                <w:color w:val="auto"/>
                <w:sz w:val="24"/>
                <w:szCs w:val="24"/>
                <w:lang w:eastAsia="zh-CN"/>
              </w:rPr>
              <w:t>程中</w:t>
            </w:r>
            <w:r>
              <w:rPr>
                <w:rFonts w:hint="default" w:ascii="Times New Roman" w:hAnsi="Times New Roman" w:eastAsia="宋体" w:cs="Times New Roman"/>
                <w:color w:val="auto"/>
                <w:sz w:val="24"/>
                <w:szCs w:val="24"/>
              </w:rPr>
              <w:t>应适时洒水，保证施工过</w:t>
            </w:r>
            <w:r>
              <w:rPr>
                <w:rFonts w:hint="eastAsia" w:ascii="Times New Roman" w:hAnsi="Times New Roman" w:cs="Times New Roman"/>
                <w:color w:val="auto"/>
                <w:sz w:val="24"/>
                <w:szCs w:val="24"/>
                <w:lang w:eastAsia="zh-CN"/>
              </w:rPr>
              <w:t>程中</w:t>
            </w:r>
            <w:r>
              <w:rPr>
                <w:rFonts w:hint="default" w:ascii="Times New Roman" w:hAnsi="Times New Roman" w:eastAsia="宋体" w:cs="Times New Roman"/>
                <w:color w:val="auto"/>
                <w:sz w:val="24"/>
                <w:szCs w:val="24"/>
              </w:rPr>
              <w:t>不起尘或少起尘，严禁施工扬尘影响周边环境。</w:t>
            </w:r>
          </w:p>
          <w:p w14:paraId="5A29F0D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3）施工场地内运输通道应及时清扫和平整，以尽量减少运输车辆行驶产生的扬尘，采取洒水抑尘、垫草席等措施。</w:t>
            </w:r>
          </w:p>
          <w:p w14:paraId="129DCB2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4）运输车辆进入施工场地要限速行驶，运输土方的车辆不宜装载过满，同时运输车辆须使用车厢可封闭式的车型或车辆加蓬处理。对不慎洒落的沙土和建筑材料，应对地面进行及时清理。运输土石方车辆必须委托有资质的单位进行运输。</w:t>
            </w:r>
          </w:p>
          <w:p w14:paraId="57F5C61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5）原料堆存时应用土工布进行覆盖。</w:t>
            </w:r>
          </w:p>
          <w:p w14:paraId="7D00BA8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6）合理安排施工运输工作，对于施工作业中的大型构件和大量物资的运输，应尽量避开交通高峰期，以缓解交通压力。避免压车和交通阻塞，最大限度</w:t>
            </w:r>
            <w:r>
              <w:rPr>
                <w:rFonts w:hint="default" w:ascii="Times New Roman" w:hAnsi="Times New Roman" w:cs="Times New Roman"/>
                <w:color w:val="auto"/>
                <w:sz w:val="24"/>
                <w:szCs w:val="24"/>
                <w:lang w:eastAsia="zh-CN"/>
              </w:rPr>
              <w:t>地</w:t>
            </w:r>
            <w:r>
              <w:rPr>
                <w:rFonts w:hint="default" w:ascii="Times New Roman" w:hAnsi="Times New Roman" w:eastAsia="宋体" w:cs="Times New Roman"/>
                <w:color w:val="auto"/>
                <w:sz w:val="24"/>
                <w:szCs w:val="24"/>
              </w:rPr>
              <w:t>控制汽车尾气的排放。</w:t>
            </w:r>
          </w:p>
          <w:p w14:paraId="20AA5BB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7）在施工机械的选型上考虑相应的环保型产品，主要使用轻质柴油或电作为能源。</w:t>
            </w:r>
          </w:p>
          <w:p w14:paraId="581A4EF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8）按照昆政办〔2011〕88、〔2011〕89 号令的要求文明施工，按照规定采取措施减缓影响，施工工地周边按文明施工和城市管理有关标准设置不低于2.5m 的遮挡围墙。施工</w:t>
            </w:r>
            <w:r>
              <w:rPr>
                <w:rFonts w:hint="default" w:ascii="Times New Roman" w:hAnsi="Times New Roman" w:cs="Times New Roman"/>
                <w:color w:val="auto"/>
                <w:sz w:val="24"/>
                <w:szCs w:val="24"/>
                <w:lang w:eastAsia="zh-CN"/>
              </w:rPr>
              <w:t>场地</w:t>
            </w:r>
            <w:r>
              <w:rPr>
                <w:rFonts w:hint="default" w:ascii="Times New Roman" w:hAnsi="Times New Roman" w:eastAsia="宋体" w:cs="Times New Roman"/>
                <w:color w:val="auto"/>
                <w:sz w:val="24"/>
                <w:szCs w:val="24"/>
              </w:rPr>
              <w:t>进出口处地面进行硬化处理，必须设置车辆过水池、沉淀池、过滤池及车辆清洗设备</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即“三池一设备”）。粉尘逸散性的工程材料、砂石、土方或废弃物，应当集中堆置于工地区域，并采取覆盖防尘布或防尘网、定期洒水降尘、袋装等扬尘防范措施。</w:t>
            </w:r>
          </w:p>
          <w:p w14:paraId="768CEAB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9）根据《安宁市人民政府关于印发安宁市大气污染防治工作实施方案的通知》要求，项目施工现场需要做到六个百分百：施工现场100%标准化围蔽；未清运建筑垃圾</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工程弃土）100%覆</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苫</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盖；工地路面100%硬化；施工现场100%洒水降尘；出工地车辆100%冲洗干净，同时遮蔽严密；施工现场长期裸露地面100%覆盖或绿化。</w:t>
            </w:r>
          </w:p>
          <w:p w14:paraId="492632AA">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rPr>
            </w:pPr>
            <w:r>
              <w:rPr>
                <w:rFonts w:hint="default" w:ascii="Times New Roman" w:hAnsi="Times New Roman" w:cs="Times New Roman"/>
                <w:b/>
                <w:bCs/>
                <w:color w:val="auto"/>
                <w:sz w:val="24"/>
                <w:szCs w:val="24"/>
                <w:lang w:val="en-US" w:eastAsia="zh-CN"/>
              </w:rPr>
              <w:t>2.2</w:t>
            </w:r>
            <w:r>
              <w:rPr>
                <w:rFonts w:hint="default" w:ascii="Times New Roman" w:hAnsi="Times New Roman" w:eastAsia="宋体" w:cs="Times New Roman"/>
                <w:b/>
                <w:bCs/>
                <w:color w:val="auto"/>
                <w:sz w:val="24"/>
                <w:szCs w:val="24"/>
              </w:rPr>
              <w:t>水污染防治对策措施</w:t>
            </w:r>
          </w:p>
          <w:p w14:paraId="2B118DEA">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1）项目施工单位应合理安排施工时间，尽量避开雨天进行基础施工；在施工场地设置临时截排水沟，并在总排水沟出口处设置临时</w:t>
            </w:r>
            <w:r>
              <w:rPr>
                <w:rFonts w:hint="default" w:ascii="Times New Roman" w:hAnsi="Times New Roman" w:cs="Times New Roman"/>
                <w:color w:val="auto"/>
                <w:sz w:val="24"/>
                <w:szCs w:val="24"/>
                <w:lang w:eastAsia="zh-CN"/>
              </w:rPr>
              <w:t>沉沙池</w:t>
            </w:r>
            <w:r>
              <w:rPr>
                <w:rFonts w:hint="default" w:ascii="Times New Roman" w:hAnsi="Times New Roman" w:eastAsia="宋体" w:cs="Times New Roman"/>
                <w:color w:val="auto"/>
                <w:sz w:val="24"/>
                <w:szCs w:val="24"/>
              </w:rPr>
              <w:t>，用以收集和处理产生的泥沙废水，经沉淀处理后的废水可回用于施工现场的洒水降尘和混凝土保养，禁止将未进行沉淀处理的废水随意乱排。</w:t>
            </w:r>
          </w:p>
          <w:p w14:paraId="59A2095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2）施工期运输车辆及施工机具的冲洗废水，经施工场地内设置临时沉砂池沉淀处理后，全部回</w:t>
            </w:r>
            <w:r>
              <w:rPr>
                <w:rFonts w:hint="default" w:ascii="Times New Roman" w:hAnsi="Times New Roman" w:cs="Times New Roman"/>
                <w:color w:val="auto"/>
                <w:sz w:val="24"/>
                <w:szCs w:val="24"/>
                <w:lang w:eastAsia="zh-CN"/>
              </w:rPr>
              <w:t>用作</w:t>
            </w:r>
            <w:r>
              <w:rPr>
                <w:rFonts w:hint="default" w:ascii="Times New Roman" w:hAnsi="Times New Roman" w:eastAsia="宋体" w:cs="Times New Roman"/>
                <w:color w:val="auto"/>
                <w:sz w:val="24"/>
                <w:szCs w:val="24"/>
              </w:rPr>
              <w:t>项目区施工养护和洒水降尘，且项目应加强管理，做好机械的日常维修保养，杜绝跑、冒、滴、漏现象；另外，雨天应对各类机械进行遮盖防雨。</w:t>
            </w:r>
          </w:p>
          <w:p w14:paraId="63EB3FD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3）施工现场不设置施工营地，施工人员及管理监督人员依托周边民房、餐馆或当地的施工人员回家不在施工场地内进行食宿，无生活污水产生。施工人员生活废水主要为施工人员洗手用水，经沉砂池沉淀后直接回用于施工场地洒水抑尘，不外排。</w:t>
            </w:r>
          </w:p>
          <w:p w14:paraId="70FEDD4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eastAsia="zh-CN"/>
              </w:rPr>
              <w:t>4）项目方在施工时应禁止项目产生的施工养护废水进入含水层。在修建车辆清洗池、沉沙池的时候必须注意进行防渗处理。</w:t>
            </w:r>
          </w:p>
          <w:p w14:paraId="48DFF5C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eastAsia="zh-CN"/>
              </w:rPr>
              <w:t>）施工作业结束后，要清理施工场地，以防施工弃渣等随雨水进入水体，造成淤塞和水质污染。</w:t>
            </w:r>
          </w:p>
          <w:p w14:paraId="4B9D531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6）项目管道采用清水试压，试压废水</w:t>
            </w:r>
            <w:r>
              <w:rPr>
                <w:rFonts w:hint="default" w:ascii="Times New Roman" w:hAnsi="Times New Roman" w:cs="Times New Roman"/>
                <w:color w:val="auto"/>
                <w:sz w:val="24"/>
                <w:szCs w:val="24"/>
                <w:highlight w:val="none"/>
                <w:lang w:val="en-US" w:eastAsia="zh-CN"/>
              </w:rPr>
              <w:t>经沉淀池沉淀处理后</w:t>
            </w:r>
            <w:r>
              <w:rPr>
                <w:rFonts w:hint="default" w:ascii="Times New Roman" w:hAnsi="Times New Roman" w:eastAsia="宋体" w:cs="Times New Roman"/>
                <w:color w:val="auto"/>
                <w:sz w:val="24"/>
                <w:szCs w:val="24"/>
                <w:highlight w:val="none"/>
                <w:lang w:val="en-US" w:eastAsia="zh-CN"/>
              </w:rPr>
              <w:t>就近排入附近</w:t>
            </w:r>
            <w:r>
              <w:rPr>
                <w:rFonts w:hint="default" w:ascii="Times New Roman" w:hAnsi="Times New Roman" w:cs="Times New Roman"/>
                <w:color w:val="auto"/>
                <w:sz w:val="24"/>
                <w:szCs w:val="24"/>
                <w:highlight w:val="none"/>
                <w:lang w:val="en-US" w:eastAsia="zh-CN"/>
              </w:rPr>
              <w:t>沟渠、</w:t>
            </w:r>
            <w:r>
              <w:rPr>
                <w:rFonts w:hint="default" w:ascii="Times New Roman" w:hAnsi="Times New Roman" w:eastAsia="宋体" w:cs="Times New Roman"/>
                <w:color w:val="auto"/>
                <w:sz w:val="24"/>
                <w:szCs w:val="24"/>
                <w:highlight w:val="none"/>
                <w:lang w:val="en-US" w:eastAsia="zh-CN"/>
              </w:rPr>
              <w:t>耕地。</w:t>
            </w:r>
          </w:p>
          <w:p w14:paraId="54BCD494">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cs="Times New Roman"/>
                <w:b/>
                <w:bCs/>
                <w:color w:val="auto"/>
                <w:sz w:val="24"/>
                <w:szCs w:val="24"/>
                <w:lang w:eastAsia="zh-CN"/>
              </w:rPr>
            </w:pPr>
            <w:r>
              <w:rPr>
                <w:rFonts w:hint="default" w:ascii="Times New Roman" w:hAnsi="Times New Roman" w:cs="Times New Roman"/>
                <w:b/>
                <w:bCs/>
                <w:color w:val="auto"/>
                <w:sz w:val="24"/>
                <w:szCs w:val="24"/>
                <w:lang w:val="en-US" w:eastAsia="zh-CN"/>
              </w:rPr>
              <w:t>2.3</w:t>
            </w:r>
            <w:r>
              <w:rPr>
                <w:rFonts w:hint="default" w:ascii="Times New Roman" w:hAnsi="Times New Roman" w:cs="Times New Roman"/>
                <w:b/>
                <w:bCs/>
                <w:color w:val="auto"/>
                <w:sz w:val="24"/>
                <w:szCs w:val="24"/>
                <w:lang w:eastAsia="zh-CN"/>
              </w:rPr>
              <w:t>噪声污染防治对策措施</w:t>
            </w:r>
          </w:p>
          <w:p w14:paraId="52E1CC0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 xml:space="preserve">1）从声源上控制：施工单位使用的主要机械设备应为低噪声机械设备，例如选液压机械取代燃油机械。同时在施工过程中施工单位应设专人对设备进行定期保养和维护，并负责对现场工作人员进行培训，严格按操作规范使用各类机械。 </w:t>
            </w:r>
          </w:p>
          <w:p w14:paraId="6A05AAA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2）合理安排施工时间：合理安排施工计划和施工机械设备组合。严格遵守</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昆明市人民政府第72号令）《昆明市环境噪声污染防治管理办法》中禁止在12时至14时、22时至次日6时进行施工作业，但抢修、抢险作业和因混凝土浇灌、桩基冲孔、钻孔桩成型等生产工艺需要连续作业的除外，因混凝土浇灌、桩基冲孔、钻孔桩成型等连续作业必须进行夜间施工，施工单位应当在施工前三日持市建设行政主管部门证明，到昆明市生态环境局安宁分局登记，并在施工地点以书面形式向附近居民公告，且采取选用低噪声设备、文明施工等措施，尽量避免扰民情况发生。</w:t>
            </w:r>
          </w:p>
          <w:p w14:paraId="39475CA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3）采用距离防护措施：在不影响施工情况下将噪声设备尽量不集中安排，同时对固定的机械设备尽量入棚操作。</w:t>
            </w:r>
          </w:p>
          <w:p w14:paraId="46CA0F37">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4）采用噪声阻隔措施：应在施工场界设置临时挡墙，挡墙高度应在2.5m以上，以进一步减轻噪声对周围环境的影响。结构阶段和装修阶段，对建筑物的外部采取围挡，减轻施工噪声对外环境及居民的影响。</w:t>
            </w:r>
          </w:p>
          <w:p w14:paraId="72BAF81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5）建设管理部门应加强对施工场地的噪声管理，施工企业也应对施工噪声进行自律，文明施工，避免因施工噪声产生纠纷。</w:t>
            </w:r>
          </w:p>
          <w:p w14:paraId="1F64A38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6）建筑施工单位应当采取有效措施，降低施工噪声污染，所排放的建筑施工噪声，应当符合国家规定的建筑施工场界噪声限值。</w:t>
            </w:r>
          </w:p>
          <w:p w14:paraId="7EE6BA1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7）加强施工期间的操作规范，避免人为造成诸如高空抛丢重物砸下造成的突发性噪声影响周围居民的情况发生。</w:t>
            </w:r>
          </w:p>
          <w:p w14:paraId="2507E95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zh-CN"/>
              </w:rPr>
              <w:t>8）针对敏感点施工期噪声预测超标的情况，工程应制定合理的施工计划，禁止在住户休息时间施工。同时应积极与住户联系，争取住户理解，必要时采取一定的补</w:t>
            </w:r>
            <w:r>
              <w:rPr>
                <w:rFonts w:hint="default" w:ascii="Times New Roman" w:hAnsi="Times New Roman" w:eastAsia="宋体" w:cs="Times New Roman"/>
                <w:color w:val="auto"/>
                <w:sz w:val="24"/>
                <w:szCs w:val="24"/>
              </w:rPr>
              <w:t>偿措施。</w:t>
            </w:r>
          </w:p>
          <w:p w14:paraId="3BD9D42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9）加强与施工场地周边的居民沟通、协商，建议可以和居民签订一些补偿协议，避免施工期间噪声扰民而引起的环保投诉。</w:t>
            </w:r>
          </w:p>
          <w:p w14:paraId="174E53A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综上所述，由于施工期影响为短期影响，施工结束后即可终止，因此本项目在采取了防治措施后，施工期噪声不会对周围声环境产生大的长期的不利影响。</w:t>
            </w:r>
          </w:p>
          <w:p w14:paraId="3B641295">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rPr>
            </w:pPr>
            <w:r>
              <w:rPr>
                <w:rFonts w:hint="default" w:ascii="Times New Roman" w:hAnsi="Times New Roman" w:cs="Times New Roman"/>
                <w:b/>
                <w:bCs/>
                <w:color w:val="auto"/>
                <w:sz w:val="24"/>
                <w:szCs w:val="24"/>
                <w:lang w:val="en-US" w:eastAsia="zh-CN"/>
              </w:rPr>
              <w:t>2.4</w:t>
            </w:r>
            <w:r>
              <w:rPr>
                <w:rFonts w:hint="default" w:ascii="Times New Roman" w:hAnsi="Times New Roman" w:eastAsia="宋体" w:cs="Times New Roman"/>
                <w:b/>
                <w:bCs/>
                <w:color w:val="auto"/>
                <w:sz w:val="24"/>
                <w:szCs w:val="24"/>
              </w:rPr>
              <w:t>固体废物防治对策措施</w:t>
            </w:r>
          </w:p>
          <w:p w14:paraId="193205A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1）施工期间，运送散装建筑材料的车辆，用</w:t>
            </w:r>
            <w:r>
              <w:rPr>
                <w:rFonts w:hint="default" w:ascii="Times New Roman" w:hAnsi="Times New Roman" w:cs="Times New Roman"/>
                <w:color w:val="auto"/>
                <w:sz w:val="24"/>
                <w:szCs w:val="24"/>
                <w:lang w:eastAsia="zh-CN"/>
              </w:rPr>
              <w:t>篷布</w:t>
            </w:r>
            <w:r>
              <w:rPr>
                <w:rFonts w:hint="default" w:ascii="Times New Roman" w:hAnsi="Times New Roman" w:eastAsia="宋体" w:cs="Times New Roman"/>
                <w:color w:val="auto"/>
                <w:sz w:val="24"/>
                <w:szCs w:val="24"/>
              </w:rPr>
              <w:t>遮盖，以防物料洒落；</w:t>
            </w:r>
          </w:p>
          <w:p w14:paraId="5D5AEA3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2）建设过程中产生的废弃土石方委托有资质的单位清运至周边合法弃渣场进行处置；</w:t>
            </w:r>
          </w:p>
          <w:p w14:paraId="6562AF3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3）施工垃圾主要为废弃施工材料，如木材、钢材等能回收利用的回收利用，不能回收利用的收集后按照《关于转发昆明市城市建筑垃圾管理实施办法实施细则的通知》</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昆政办〔2011〕88 号）中要求委托有资质单位清运处置；</w:t>
            </w:r>
          </w:p>
          <w:p w14:paraId="01179E1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4）</w:t>
            </w:r>
            <w:r>
              <w:rPr>
                <w:rFonts w:hint="default" w:ascii="Times New Roman" w:hAnsi="Times New Roman" w:cs="Times New Roman"/>
                <w:color w:val="auto"/>
                <w:sz w:val="24"/>
                <w:szCs w:val="24"/>
                <w:highlight w:val="none"/>
                <w:lang w:val="en-US" w:eastAsia="zh-CN"/>
              </w:rPr>
              <w:t>建筑垃圾</w:t>
            </w:r>
            <w:r>
              <w:rPr>
                <w:rFonts w:hint="default" w:ascii="Times New Roman" w:hAnsi="Times New Roman" w:eastAsia="宋体" w:cs="Times New Roman"/>
                <w:color w:val="auto"/>
                <w:sz w:val="24"/>
                <w:szCs w:val="24"/>
                <w:highlight w:val="none"/>
                <w:lang w:val="en-US" w:eastAsia="zh-CN"/>
              </w:rPr>
              <w:t>主要包括废包装材料、废焊条，清管所产生的少量铁屑、粉尘，以及施工过程中产生的废金属等。废焊条、废包装材料、废金属等由施工单位回收利用，清管废渣交环卫部门处理。</w:t>
            </w:r>
          </w:p>
          <w:p w14:paraId="4E5788E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）合理安排施工时间。土方施工应尽量避开在雨季进行，并在雨季来临前将已开挖回填土方的边坡排水设施处理好。如在雨季施工，应尽量减小施工面坡度，并做到施</w:t>
            </w:r>
            <w:r>
              <w:rPr>
                <w:rFonts w:hint="default" w:ascii="Times New Roman" w:hAnsi="Times New Roman" w:cs="Times New Roman"/>
                <w:color w:val="auto"/>
                <w:sz w:val="24"/>
                <w:szCs w:val="24"/>
                <w:lang w:eastAsia="zh-CN"/>
              </w:rPr>
              <w:t>工材</w:t>
            </w:r>
            <w:r>
              <w:rPr>
                <w:rFonts w:hint="default" w:ascii="Times New Roman" w:hAnsi="Times New Roman" w:eastAsia="宋体" w:cs="Times New Roman"/>
                <w:color w:val="auto"/>
                <w:sz w:val="24"/>
                <w:szCs w:val="24"/>
              </w:rPr>
              <w:t>料随取、随运、随铺、随压，以减少雨水的冲刷侵蚀；</w:t>
            </w:r>
          </w:p>
          <w:p w14:paraId="12FC513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6</w:t>
            </w:r>
            <w:r>
              <w:rPr>
                <w:rFonts w:hint="default" w:ascii="Times New Roman" w:hAnsi="Times New Roman" w:eastAsia="宋体" w:cs="Times New Roman"/>
                <w:color w:val="auto"/>
                <w:sz w:val="24"/>
                <w:szCs w:val="24"/>
              </w:rPr>
              <w:t>）施工人员产生的生活垃圾</w:t>
            </w:r>
            <w:r>
              <w:rPr>
                <w:rFonts w:hint="default" w:ascii="Times New Roman" w:hAnsi="Times New Roman" w:eastAsia="宋体" w:cs="Times New Roman"/>
                <w:color w:val="auto"/>
                <w:sz w:val="24"/>
                <w:szCs w:val="24"/>
                <w:highlight w:val="none"/>
                <w:lang w:val="en-US" w:eastAsia="zh-CN"/>
              </w:rPr>
              <w:t>采取定点收集，定期清运交由环卫部门处理的措施，规范生活垃圾的管理，避免其乱堆放，确保施工场地有良好的卫生条件，</w:t>
            </w:r>
            <w:r>
              <w:rPr>
                <w:rFonts w:hint="default" w:ascii="Times New Roman" w:hAnsi="Times New Roman" w:cs="Times New Roman"/>
                <w:color w:val="auto"/>
                <w:sz w:val="24"/>
                <w:szCs w:val="24"/>
                <w:highlight w:val="none"/>
                <w:lang w:val="en-US" w:eastAsia="zh-CN"/>
              </w:rPr>
              <w:t>减少</w:t>
            </w:r>
            <w:r>
              <w:rPr>
                <w:rFonts w:hint="default" w:ascii="Times New Roman" w:hAnsi="Times New Roman" w:eastAsia="宋体" w:cs="Times New Roman"/>
                <w:color w:val="auto"/>
                <w:sz w:val="24"/>
                <w:szCs w:val="24"/>
                <w:highlight w:val="none"/>
                <w:lang w:val="en-US" w:eastAsia="zh-CN"/>
              </w:rPr>
              <w:t>生活垃圾对环境的不良影响</w:t>
            </w:r>
            <w:r>
              <w:rPr>
                <w:rFonts w:hint="default" w:ascii="Times New Roman" w:hAnsi="Times New Roman" w:eastAsia="宋体" w:cs="Times New Roman"/>
                <w:color w:val="auto"/>
                <w:sz w:val="24"/>
                <w:szCs w:val="24"/>
              </w:rPr>
              <w:t>。</w:t>
            </w:r>
          </w:p>
          <w:p w14:paraId="6BF8FFF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7</w:t>
            </w:r>
            <w:r>
              <w:rPr>
                <w:rFonts w:hint="default" w:ascii="Times New Roman" w:hAnsi="Times New Roman" w:eastAsia="宋体" w:cs="Times New Roman"/>
                <w:color w:val="auto"/>
                <w:sz w:val="24"/>
                <w:szCs w:val="24"/>
              </w:rPr>
              <w:t>）路基施工填挖过程中做到随挖、随运、随填、随夯，不留松土。路基施工尽量采用机械化施工，合理安排施工进度，做到工序紧凑、有序，以缩短工期，减少施工水土流失量。</w:t>
            </w:r>
          </w:p>
          <w:p w14:paraId="1AAC0D8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8</w:t>
            </w:r>
            <w:r>
              <w:rPr>
                <w:rFonts w:hint="default" w:ascii="Times New Roman" w:hAnsi="Times New Roman" w:eastAsia="宋体" w:cs="Times New Roman"/>
                <w:color w:val="auto"/>
                <w:sz w:val="24"/>
                <w:szCs w:val="24"/>
              </w:rPr>
              <w:t>）路面水土流失主要发生在铺筑混凝土之前，施工期需要采取临时拦渣或导排水措施，同时应注重施工工序，分段填筑、分层碾压、分段浇筑，缩短路面在雨季的裸露时间，减少或避免水土流失。</w:t>
            </w:r>
          </w:p>
          <w:p w14:paraId="6A8465F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9</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highlight w:val="none"/>
              </w:rPr>
              <w:t>加强施工人员管理，禁止向周边河道抛洒各类固废污染物。</w:t>
            </w:r>
          </w:p>
          <w:p w14:paraId="0377507A">
            <w:pPr>
              <w:adjustRightInd w:val="0"/>
              <w:spacing w:line="360" w:lineRule="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000000"/>
                <w:sz w:val="24"/>
                <w:highlight w:val="none"/>
                <w:lang w:val="en-US" w:eastAsia="zh-CN"/>
              </w:rPr>
              <w:t>2.5永久基本农田保护措施</w:t>
            </w:r>
          </w:p>
          <w:p w14:paraId="59253ED1">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1）施工前，对占用区域的表土进行剥离，剥离厚度不低于30厘米，施工结束后，管顶恢复厚度不低于1m。表土选择地势平坦、排水良好的场地集中堆放，堆体边坡不陡于1</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1.5，并采取密目网</w:t>
            </w:r>
            <w:r>
              <w:rPr>
                <w:rFonts w:hint="default" w:ascii="Times New Roman" w:hAnsi="Times New Roman" w:eastAsia="Segoe UI" w:cs="Times New Roman"/>
                <w:i w:val="0"/>
                <w:iCs w:val="0"/>
                <w:caps w:val="0"/>
                <w:color w:val="0F1115"/>
                <w:spacing w:val="0"/>
                <w:sz w:val="24"/>
                <w:szCs w:val="24"/>
                <w:highlight w:val="none"/>
                <w:shd w:val="clear" w:fill="FFFFFF"/>
              </w:rPr>
              <w:t>苫盖</w:t>
            </w:r>
            <w:r>
              <w:rPr>
                <w:rFonts w:hint="default" w:ascii="Times New Roman" w:hAnsi="Times New Roman" w:cs="Times New Roman"/>
                <w:color w:val="auto"/>
                <w:sz w:val="24"/>
                <w:highlight w:val="none"/>
                <w:lang w:val="en-US" w:eastAsia="zh-CN"/>
              </w:rPr>
              <w:t>，周边设置临时排水沟等措施进行防护。表土用于施工结束后生态复垦。</w:t>
            </w:r>
          </w:p>
          <w:p w14:paraId="129B5252">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2）临时占用永久基本农田管道采用地埋式，采取的施工方式为边开挖管槽，边进行覆土，由于临时占用永久基本农田内会破坏农作物，建设方对被临时征占农地农户进行相关的经济补偿。</w:t>
            </w:r>
          </w:p>
          <w:p w14:paraId="4D69C0B9">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3）加强对施工机械的保养，避免发生跑、冒、滴、漏，防止污染土壤和地下水。</w:t>
            </w:r>
          </w:p>
          <w:p w14:paraId="1592E476">
            <w:pPr>
              <w:adjustRightInd w:val="0"/>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4）严格划定施工边界，禁止超范围占用。施工结束后迹地恢复，将影响降至最低。节约土地，尽量减少对永久基本农田的临时占用。</w:t>
            </w:r>
          </w:p>
          <w:p w14:paraId="5C0F06FD">
            <w:pPr>
              <w:adjustRightIn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管线临时占用永久基本农田，将严格按照《土地管理法》及永久基本农田保护相关规定，按照“占优补优、占水田补水田”的原则，在施工结束后立即进行复垦，确保耕地质量和数量不降低。</w:t>
            </w:r>
          </w:p>
          <w:p w14:paraId="51EC433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6）</w:t>
            </w:r>
            <w:r>
              <w:rPr>
                <w:rFonts w:hint="default" w:ascii="Times New Roman" w:hAnsi="Times New Roman" w:cs="Times New Roman"/>
                <w:sz w:val="24"/>
                <w:szCs w:val="24"/>
                <w:highlight w:val="none"/>
                <w:lang w:val="en-US" w:eastAsia="zh-CN"/>
              </w:rPr>
              <w:t>对于永久基本农田，应按照《土地复垦方案》进行复垦，确保土壤肥力指标达到或超过原有水平。</w:t>
            </w:r>
          </w:p>
          <w:p w14:paraId="2A39574E">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rPr>
            </w:pPr>
            <w:r>
              <w:rPr>
                <w:rFonts w:hint="default" w:ascii="Times New Roman" w:hAnsi="Times New Roman" w:cs="Times New Roman"/>
                <w:b/>
                <w:bCs/>
                <w:color w:val="auto"/>
                <w:sz w:val="24"/>
                <w:szCs w:val="24"/>
                <w:lang w:val="en-US" w:eastAsia="zh-CN"/>
              </w:rPr>
              <w:t>3</w:t>
            </w:r>
            <w:r>
              <w:rPr>
                <w:rFonts w:hint="default" w:ascii="Times New Roman" w:hAnsi="Times New Roman" w:eastAsia="宋体" w:cs="Times New Roman"/>
                <w:b/>
                <w:bCs/>
                <w:color w:val="auto"/>
                <w:sz w:val="24"/>
                <w:szCs w:val="24"/>
              </w:rPr>
              <w:t>、结论</w:t>
            </w:r>
          </w:p>
          <w:p w14:paraId="0833B70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结合上述分析可知，施工建设过程中，在施工方严格遵循上述环保措施的前提下，将在很大程度上减少对周边环境的影响，对周边环境敏感目标影响较小。</w:t>
            </w:r>
          </w:p>
          <w:p w14:paraId="04E206F5">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rPr>
            </w:pPr>
            <w:r>
              <w:rPr>
                <w:rFonts w:hint="default" w:ascii="Times New Roman" w:hAnsi="Times New Roman" w:cs="Times New Roman"/>
                <w:b/>
                <w:bCs/>
                <w:color w:val="auto"/>
                <w:sz w:val="24"/>
                <w:szCs w:val="24"/>
                <w:lang w:val="en-US" w:eastAsia="zh-CN"/>
              </w:rPr>
              <w:t>4</w:t>
            </w:r>
            <w:r>
              <w:rPr>
                <w:rFonts w:hint="default" w:ascii="Times New Roman" w:hAnsi="Times New Roman" w:eastAsia="宋体" w:cs="Times New Roman"/>
                <w:b/>
                <w:bCs/>
                <w:color w:val="auto"/>
                <w:sz w:val="24"/>
                <w:szCs w:val="24"/>
                <w:lang w:val="en-US" w:eastAsia="zh-CN"/>
              </w:rPr>
              <w:t>、</w:t>
            </w:r>
            <w:r>
              <w:rPr>
                <w:rFonts w:hint="default" w:ascii="Times New Roman" w:hAnsi="Times New Roman" w:eastAsia="宋体" w:cs="Times New Roman"/>
                <w:b/>
                <w:bCs/>
                <w:color w:val="auto"/>
                <w:sz w:val="24"/>
                <w:szCs w:val="24"/>
              </w:rPr>
              <w:t>环境监测及管理计划</w:t>
            </w:r>
          </w:p>
          <w:p w14:paraId="41B0A0A2">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rPr>
            </w:pPr>
            <w:r>
              <w:rPr>
                <w:rFonts w:hint="default" w:ascii="Times New Roman" w:hAnsi="Times New Roman" w:cs="Times New Roman"/>
                <w:b/>
                <w:bCs/>
                <w:color w:val="auto"/>
                <w:sz w:val="24"/>
                <w:szCs w:val="24"/>
                <w:lang w:val="en-US" w:eastAsia="zh-CN"/>
              </w:rPr>
              <w:t>4.1</w:t>
            </w:r>
            <w:r>
              <w:rPr>
                <w:rFonts w:hint="default" w:ascii="Times New Roman" w:hAnsi="Times New Roman" w:eastAsia="宋体" w:cs="Times New Roman"/>
                <w:b/>
                <w:bCs/>
                <w:color w:val="auto"/>
                <w:sz w:val="24"/>
                <w:szCs w:val="24"/>
              </w:rPr>
              <w:t>环境监理计划</w:t>
            </w:r>
          </w:p>
          <w:p w14:paraId="493867A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1）前期阶段</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前期工作中，项目建设单位应有专人负责工程的环境保护工作，设置专门的环境保护管理机构，其人员至少1人，主要负责项目建设期的环境保护管理工作，其主要职责为：</w:t>
            </w:r>
          </w:p>
          <w:p w14:paraId="108DAF0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协助本项目的环境管理。</w:t>
            </w:r>
          </w:p>
          <w:p w14:paraId="7714EAD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督促和落实环保工程设计与实施。</w:t>
            </w:r>
          </w:p>
          <w:p w14:paraId="63C39704">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在承包合同中落实环保条款，配合环保部门监理，提供施工中环保执行信息。</w:t>
            </w:r>
          </w:p>
          <w:p w14:paraId="5AA1507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与环保监测单位签订环境监测委托合同，检查环境监测计划的实施，并将监测报告与执行情况上报建设单位及</w:t>
            </w:r>
            <w:r>
              <w:rPr>
                <w:rFonts w:hint="default" w:ascii="Times New Roman" w:hAnsi="Times New Roman" w:eastAsia="宋体" w:cs="Times New Roman"/>
                <w:color w:val="auto"/>
                <w:sz w:val="24"/>
                <w:szCs w:val="24"/>
                <w:lang w:val="en-US" w:eastAsia="zh-CN"/>
              </w:rPr>
              <w:t>昆明</w:t>
            </w:r>
            <w:r>
              <w:rPr>
                <w:rFonts w:hint="default" w:ascii="Times New Roman" w:hAnsi="Times New Roman" w:eastAsia="宋体" w:cs="Times New Roman"/>
                <w:color w:val="auto"/>
                <w:sz w:val="24"/>
                <w:szCs w:val="24"/>
              </w:rPr>
              <w:t>市生态环境局</w:t>
            </w:r>
            <w:r>
              <w:rPr>
                <w:rFonts w:hint="default" w:ascii="Times New Roman" w:hAnsi="Times New Roman" w:eastAsia="宋体" w:cs="Times New Roman"/>
                <w:color w:val="auto"/>
                <w:sz w:val="24"/>
                <w:szCs w:val="24"/>
                <w:lang w:val="en-US" w:eastAsia="zh-CN"/>
              </w:rPr>
              <w:t>安宁</w:t>
            </w:r>
            <w:r>
              <w:rPr>
                <w:rFonts w:hint="default" w:ascii="Times New Roman" w:hAnsi="Times New Roman" w:eastAsia="宋体" w:cs="Times New Roman"/>
                <w:color w:val="auto"/>
                <w:sz w:val="24"/>
                <w:szCs w:val="24"/>
              </w:rPr>
              <w:t>分局。</w:t>
            </w:r>
          </w:p>
          <w:p w14:paraId="262EC34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负责受影响公众的环保投诉。</w:t>
            </w:r>
          </w:p>
          <w:p w14:paraId="1F6863B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积极配合、支持地方环保主管部门的工作，并接受其监督与检查。</w:t>
            </w:r>
          </w:p>
          <w:p w14:paraId="04E4360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2）施工期</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工程施工期应严格实行招投标制和合同制，将工程的环境保护要求、环境保护设施建设、需达到的预期效果列入招标文件和合同中，明确相关的责任和要求。</w:t>
            </w:r>
          </w:p>
          <w:p w14:paraId="038B955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施工期建设单位应设1～2人专职人员，负责工程施工</w:t>
            </w:r>
            <w:r>
              <w:rPr>
                <w:rFonts w:hint="default" w:ascii="Times New Roman" w:hAnsi="Times New Roman" w:cs="Times New Roman"/>
                <w:color w:val="auto"/>
                <w:sz w:val="24"/>
                <w:szCs w:val="24"/>
                <w:lang w:eastAsia="zh-CN"/>
              </w:rPr>
              <w:t>期间</w:t>
            </w:r>
            <w:r>
              <w:rPr>
                <w:rFonts w:hint="default" w:ascii="Times New Roman" w:hAnsi="Times New Roman" w:eastAsia="宋体" w:cs="Times New Roman"/>
                <w:color w:val="auto"/>
                <w:sz w:val="24"/>
                <w:szCs w:val="24"/>
              </w:rPr>
              <w:t>的环境管理与监督，监督施工单位搞好工程的水土保持，植被恢复、施工噪声和施工扬尘防治等工作。</w:t>
            </w:r>
          </w:p>
          <w:p w14:paraId="70FE13D8">
            <w:pPr>
              <w:numPr>
                <w:ilvl w:val="0"/>
                <w:numId w:val="0"/>
              </w:numPr>
              <w:spacing w:beforeLines="0" w:afterLines="0" w:line="360" w:lineRule="auto"/>
              <w:ind w:leftChars="0"/>
              <w:jc w:val="left"/>
              <w:rPr>
                <w:rFonts w:hint="default" w:ascii="Times New Roman" w:hAnsi="Times New Roman" w:eastAsia="宋体" w:cs="Times New Roman"/>
                <w:b/>
                <w:bCs/>
                <w:color w:val="auto"/>
                <w:sz w:val="24"/>
                <w:szCs w:val="24"/>
              </w:rPr>
            </w:pPr>
            <w:r>
              <w:rPr>
                <w:rFonts w:hint="default" w:ascii="Times New Roman" w:hAnsi="Times New Roman" w:cs="Times New Roman"/>
                <w:b/>
                <w:bCs/>
                <w:color w:val="auto"/>
                <w:sz w:val="24"/>
                <w:szCs w:val="24"/>
                <w:lang w:val="en-US" w:eastAsia="zh-CN"/>
              </w:rPr>
              <w:t>4.2</w:t>
            </w:r>
            <w:r>
              <w:rPr>
                <w:rFonts w:hint="default" w:ascii="Times New Roman" w:hAnsi="Times New Roman" w:eastAsia="宋体" w:cs="Times New Roman"/>
                <w:b/>
                <w:bCs/>
                <w:color w:val="auto"/>
                <w:sz w:val="24"/>
                <w:szCs w:val="24"/>
              </w:rPr>
              <w:t>施工期环境监理情况</w:t>
            </w:r>
          </w:p>
          <w:p w14:paraId="05317ED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按照工程建设管理要求，项目业主必须对每个建设工程委托有资质的施工监理机构。施工监理机构中必须配备相应的环境监理工程师。其主要负责监理方的建筑工程活动及其他相关活动。本项目施工期间环境监理情况详见下表：</w:t>
            </w:r>
          </w:p>
          <w:p w14:paraId="52847FC6">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宋体" w:cs="Times New Roman"/>
                <w:b/>
                <w:bCs/>
                <w:color w:val="0000FF"/>
                <w:sz w:val="24"/>
                <w:szCs w:val="24"/>
              </w:rPr>
            </w:pPr>
            <w:r>
              <w:rPr>
                <w:rFonts w:hint="default" w:ascii="Times New Roman" w:hAnsi="Times New Roman" w:eastAsia="宋体" w:cs="Times New Roman"/>
                <w:b/>
                <w:bCs/>
                <w:color w:val="auto"/>
                <w:sz w:val="24"/>
                <w:szCs w:val="24"/>
              </w:rPr>
              <w:t xml:space="preserve">表5-1 </w:t>
            </w:r>
            <w:r>
              <w:rPr>
                <w:rFonts w:hint="default"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项目施工期环境监理计划</w:t>
            </w:r>
          </w:p>
          <w:tbl>
            <w:tblPr>
              <w:tblStyle w:val="26"/>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7406"/>
            </w:tblGrid>
            <w:tr w14:paraId="0852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3" w:type="pct"/>
                  <w:tcBorders>
                    <w:tl2br w:val="nil"/>
                    <w:tr2bl w:val="nil"/>
                  </w:tcBorders>
                  <w:noWrap w:val="0"/>
                  <w:vAlign w:val="center"/>
                </w:tcPr>
                <w:p w14:paraId="7B4787B7">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阶段</w:t>
                  </w:r>
                </w:p>
              </w:tc>
              <w:tc>
                <w:tcPr>
                  <w:tcW w:w="4516" w:type="pct"/>
                  <w:tcBorders>
                    <w:tl2br w:val="nil"/>
                    <w:tr2bl w:val="nil"/>
                  </w:tcBorders>
                  <w:noWrap w:val="0"/>
                  <w:vAlign w:val="center"/>
                </w:tcPr>
                <w:p w14:paraId="6AFE5002">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监理内容</w:t>
                  </w:r>
                </w:p>
              </w:tc>
            </w:tr>
            <w:tr w14:paraId="03C7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3" w:type="pct"/>
                  <w:tcBorders>
                    <w:tl2br w:val="nil"/>
                    <w:tr2bl w:val="nil"/>
                  </w:tcBorders>
                  <w:noWrap w:val="0"/>
                  <w:vAlign w:val="center"/>
                </w:tcPr>
                <w:p w14:paraId="54DC2A91">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施工准备阶段</w:t>
                  </w:r>
                </w:p>
              </w:tc>
              <w:tc>
                <w:tcPr>
                  <w:tcW w:w="4516" w:type="pct"/>
                  <w:tcBorders>
                    <w:tl2br w:val="nil"/>
                    <w:tr2bl w:val="nil"/>
                  </w:tcBorders>
                  <w:noWrap w:val="0"/>
                  <w:vAlign w:val="center"/>
                </w:tcPr>
                <w:p w14:paraId="5922E220">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 New Roman" w:cs="Times New Roman"/>
                      <w:color w:val="auto"/>
                      <w:sz w:val="21"/>
                      <w:szCs w:val="24"/>
                    </w:rPr>
                    <w:t>1</w:t>
                  </w:r>
                  <w:r>
                    <w:rPr>
                      <w:rFonts w:hint="default" w:ascii="Times New Roman" w:hAnsi="Times New Roman" w:eastAsia="宋体" w:cs="Times New Roman"/>
                      <w:color w:val="auto"/>
                      <w:sz w:val="21"/>
                      <w:szCs w:val="24"/>
                    </w:rPr>
                    <w:t>）审核招标文件中设置的环境保护条款并在工程招标过程中向施工单位解释招标文件和承包合同的环境条款以及国家与地方的有关环保法规、工程施工期的环境保护规定等，其中特别注意弃渣处置问题；</w:t>
                  </w:r>
                </w:p>
                <w:p w14:paraId="5C391F38">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 New Roman" w:cs="Times New Roman"/>
                      <w:color w:val="auto"/>
                      <w:sz w:val="21"/>
                      <w:szCs w:val="24"/>
                    </w:rPr>
                    <w:t>2</w:t>
                  </w:r>
                  <w:r>
                    <w:rPr>
                      <w:rFonts w:hint="default" w:ascii="Times New Roman" w:hAnsi="Times New Roman" w:eastAsia="宋体" w:cs="Times New Roman"/>
                      <w:color w:val="auto"/>
                      <w:sz w:val="21"/>
                      <w:szCs w:val="24"/>
                    </w:rPr>
                    <w:t>）审查工程初步设计过程中环境保护措施是否正确落实了经批准的环境影响报告表提出的环境保护措施；</w:t>
                  </w:r>
                </w:p>
                <w:p w14:paraId="3E7A5414">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3</w:t>
                  </w:r>
                  <w:r>
                    <w:rPr>
                      <w:rFonts w:hint="default" w:ascii="Times New Roman" w:hAnsi="Times New Roman" w:eastAsia="宋体" w:cs="Times New Roman"/>
                      <w:color w:val="auto"/>
                      <w:sz w:val="21"/>
                      <w:szCs w:val="24"/>
                    </w:rPr>
                    <w:t>）向施工单位提出应特别注意的环境敏感因子和有关环境保护要求及监控的工</w:t>
                  </w:r>
                  <w:r>
                    <w:rPr>
                      <w:rFonts w:hint="default" w:ascii="Times New Roman" w:hAnsi="Times New Roman" w:cs="Times New Roman"/>
                      <w:color w:val="auto"/>
                      <w:sz w:val="21"/>
                      <w:szCs w:val="24"/>
                      <w:lang w:eastAsia="zh-CN"/>
                    </w:rPr>
                    <w:t>作秩</w:t>
                  </w:r>
                  <w:r>
                    <w:rPr>
                      <w:rFonts w:hint="default" w:ascii="Times New Roman" w:hAnsi="Times New Roman" w:eastAsia="宋体" w:cs="Times New Roman"/>
                      <w:color w:val="auto"/>
                      <w:sz w:val="21"/>
                      <w:szCs w:val="24"/>
                    </w:rPr>
                    <w:t>序；</w:t>
                  </w:r>
                </w:p>
                <w:p w14:paraId="0F0BDB6F">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4</w:t>
                  </w:r>
                  <w:r>
                    <w:rPr>
                      <w:rFonts w:hint="default" w:ascii="Times New Roman" w:hAnsi="Times New Roman" w:eastAsia="宋体" w:cs="Times New Roman"/>
                      <w:color w:val="auto"/>
                      <w:sz w:val="21"/>
                      <w:szCs w:val="24"/>
                    </w:rPr>
                    <w:t>）对施工单位报送的单位工程和分部工程施工组织计划中有关环境保护的内容进行审核，从环境保护的角度提出优化施工方案与方法的建议并签署意见作为对施工组织计划审核意见的组成部分；</w:t>
                  </w:r>
                </w:p>
                <w:p w14:paraId="20536BE2">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5</w:t>
                  </w:r>
                  <w:r>
                    <w:rPr>
                      <w:rFonts w:hint="default" w:ascii="Times New Roman" w:hAnsi="Times New Roman" w:eastAsia="宋体" w:cs="Times New Roman"/>
                      <w:color w:val="auto"/>
                      <w:sz w:val="21"/>
                      <w:szCs w:val="24"/>
                    </w:rPr>
                    <w:t>）检查登记施工单位主要设备与工艺、材料的环境指标，按照环保</w:t>
                  </w:r>
                  <w:r>
                    <w:rPr>
                      <w:rFonts w:hint="default" w:ascii="Times New Roman" w:hAnsi="Times New Roman" w:cs="Times New Roman"/>
                      <w:color w:val="auto"/>
                      <w:sz w:val="21"/>
                      <w:szCs w:val="24"/>
                      <w:lang w:eastAsia="zh-CN"/>
                    </w:rPr>
                    <w:t>完善</w:t>
                  </w:r>
                  <w:r>
                    <w:rPr>
                      <w:rFonts w:hint="default" w:ascii="Times New Roman" w:hAnsi="Times New Roman" w:eastAsia="宋体" w:cs="Times New Roman"/>
                      <w:color w:val="auto"/>
                      <w:sz w:val="21"/>
                      <w:szCs w:val="24"/>
                    </w:rPr>
                    <w:t>向施工单位提出使用操作要求。</w:t>
                  </w:r>
                </w:p>
              </w:tc>
            </w:tr>
            <w:tr w14:paraId="238F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3" w:type="pct"/>
                  <w:tcBorders>
                    <w:tl2br w:val="nil"/>
                    <w:tr2bl w:val="nil"/>
                  </w:tcBorders>
                  <w:noWrap w:val="0"/>
                  <w:vAlign w:val="center"/>
                </w:tcPr>
                <w:p w14:paraId="39BDEC9A">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施工阶段</w:t>
                  </w:r>
                </w:p>
              </w:tc>
              <w:tc>
                <w:tcPr>
                  <w:tcW w:w="4516" w:type="pct"/>
                  <w:tcBorders>
                    <w:tl2br w:val="nil"/>
                    <w:tr2bl w:val="nil"/>
                  </w:tcBorders>
                  <w:noWrap w:val="0"/>
                  <w:vAlign w:val="center"/>
                </w:tcPr>
                <w:p w14:paraId="55B9ACC1">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1</w:t>
                  </w:r>
                  <w:r>
                    <w:rPr>
                      <w:rFonts w:hint="default" w:ascii="Times New Roman" w:hAnsi="Times New Roman" w:eastAsia="宋体" w:cs="Times New Roman"/>
                      <w:color w:val="auto"/>
                      <w:sz w:val="21"/>
                      <w:szCs w:val="24"/>
                    </w:rPr>
                    <w:t>）检查施工单位环境保护管理机构的运行情况；检查施工过程中施工单位对承包合同中环境保护条款的执行与环境保护措施落实情况，重点监督检查施</w:t>
                  </w:r>
                  <w:r>
                    <w:rPr>
                      <w:rFonts w:hint="default" w:ascii="Times New Roman" w:hAnsi="Times New Roman" w:cs="Times New Roman"/>
                      <w:color w:val="auto"/>
                      <w:sz w:val="21"/>
                      <w:szCs w:val="24"/>
                      <w:lang w:eastAsia="zh-CN"/>
                    </w:rPr>
                    <w:t>工现</w:t>
                  </w:r>
                  <w:r>
                    <w:rPr>
                      <w:rFonts w:hint="default" w:ascii="Times New Roman" w:hAnsi="Times New Roman" w:eastAsia="宋体" w:cs="Times New Roman"/>
                      <w:color w:val="auto"/>
                      <w:sz w:val="21"/>
                      <w:szCs w:val="24"/>
                    </w:rPr>
                    <w:t>场扬尘控制、施工废水处理、噪声污染控制、固体废弃物处置和卫生防疫等方面；主要包括：</w:t>
                  </w:r>
                </w:p>
                <w:p w14:paraId="7F40B47E">
                  <w:pPr>
                    <w:spacing w:beforeLines="0" w:afterLines="0"/>
                    <w:jc w:val="left"/>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①在施工场地建设施工废水沉砂池，废水经沉淀处理后回用于施工场地防尘，定期对沉淀池进行清掏处理。</w:t>
                  </w:r>
                </w:p>
                <w:p w14:paraId="605B81E3">
                  <w:pPr>
                    <w:spacing w:beforeLines="0" w:afterLines="0"/>
                    <w:jc w:val="left"/>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②配备专门的洒水设备，在晴天定时对施工场地进行洒水抑尘，防止粉尘飞扬。</w:t>
                  </w:r>
                </w:p>
                <w:p w14:paraId="653F6FD5">
                  <w:pPr>
                    <w:spacing w:beforeLines="0" w:afterLines="0"/>
                    <w:jc w:val="left"/>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③对建筑垃圾分类集中堆存、回收利用，不能回收的委托有资质单位清运处置；施工人员生活垃圾经统一收集后，委托环卫部门清运处置；</w:t>
                  </w:r>
                </w:p>
                <w:p w14:paraId="2E3F63F9">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2</w:t>
                  </w:r>
                  <w:r>
                    <w:rPr>
                      <w:rFonts w:hint="default" w:ascii="Times New Roman" w:hAnsi="Times New Roman" w:eastAsia="宋体" w:cs="Times New Roman"/>
                      <w:color w:val="auto"/>
                      <w:sz w:val="21"/>
                      <w:szCs w:val="24"/>
                    </w:rPr>
                    <w:t>）主持召开工程区域范围内与环境保护有关的会议，对有关环境方面的意见进行汇总，交流并审核施工单位提出的处理措施；</w:t>
                  </w:r>
                </w:p>
                <w:p w14:paraId="6131D171">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3</w:t>
                  </w:r>
                  <w:r>
                    <w:rPr>
                      <w:rFonts w:hint="default" w:ascii="Times New Roman" w:hAnsi="Times New Roman" w:eastAsia="宋体" w:cs="Times New Roman"/>
                      <w:color w:val="auto"/>
                      <w:sz w:val="21"/>
                      <w:szCs w:val="24"/>
                    </w:rPr>
                    <w:t>）协调建设各方有关环保的工作关系和调节有关环境的争议；</w:t>
                  </w:r>
                </w:p>
                <w:p w14:paraId="643073CF">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4</w:t>
                  </w:r>
                  <w:r>
                    <w:rPr>
                      <w:rFonts w:hint="default" w:ascii="Times New Roman" w:hAnsi="Times New Roman" w:eastAsia="宋体" w:cs="Times New Roman"/>
                      <w:color w:val="auto"/>
                      <w:sz w:val="21"/>
                      <w:szCs w:val="24"/>
                    </w:rPr>
                    <w:t>）系统记录工程施工环境影响，环境保护措施效果，环境保护工程施工质量，及时定期</w:t>
                  </w:r>
                  <w:r>
                    <w:rPr>
                      <w:rFonts w:hint="default" w:ascii="Times New Roman" w:hAnsi="Times New Roman" w:cs="Times New Roman"/>
                      <w:color w:val="auto"/>
                      <w:sz w:val="21"/>
                      <w:szCs w:val="24"/>
                      <w:lang w:eastAsia="zh-CN"/>
                    </w:rPr>
                    <w:t>作出评价</w:t>
                  </w:r>
                  <w:r>
                    <w:rPr>
                      <w:rFonts w:hint="default" w:ascii="Times New Roman" w:hAnsi="Times New Roman" w:eastAsia="宋体" w:cs="Times New Roman"/>
                      <w:color w:val="auto"/>
                      <w:sz w:val="21"/>
                      <w:szCs w:val="24"/>
                    </w:rPr>
                    <w:t>，并反馈或上报给施工单位、监理公司、建设单</w:t>
                  </w:r>
                  <w:r>
                    <w:rPr>
                      <w:rFonts w:hint="default" w:ascii="Times New Roman" w:hAnsi="Times New Roman" w:cs="Times New Roman"/>
                      <w:color w:val="auto"/>
                      <w:sz w:val="21"/>
                      <w:szCs w:val="24"/>
                      <w:lang w:eastAsia="zh-CN"/>
                    </w:rPr>
                    <w:t>位和</w:t>
                  </w:r>
                  <w:r>
                    <w:rPr>
                      <w:rFonts w:hint="default" w:ascii="Times New Roman" w:hAnsi="Times New Roman" w:eastAsia="宋体" w:cs="Times New Roman"/>
                      <w:color w:val="auto"/>
                      <w:sz w:val="21"/>
                      <w:szCs w:val="24"/>
                    </w:rPr>
                    <w:t>环保机构等有关单位；</w:t>
                  </w:r>
                </w:p>
                <w:p w14:paraId="28F2946B">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5</w:t>
                  </w:r>
                  <w:r>
                    <w:rPr>
                      <w:rFonts w:hint="default" w:ascii="Times New Roman" w:hAnsi="Times New Roman" w:eastAsia="宋体" w:cs="Times New Roman"/>
                      <w:color w:val="auto"/>
                      <w:sz w:val="21"/>
                      <w:szCs w:val="24"/>
                    </w:rPr>
                    <w:t>）编写环境监理月报和工程环境监理报告。</w:t>
                  </w:r>
                </w:p>
              </w:tc>
            </w:tr>
            <w:tr w14:paraId="5A33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3" w:type="pct"/>
                  <w:tcBorders>
                    <w:tl2br w:val="nil"/>
                    <w:tr2bl w:val="nil"/>
                  </w:tcBorders>
                  <w:noWrap w:val="0"/>
                  <w:vAlign w:val="center"/>
                </w:tcPr>
                <w:p w14:paraId="0F9167B9">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工程验收阶段</w:t>
                  </w:r>
                </w:p>
              </w:tc>
              <w:tc>
                <w:tcPr>
                  <w:tcW w:w="4516" w:type="pct"/>
                  <w:tcBorders>
                    <w:tl2br w:val="nil"/>
                    <w:tr2bl w:val="nil"/>
                  </w:tcBorders>
                  <w:noWrap w:val="0"/>
                  <w:vAlign w:val="center"/>
                </w:tcPr>
                <w:p w14:paraId="2D8FD710">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1</w:t>
                  </w:r>
                  <w:r>
                    <w:rPr>
                      <w:rFonts w:hint="default" w:ascii="Times New Roman" w:hAnsi="Times New Roman" w:eastAsia="宋体" w:cs="Times New Roman"/>
                      <w:color w:val="auto"/>
                      <w:sz w:val="21"/>
                      <w:szCs w:val="24"/>
                    </w:rPr>
                    <w:t>）检查施工单位报送的有关工程验收的环保资料；</w:t>
                  </w:r>
                </w:p>
                <w:p w14:paraId="25E12299">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2</w:t>
                  </w:r>
                  <w:r>
                    <w:rPr>
                      <w:rFonts w:hint="default" w:ascii="Times New Roman" w:hAnsi="Times New Roman" w:eastAsia="宋体" w:cs="Times New Roman"/>
                      <w:color w:val="auto"/>
                      <w:sz w:val="21"/>
                      <w:szCs w:val="24"/>
                    </w:rPr>
                    <w:t>）对工程区环境质量状况进行预检，主要通过感观和利用环境监测的资料与数据进行检查，必要时，进行环境监理监测；</w:t>
                  </w:r>
                </w:p>
                <w:p w14:paraId="35E074BA">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3</w:t>
                  </w:r>
                  <w:r>
                    <w:rPr>
                      <w:rFonts w:hint="default" w:ascii="Times New Roman" w:hAnsi="Times New Roman" w:eastAsia="宋体" w:cs="Times New Roman"/>
                      <w:color w:val="auto"/>
                      <w:sz w:val="21"/>
                      <w:szCs w:val="24"/>
                    </w:rPr>
                    <w:t>）现场监督检查施工单位对遗留环境问题的处理；</w:t>
                  </w:r>
                </w:p>
                <w:p w14:paraId="6C8798D6">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4</w:t>
                  </w:r>
                  <w:r>
                    <w:rPr>
                      <w:rFonts w:hint="default" w:ascii="Times New Roman" w:hAnsi="Times New Roman" w:eastAsia="宋体" w:cs="Times New Roman"/>
                      <w:color w:val="auto"/>
                      <w:sz w:val="21"/>
                      <w:szCs w:val="24"/>
                    </w:rPr>
                    <w:t>）对施工单位执行合同中环境保护条款与落实各项环境保护措施的情况与效果进行综合评估；</w:t>
                  </w:r>
                </w:p>
                <w:p w14:paraId="0A44613E">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5</w:t>
                  </w:r>
                  <w:r>
                    <w:rPr>
                      <w:rFonts w:hint="default" w:ascii="Times New Roman" w:hAnsi="Times New Roman" w:eastAsia="宋体" w:cs="Times New Roman"/>
                      <w:color w:val="auto"/>
                      <w:sz w:val="21"/>
                      <w:szCs w:val="24"/>
                    </w:rPr>
                    <w:t>）整理验收所需资料的环境监理资料，起草环境监理工作总结；</w:t>
                  </w:r>
                </w:p>
                <w:p w14:paraId="2685DBFF">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NewRomanPSMT" w:cs="Times New Roman"/>
                      <w:color w:val="auto"/>
                      <w:sz w:val="21"/>
                      <w:szCs w:val="24"/>
                    </w:rPr>
                    <w:t>6</w:t>
                  </w:r>
                  <w:r>
                    <w:rPr>
                      <w:rFonts w:hint="default" w:ascii="Times New Roman" w:hAnsi="Times New Roman" w:eastAsia="宋体" w:cs="Times New Roman"/>
                      <w:color w:val="auto"/>
                      <w:sz w:val="21"/>
                      <w:szCs w:val="24"/>
                    </w:rPr>
                    <w:t>）参加工程验收，并签署环境监理意见</w:t>
                  </w:r>
                </w:p>
              </w:tc>
            </w:tr>
          </w:tbl>
          <w:p w14:paraId="308F3E83">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Lines="0" w:line="360" w:lineRule="auto"/>
              <w:ind w:leftChars="0"/>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4.3</w:t>
            </w:r>
            <w:r>
              <w:rPr>
                <w:rFonts w:hint="default" w:ascii="Times New Roman" w:hAnsi="Times New Roman" w:eastAsia="宋体" w:cs="Times New Roman"/>
                <w:b/>
                <w:bCs/>
                <w:color w:val="auto"/>
                <w:sz w:val="24"/>
                <w:szCs w:val="24"/>
                <w:lang w:val="en-US" w:eastAsia="zh-CN"/>
              </w:rPr>
              <w:t>环境管理</w:t>
            </w:r>
          </w:p>
          <w:p w14:paraId="6E93056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环境管理计划是指工程在设计阶段、施工期、运营期执行和遵守国家、省、市的有关环保法律、法规、政策和标准，对企业的生产实行有效监控，及时掌握和了解污染治理与控制措施的执行效果，以及周围地区环境质量变化，及时调整工程运行方式和环境保护措施，并接受地方环境保护行政主管部门的环境监督，最终达到保护环境的目的，取得更好的综合环境效益。</w:t>
            </w:r>
          </w:p>
          <w:p w14:paraId="7DAF23C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由于项目建设期和运行期的环境管理内容具有较大的差异，而且二者的工作时限有先后之分，所以设立单独的组织机构，采用分阶段负责的方式对拟建项目进行环境管理。</w:t>
            </w:r>
          </w:p>
          <w:p w14:paraId="2EDDC05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为了切实减轻环境影响，落实本报告中提出的环境管理计划，在项目运作的各个阶段，应执行相应的环境监督计划：</w:t>
            </w:r>
          </w:p>
          <w:p w14:paraId="3651CDC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表5-2</w:t>
            </w:r>
            <w:r>
              <w:rPr>
                <w:rFonts w:hint="default"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 xml:space="preserve"> 项目环境管理计划</w:t>
            </w:r>
          </w:p>
          <w:tbl>
            <w:tblPr>
              <w:tblStyle w:val="26"/>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4933"/>
              <w:gridCol w:w="683"/>
              <w:gridCol w:w="810"/>
              <w:gridCol w:w="1022"/>
            </w:tblGrid>
            <w:tr w14:paraId="57B9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4" w:type="dxa"/>
                  <w:tcBorders>
                    <w:tl2br w:val="nil"/>
                    <w:tr2bl w:val="nil"/>
                  </w:tcBorders>
                  <w:noWrap w:val="0"/>
                  <w:vAlign w:val="center"/>
                </w:tcPr>
                <w:p w14:paraId="3B9CB4AE">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阶段</w:t>
                  </w:r>
                </w:p>
              </w:tc>
              <w:tc>
                <w:tcPr>
                  <w:tcW w:w="4933" w:type="dxa"/>
                  <w:tcBorders>
                    <w:tl2br w:val="nil"/>
                    <w:tr2bl w:val="nil"/>
                  </w:tcBorders>
                  <w:noWrap w:val="0"/>
                  <w:vAlign w:val="center"/>
                </w:tcPr>
                <w:p w14:paraId="69ECED67">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管理内容</w:t>
                  </w:r>
                </w:p>
              </w:tc>
              <w:tc>
                <w:tcPr>
                  <w:tcW w:w="683" w:type="dxa"/>
                  <w:tcBorders>
                    <w:tl2br w:val="nil"/>
                    <w:tr2bl w:val="nil"/>
                  </w:tcBorders>
                  <w:noWrap w:val="0"/>
                  <w:vAlign w:val="center"/>
                </w:tcPr>
                <w:p w14:paraId="2BA3F402">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实施机构</w:t>
                  </w:r>
                </w:p>
              </w:tc>
              <w:tc>
                <w:tcPr>
                  <w:tcW w:w="810" w:type="dxa"/>
                  <w:tcBorders>
                    <w:tl2br w:val="nil"/>
                    <w:tr2bl w:val="nil"/>
                  </w:tcBorders>
                  <w:noWrap w:val="0"/>
                  <w:vAlign w:val="center"/>
                </w:tcPr>
                <w:p w14:paraId="5DBD2946">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负责机构</w:t>
                  </w:r>
                </w:p>
              </w:tc>
              <w:tc>
                <w:tcPr>
                  <w:tcW w:w="1022" w:type="dxa"/>
                  <w:tcBorders>
                    <w:tl2br w:val="nil"/>
                    <w:tr2bl w:val="nil"/>
                  </w:tcBorders>
                  <w:noWrap w:val="0"/>
                  <w:vAlign w:val="center"/>
                </w:tcPr>
                <w:p w14:paraId="75088E1C">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监督机构</w:t>
                  </w:r>
                </w:p>
              </w:tc>
            </w:tr>
            <w:tr w14:paraId="08EA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4" w:type="dxa"/>
                  <w:tcBorders>
                    <w:tl2br w:val="nil"/>
                    <w:tr2bl w:val="nil"/>
                  </w:tcBorders>
                  <w:noWrap w:val="0"/>
                  <w:vAlign w:val="center"/>
                </w:tcPr>
                <w:p w14:paraId="050DFB74">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施工期</w:t>
                  </w:r>
                </w:p>
              </w:tc>
              <w:tc>
                <w:tcPr>
                  <w:tcW w:w="4933" w:type="dxa"/>
                  <w:tcBorders>
                    <w:tl2br w:val="nil"/>
                    <w:tr2bl w:val="nil"/>
                  </w:tcBorders>
                  <w:noWrap w:val="0"/>
                  <w:vAlign w:val="center"/>
                </w:tcPr>
                <w:p w14:paraId="50C13651">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 New Roman" w:cs="Times New Roman"/>
                      <w:color w:val="auto"/>
                      <w:sz w:val="21"/>
                      <w:szCs w:val="24"/>
                    </w:rPr>
                    <w:t>1</w:t>
                  </w:r>
                  <w:r>
                    <w:rPr>
                      <w:rFonts w:hint="default" w:ascii="Times New Roman" w:hAnsi="Times New Roman" w:eastAsia="宋体" w:cs="Times New Roman"/>
                      <w:color w:val="auto"/>
                      <w:sz w:val="21"/>
                      <w:szCs w:val="24"/>
                    </w:rPr>
                    <w:t>）采取有效措施减少施工过程中地面扬尘、施工机械尾气对大气环境的污染；</w:t>
                  </w:r>
                </w:p>
                <w:p w14:paraId="084965C3">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 New Roman" w:cs="Times New Roman"/>
                      <w:color w:val="auto"/>
                      <w:sz w:val="21"/>
                      <w:szCs w:val="24"/>
                    </w:rPr>
                    <w:t>2</w:t>
                  </w:r>
                  <w:r>
                    <w:rPr>
                      <w:rFonts w:hint="default" w:ascii="Times New Roman" w:hAnsi="Times New Roman" w:eastAsia="宋体" w:cs="Times New Roman"/>
                      <w:color w:val="auto"/>
                      <w:sz w:val="21"/>
                      <w:szCs w:val="24"/>
                    </w:rPr>
                    <w:t>）定期检查、督促施工单位按要求对裸露浮土及时夯实，覆盖，及时处理施工弃土、建筑垃圾；</w:t>
                  </w:r>
                </w:p>
                <w:p w14:paraId="2C3C26D8">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 New Roman" w:cs="Times New Roman"/>
                      <w:color w:val="auto"/>
                      <w:sz w:val="21"/>
                      <w:szCs w:val="24"/>
                    </w:rPr>
                    <w:t>3</w:t>
                  </w:r>
                  <w:r>
                    <w:rPr>
                      <w:rFonts w:hint="default" w:ascii="Times New Roman" w:hAnsi="Times New Roman" w:eastAsia="宋体" w:cs="Times New Roman"/>
                      <w:color w:val="auto"/>
                      <w:sz w:val="21"/>
                      <w:szCs w:val="24"/>
                    </w:rPr>
                    <w:t>）对施工进行合理规划，合理把握工程进度，尽量减少施工期给周围环境带来的影响；</w:t>
                  </w:r>
                  <w:r>
                    <w:rPr>
                      <w:rFonts w:hint="eastAsia" w:ascii="Times New Roman" w:hAnsi="Times New Roman" w:cs="Times New Roman"/>
                      <w:color w:val="auto"/>
                      <w:sz w:val="21"/>
                      <w:szCs w:val="24"/>
                      <w:lang w:eastAsia="zh-CN"/>
                    </w:rPr>
                    <w:t>（</w:t>
                  </w:r>
                  <w:r>
                    <w:rPr>
                      <w:rFonts w:hint="default" w:ascii="Times New Roman" w:hAnsi="Times New Roman" w:eastAsia="Times New Roman" w:cs="Times New Roman"/>
                      <w:color w:val="auto"/>
                      <w:sz w:val="21"/>
                      <w:szCs w:val="24"/>
                    </w:rPr>
                    <w:t>4</w:t>
                  </w:r>
                  <w:r>
                    <w:rPr>
                      <w:rFonts w:hint="default" w:ascii="Times New Roman" w:hAnsi="Times New Roman" w:eastAsia="宋体" w:cs="Times New Roman"/>
                      <w:color w:val="auto"/>
                      <w:sz w:val="21"/>
                      <w:szCs w:val="24"/>
                    </w:rPr>
                    <w:t xml:space="preserve">）认真执行建设项目 </w:t>
                  </w:r>
                  <w:r>
                    <w:rPr>
                      <w:rFonts w:hint="default" w:ascii="Times New Roman" w:hAnsi="Times New Roman" w:eastAsia="Times New Roman" w:cs="Times New Roman"/>
                      <w:color w:val="auto"/>
                      <w:sz w:val="21"/>
                      <w:szCs w:val="24"/>
                    </w:rPr>
                    <w:t>“</w:t>
                  </w:r>
                  <w:r>
                    <w:rPr>
                      <w:rFonts w:hint="default" w:ascii="Times New Roman" w:hAnsi="Times New Roman" w:eastAsia="宋体" w:cs="Times New Roman"/>
                      <w:color w:val="auto"/>
                      <w:sz w:val="21"/>
                      <w:szCs w:val="24"/>
                    </w:rPr>
                    <w:t xml:space="preserve">三同时 </w:t>
                  </w:r>
                  <w:r>
                    <w:rPr>
                      <w:rFonts w:hint="default" w:ascii="Times New Roman" w:hAnsi="Times New Roman" w:eastAsia="Times New Roman" w:cs="Times New Roman"/>
                      <w:color w:val="auto"/>
                      <w:sz w:val="21"/>
                      <w:szCs w:val="24"/>
                    </w:rPr>
                    <w:t>”</w:t>
                  </w:r>
                  <w:r>
                    <w:rPr>
                      <w:rFonts w:hint="default" w:ascii="Times New Roman" w:hAnsi="Times New Roman" w:eastAsia="宋体" w:cs="Times New Roman"/>
                      <w:color w:val="auto"/>
                      <w:sz w:val="21"/>
                      <w:szCs w:val="24"/>
                    </w:rPr>
                    <w:t>和环保管理的有关规定。</w:t>
                  </w:r>
                </w:p>
              </w:tc>
              <w:tc>
                <w:tcPr>
                  <w:tcW w:w="683" w:type="dxa"/>
                  <w:tcBorders>
                    <w:tl2br w:val="nil"/>
                    <w:tr2bl w:val="nil"/>
                  </w:tcBorders>
                  <w:noWrap w:val="0"/>
                  <w:vAlign w:val="center"/>
                </w:tcPr>
                <w:p w14:paraId="58471C96">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施工单位</w:t>
                  </w:r>
                </w:p>
              </w:tc>
              <w:tc>
                <w:tcPr>
                  <w:tcW w:w="810" w:type="dxa"/>
                  <w:tcBorders>
                    <w:tl2br w:val="nil"/>
                    <w:tr2bl w:val="nil"/>
                  </w:tcBorders>
                  <w:noWrap w:val="0"/>
                  <w:vAlign w:val="center"/>
                </w:tcPr>
                <w:p w14:paraId="6730E339">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建设单位</w:t>
                  </w:r>
                </w:p>
              </w:tc>
              <w:tc>
                <w:tcPr>
                  <w:tcW w:w="1022" w:type="dxa"/>
                  <w:tcBorders>
                    <w:tl2br w:val="nil"/>
                    <w:tr2bl w:val="nil"/>
                  </w:tcBorders>
                  <w:noWrap w:val="0"/>
                  <w:vAlign w:val="center"/>
                </w:tcPr>
                <w:p w14:paraId="02F36B84">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昆明市生态环境局</w:t>
                  </w:r>
                  <w:r>
                    <w:rPr>
                      <w:rFonts w:hint="default" w:ascii="Times New Roman" w:hAnsi="Times New Roman" w:eastAsia="宋体" w:cs="Times New Roman"/>
                      <w:color w:val="auto"/>
                      <w:sz w:val="21"/>
                      <w:szCs w:val="24"/>
                      <w:lang w:eastAsia="zh-CN"/>
                    </w:rPr>
                    <w:t>安宁</w:t>
                  </w:r>
                  <w:r>
                    <w:rPr>
                      <w:rFonts w:hint="default" w:ascii="Times New Roman" w:hAnsi="Times New Roman" w:eastAsia="宋体" w:cs="Times New Roman"/>
                      <w:color w:val="auto"/>
                      <w:sz w:val="21"/>
                      <w:szCs w:val="24"/>
                    </w:rPr>
                    <w:t>分局</w:t>
                  </w:r>
                </w:p>
              </w:tc>
            </w:tr>
            <w:tr w14:paraId="1578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4" w:type="dxa"/>
                  <w:tcBorders>
                    <w:tl2br w:val="nil"/>
                    <w:tr2bl w:val="nil"/>
                  </w:tcBorders>
                  <w:noWrap w:val="0"/>
                  <w:vAlign w:val="center"/>
                </w:tcPr>
                <w:p w14:paraId="202765CD">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运</w:t>
                  </w:r>
                </w:p>
                <w:p w14:paraId="1316E17C">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营</w:t>
                  </w:r>
                </w:p>
                <w:p w14:paraId="49224DBA">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期</w:t>
                  </w:r>
                </w:p>
              </w:tc>
              <w:tc>
                <w:tcPr>
                  <w:tcW w:w="4933" w:type="dxa"/>
                  <w:tcBorders>
                    <w:tl2br w:val="nil"/>
                    <w:tr2bl w:val="nil"/>
                  </w:tcBorders>
                  <w:noWrap w:val="0"/>
                  <w:vAlign w:val="center"/>
                </w:tcPr>
                <w:p w14:paraId="79745946">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 New Roman" w:cs="Times New Roman"/>
                      <w:color w:val="auto"/>
                      <w:sz w:val="21"/>
                      <w:szCs w:val="24"/>
                    </w:rPr>
                    <w:t>1</w:t>
                  </w:r>
                  <w:r>
                    <w:rPr>
                      <w:rFonts w:hint="default" w:ascii="Times New Roman" w:hAnsi="Times New Roman" w:eastAsia="宋体" w:cs="Times New Roman"/>
                      <w:color w:val="auto"/>
                      <w:sz w:val="21"/>
                      <w:szCs w:val="24"/>
                    </w:rPr>
                    <w:t xml:space="preserve">）项目正式营运前，应由建设单位自行组织验收，检查环保设施是否按照 </w:t>
                  </w:r>
                  <w:r>
                    <w:rPr>
                      <w:rFonts w:hint="default" w:ascii="Times New Roman" w:hAnsi="Times New Roman" w:eastAsia="Times New Roman" w:cs="Times New Roman"/>
                      <w:color w:val="auto"/>
                      <w:sz w:val="21"/>
                      <w:szCs w:val="24"/>
                    </w:rPr>
                    <w:t>“</w:t>
                  </w:r>
                  <w:r>
                    <w:rPr>
                      <w:rFonts w:hint="default" w:ascii="Times New Roman" w:hAnsi="Times New Roman" w:eastAsia="宋体" w:cs="Times New Roman"/>
                      <w:color w:val="auto"/>
                      <w:sz w:val="21"/>
                      <w:szCs w:val="24"/>
                    </w:rPr>
                    <w:t xml:space="preserve">三同时 </w:t>
                  </w:r>
                  <w:r>
                    <w:rPr>
                      <w:rFonts w:hint="default" w:ascii="Times New Roman" w:hAnsi="Times New Roman" w:eastAsia="Times New Roman" w:cs="Times New Roman"/>
                      <w:color w:val="auto"/>
                      <w:sz w:val="21"/>
                      <w:szCs w:val="24"/>
                    </w:rPr>
                    <w:t>”</w:t>
                  </w:r>
                  <w:r>
                    <w:rPr>
                      <w:rFonts w:hint="default" w:ascii="Times New Roman" w:hAnsi="Times New Roman" w:eastAsia="宋体" w:cs="Times New Roman"/>
                      <w:color w:val="auto"/>
                      <w:sz w:val="21"/>
                      <w:szCs w:val="24"/>
                    </w:rPr>
                    <w:t>进行建设。</w:t>
                  </w:r>
                </w:p>
                <w:p w14:paraId="27F6C4CF">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 New Roman" w:cs="Times New Roman"/>
                      <w:color w:val="auto"/>
                      <w:sz w:val="21"/>
                      <w:szCs w:val="24"/>
                    </w:rPr>
                    <w:t>2</w:t>
                  </w:r>
                  <w:r>
                    <w:rPr>
                      <w:rFonts w:hint="default" w:ascii="Times New Roman" w:hAnsi="Times New Roman" w:eastAsia="宋体" w:cs="Times New Roman"/>
                      <w:color w:val="auto"/>
                      <w:sz w:val="21"/>
                      <w:szCs w:val="24"/>
                    </w:rPr>
                    <w:t>）加强管理，监督检查环保设施的运转情况，及时排除故障，保证环保设施的正常运转，定期对污染源进行监测。</w:t>
                  </w:r>
                </w:p>
                <w:p w14:paraId="5F39A269">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 New Roman" w:cs="Times New Roman"/>
                      <w:color w:val="auto"/>
                      <w:sz w:val="21"/>
                      <w:szCs w:val="24"/>
                    </w:rPr>
                    <w:t>3</w:t>
                  </w:r>
                  <w:r>
                    <w:rPr>
                      <w:rFonts w:hint="default" w:ascii="Times New Roman" w:hAnsi="Times New Roman" w:eastAsia="宋体" w:cs="Times New Roman"/>
                      <w:color w:val="auto"/>
                      <w:sz w:val="21"/>
                      <w:szCs w:val="24"/>
                    </w:rPr>
                    <w:t>）委托监理单位监督工程质量的同时监督施工过程中的环保措施落实情况，确保环保方面的有关工程措施得到落实。</w:t>
                  </w:r>
                </w:p>
                <w:p w14:paraId="53BE18C2">
                  <w:pPr>
                    <w:spacing w:beforeLines="0" w:afterLines="0"/>
                    <w:jc w:val="left"/>
                    <w:rPr>
                      <w:rFonts w:hint="default" w:ascii="Times New Roman" w:hAnsi="Times New Roman" w:eastAsia="宋体" w:cs="Times New Roman"/>
                      <w:color w:val="auto"/>
                      <w:sz w:val="21"/>
                      <w:szCs w:val="24"/>
                    </w:rPr>
                  </w:pPr>
                  <w:r>
                    <w:rPr>
                      <w:rFonts w:hint="eastAsia" w:ascii="Times New Roman" w:hAnsi="Times New Roman" w:cs="Times New Roman"/>
                      <w:color w:val="auto"/>
                      <w:sz w:val="21"/>
                      <w:szCs w:val="24"/>
                      <w:lang w:eastAsia="zh-CN"/>
                    </w:rPr>
                    <w:t>（</w:t>
                  </w:r>
                  <w:r>
                    <w:rPr>
                      <w:rFonts w:hint="default" w:ascii="Times New Roman" w:hAnsi="Times New Roman" w:eastAsia="Times New Roman" w:cs="Times New Roman"/>
                      <w:color w:val="auto"/>
                      <w:sz w:val="21"/>
                      <w:szCs w:val="24"/>
                    </w:rPr>
                    <w:t>4</w:t>
                  </w:r>
                  <w:r>
                    <w:rPr>
                      <w:rFonts w:hint="default" w:ascii="Times New Roman" w:hAnsi="Times New Roman" w:eastAsia="宋体" w:cs="Times New Roman"/>
                      <w:color w:val="auto"/>
                      <w:sz w:val="21"/>
                      <w:szCs w:val="24"/>
                    </w:rPr>
                    <w:t>）精心养护，绿化，对环保设施进行维护检修。</w:t>
                  </w:r>
                </w:p>
              </w:tc>
              <w:tc>
                <w:tcPr>
                  <w:tcW w:w="1493" w:type="dxa"/>
                  <w:gridSpan w:val="2"/>
                  <w:tcBorders>
                    <w:tl2br w:val="nil"/>
                    <w:tr2bl w:val="nil"/>
                  </w:tcBorders>
                  <w:noWrap w:val="0"/>
                  <w:vAlign w:val="center"/>
                </w:tcPr>
                <w:p w14:paraId="1BD81DC1">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lang w:val="en-US" w:eastAsia="zh-CN"/>
                    </w:rPr>
                    <w:t>安宁市水务</w:t>
                  </w:r>
                  <w:r>
                    <w:rPr>
                      <w:rFonts w:hint="default" w:ascii="Times New Roman" w:hAnsi="Times New Roman" w:eastAsia="宋体" w:cs="Times New Roman"/>
                      <w:color w:val="auto"/>
                      <w:sz w:val="21"/>
                      <w:szCs w:val="24"/>
                    </w:rPr>
                    <w:t>管理部门</w:t>
                  </w:r>
                </w:p>
              </w:tc>
              <w:tc>
                <w:tcPr>
                  <w:tcW w:w="1022" w:type="dxa"/>
                  <w:tcBorders>
                    <w:tl2br w:val="nil"/>
                    <w:tr2bl w:val="nil"/>
                  </w:tcBorders>
                  <w:noWrap w:val="0"/>
                  <w:vAlign w:val="center"/>
                </w:tcPr>
                <w:p w14:paraId="1AC9B3DB">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昆明市生态环境局</w:t>
                  </w:r>
                  <w:r>
                    <w:rPr>
                      <w:rFonts w:hint="default" w:ascii="Times New Roman" w:hAnsi="Times New Roman" w:eastAsia="宋体" w:cs="Times New Roman"/>
                      <w:color w:val="auto"/>
                      <w:sz w:val="21"/>
                      <w:szCs w:val="24"/>
                      <w:lang w:eastAsia="zh-CN"/>
                    </w:rPr>
                    <w:t>安宁</w:t>
                  </w:r>
                  <w:r>
                    <w:rPr>
                      <w:rFonts w:hint="default" w:ascii="Times New Roman" w:hAnsi="Times New Roman" w:eastAsia="宋体" w:cs="Times New Roman"/>
                      <w:color w:val="auto"/>
                      <w:sz w:val="21"/>
                      <w:szCs w:val="24"/>
                    </w:rPr>
                    <w:t>分局</w:t>
                  </w:r>
                </w:p>
              </w:tc>
            </w:tr>
          </w:tbl>
          <w:p w14:paraId="637251BF">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Lines="0" w:line="360" w:lineRule="auto"/>
              <w:ind w:leftChars="0"/>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4</w:t>
            </w:r>
            <w:r>
              <w:rPr>
                <w:rFonts w:hint="default" w:ascii="Times New Roman" w:hAnsi="Times New Roman" w:cs="Times New Roman"/>
                <w:b/>
                <w:bCs/>
                <w:color w:val="auto"/>
                <w:sz w:val="24"/>
                <w:szCs w:val="24"/>
                <w:lang w:val="en-US" w:eastAsia="zh-CN"/>
              </w:rPr>
              <w:t>.4</w:t>
            </w:r>
            <w:r>
              <w:rPr>
                <w:rFonts w:hint="default" w:ascii="Times New Roman" w:hAnsi="Times New Roman" w:eastAsia="宋体" w:cs="Times New Roman"/>
                <w:b/>
                <w:bCs/>
                <w:color w:val="auto"/>
                <w:sz w:val="24"/>
                <w:szCs w:val="24"/>
                <w:lang w:val="en-US" w:eastAsia="zh-CN"/>
              </w:rPr>
              <w:t>环境监测</w:t>
            </w:r>
          </w:p>
          <w:p w14:paraId="0AACB93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根据本项目的环境影响预测和分析，施工期的监测内容有噪声、颗粒物。</w:t>
            </w:r>
          </w:p>
          <w:p w14:paraId="6052F07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本项目监测计划见下表。</w:t>
            </w:r>
          </w:p>
          <w:p w14:paraId="5C5E2E08">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表5-</w:t>
            </w:r>
            <w:r>
              <w:rPr>
                <w:rFonts w:hint="default" w:ascii="Times New Roman" w:hAnsi="Times New Roman" w:eastAsia="宋体" w:cs="Times New Roman"/>
                <w:b/>
                <w:bCs/>
                <w:color w:val="auto"/>
                <w:sz w:val="24"/>
                <w:szCs w:val="24"/>
                <w:lang w:val="en-US" w:eastAsia="zh-CN"/>
              </w:rPr>
              <w:t xml:space="preserve">3   </w:t>
            </w:r>
            <w:r>
              <w:rPr>
                <w:rFonts w:hint="default" w:ascii="Times New Roman" w:hAnsi="Times New Roman" w:eastAsia="宋体" w:cs="Times New Roman"/>
                <w:b/>
                <w:bCs/>
                <w:color w:val="auto"/>
                <w:sz w:val="24"/>
                <w:szCs w:val="24"/>
              </w:rPr>
              <w:t xml:space="preserve"> 监测计划一览表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35"/>
              <w:gridCol w:w="2903"/>
              <w:gridCol w:w="812"/>
              <w:gridCol w:w="1827"/>
              <w:gridCol w:w="1115"/>
            </w:tblGrid>
            <w:tr w14:paraId="4033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632" w:type="dxa"/>
                  <w:tcBorders>
                    <w:tl2br w:val="nil"/>
                    <w:tr2bl w:val="nil"/>
                  </w:tcBorders>
                  <w:noWrap w:val="0"/>
                  <w:vAlign w:val="center"/>
                </w:tcPr>
                <w:p w14:paraId="51DE8D6E">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时期</w:t>
                  </w:r>
                </w:p>
              </w:tc>
              <w:tc>
                <w:tcPr>
                  <w:tcW w:w="735" w:type="dxa"/>
                  <w:tcBorders>
                    <w:tl2br w:val="nil"/>
                    <w:tr2bl w:val="nil"/>
                  </w:tcBorders>
                  <w:noWrap w:val="0"/>
                  <w:vAlign w:val="center"/>
                </w:tcPr>
                <w:p w14:paraId="02A10111">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监测要素</w:t>
                  </w:r>
                </w:p>
              </w:tc>
              <w:tc>
                <w:tcPr>
                  <w:tcW w:w="2903" w:type="dxa"/>
                  <w:tcBorders>
                    <w:tl2br w:val="nil"/>
                    <w:tr2bl w:val="nil"/>
                  </w:tcBorders>
                  <w:noWrap w:val="0"/>
                  <w:vAlign w:val="center"/>
                </w:tcPr>
                <w:p w14:paraId="62079FCD">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监测地点</w:t>
                  </w:r>
                </w:p>
              </w:tc>
              <w:tc>
                <w:tcPr>
                  <w:tcW w:w="812" w:type="dxa"/>
                  <w:tcBorders>
                    <w:tl2br w:val="nil"/>
                    <w:tr2bl w:val="nil"/>
                  </w:tcBorders>
                  <w:noWrap w:val="0"/>
                  <w:vAlign w:val="center"/>
                </w:tcPr>
                <w:p w14:paraId="3C820E2A">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监测因子</w:t>
                  </w:r>
                </w:p>
              </w:tc>
              <w:tc>
                <w:tcPr>
                  <w:tcW w:w="1827" w:type="dxa"/>
                  <w:tcBorders>
                    <w:tl2br w:val="nil"/>
                    <w:tr2bl w:val="nil"/>
                  </w:tcBorders>
                  <w:noWrap w:val="0"/>
                  <w:vAlign w:val="center"/>
                </w:tcPr>
                <w:p w14:paraId="581D789F">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监测频率</w:t>
                  </w:r>
                </w:p>
              </w:tc>
              <w:tc>
                <w:tcPr>
                  <w:tcW w:w="1115" w:type="dxa"/>
                  <w:tcBorders>
                    <w:tl2br w:val="nil"/>
                    <w:tr2bl w:val="nil"/>
                  </w:tcBorders>
                  <w:noWrap w:val="0"/>
                  <w:vAlign w:val="center"/>
                </w:tcPr>
                <w:p w14:paraId="10EE8AC9">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监测方法</w:t>
                  </w:r>
                </w:p>
              </w:tc>
            </w:tr>
            <w:tr w14:paraId="28C6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32" w:type="dxa"/>
                  <w:vMerge w:val="restart"/>
                  <w:tcBorders>
                    <w:tl2br w:val="nil"/>
                    <w:tr2bl w:val="nil"/>
                  </w:tcBorders>
                  <w:noWrap w:val="0"/>
                  <w:vAlign w:val="center"/>
                </w:tcPr>
                <w:p w14:paraId="46AF28CC">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施工期</w:t>
                  </w:r>
                </w:p>
              </w:tc>
              <w:tc>
                <w:tcPr>
                  <w:tcW w:w="735" w:type="dxa"/>
                  <w:tcBorders>
                    <w:tl2br w:val="nil"/>
                    <w:tr2bl w:val="nil"/>
                  </w:tcBorders>
                  <w:noWrap w:val="0"/>
                  <w:vAlign w:val="center"/>
                </w:tcPr>
                <w:p w14:paraId="18E78CDB">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噪声</w:t>
                  </w:r>
                </w:p>
              </w:tc>
              <w:tc>
                <w:tcPr>
                  <w:tcW w:w="2903" w:type="dxa"/>
                  <w:tcBorders>
                    <w:tl2br w:val="nil"/>
                    <w:tr2bl w:val="nil"/>
                  </w:tcBorders>
                  <w:noWrap w:val="0"/>
                  <w:vAlign w:val="center"/>
                </w:tcPr>
                <w:p w14:paraId="578C0945">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项目</w:t>
                  </w:r>
                  <w:r>
                    <w:rPr>
                      <w:rFonts w:hint="default" w:ascii="Times New Roman" w:hAnsi="Times New Roman" w:eastAsia="宋体" w:cs="Times New Roman"/>
                      <w:color w:val="auto"/>
                      <w:sz w:val="21"/>
                      <w:szCs w:val="24"/>
                      <w:lang w:val="en-US" w:eastAsia="zh-CN"/>
                    </w:rPr>
                    <w:t>施工区域</w:t>
                  </w:r>
                  <w:r>
                    <w:rPr>
                      <w:rFonts w:hint="eastAsia" w:ascii="Times New Roman" w:hAnsi="Times New Roman" w:cs="Times New Roman"/>
                      <w:color w:val="auto"/>
                      <w:sz w:val="21"/>
                      <w:szCs w:val="24"/>
                      <w:lang w:val="en-US" w:eastAsia="zh-CN"/>
                    </w:rPr>
                    <w:t>（</w:t>
                  </w:r>
                  <w:r>
                    <w:rPr>
                      <w:rFonts w:hint="default" w:ascii="Times New Roman" w:hAnsi="Times New Roman" w:eastAsia="宋体" w:cs="Times New Roman"/>
                      <w:color w:val="auto"/>
                      <w:sz w:val="21"/>
                      <w:szCs w:val="24"/>
                      <w:lang w:val="en-US" w:eastAsia="zh-CN"/>
                    </w:rPr>
                    <w:t>沿线）</w:t>
                  </w:r>
                  <w:r>
                    <w:rPr>
                      <w:rFonts w:hint="default" w:ascii="Times New Roman" w:hAnsi="Times New Roman" w:eastAsia="Times New Roman" w:cs="Times New Roman"/>
                      <w:color w:val="auto"/>
                      <w:sz w:val="21"/>
                      <w:szCs w:val="24"/>
                    </w:rPr>
                    <w:t>50m</w:t>
                  </w:r>
                  <w:r>
                    <w:rPr>
                      <w:rFonts w:hint="default" w:ascii="Times New Roman" w:hAnsi="Times New Roman" w:eastAsia="宋体" w:cs="Times New Roman"/>
                      <w:color w:val="auto"/>
                      <w:sz w:val="21"/>
                      <w:szCs w:val="24"/>
                    </w:rPr>
                    <w:t>范围内分布的声环境敏感点</w:t>
                  </w:r>
                </w:p>
              </w:tc>
              <w:tc>
                <w:tcPr>
                  <w:tcW w:w="812" w:type="dxa"/>
                  <w:tcBorders>
                    <w:tl2br w:val="nil"/>
                    <w:tr2bl w:val="nil"/>
                  </w:tcBorders>
                  <w:noWrap w:val="0"/>
                  <w:vAlign w:val="center"/>
                </w:tcPr>
                <w:p w14:paraId="590064B9">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Leq</w:t>
                  </w:r>
                </w:p>
              </w:tc>
              <w:tc>
                <w:tcPr>
                  <w:tcW w:w="1827" w:type="dxa"/>
                  <w:tcBorders>
                    <w:tl2br w:val="nil"/>
                    <w:tr2bl w:val="nil"/>
                  </w:tcBorders>
                  <w:noWrap w:val="0"/>
                  <w:vAlign w:val="center"/>
                </w:tcPr>
                <w:p w14:paraId="48298EE3">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施工集中时</w:t>
                  </w:r>
                  <w:r>
                    <w:rPr>
                      <w:rFonts w:hint="default" w:ascii="Times New Roman" w:hAnsi="Times New Roman" w:eastAsia="宋体" w:cs="Times New Roman"/>
                      <w:color w:val="auto"/>
                      <w:sz w:val="21"/>
                      <w:szCs w:val="24"/>
                      <w:lang w:eastAsia="zh-CN"/>
                    </w:rPr>
                    <w:t>、</w:t>
                  </w:r>
                  <w:r>
                    <w:rPr>
                      <w:rFonts w:hint="default" w:ascii="Times New Roman" w:hAnsi="Times New Roman" w:eastAsia="宋体" w:cs="Times New Roman"/>
                      <w:color w:val="auto"/>
                      <w:sz w:val="21"/>
                      <w:szCs w:val="24"/>
                      <w:lang w:val="en-US" w:eastAsia="zh-CN"/>
                    </w:rPr>
                    <w:t>可能有影响的情况下</w:t>
                  </w:r>
                  <w:r>
                    <w:rPr>
                      <w:rFonts w:hint="default" w:ascii="Times New Roman" w:hAnsi="Times New Roman" w:eastAsia="宋体" w:cs="Times New Roman"/>
                      <w:color w:val="auto"/>
                      <w:sz w:val="21"/>
                      <w:szCs w:val="24"/>
                    </w:rPr>
                    <w:t>监测</w:t>
                  </w:r>
                  <w:r>
                    <w:rPr>
                      <w:rFonts w:hint="default" w:ascii="Times New Roman" w:hAnsi="Times New Roman" w:eastAsia="Times New Roman" w:cs="Times New Roman"/>
                      <w:color w:val="auto"/>
                      <w:sz w:val="21"/>
                      <w:szCs w:val="24"/>
                    </w:rPr>
                    <w:t>1</w:t>
                  </w:r>
                  <w:r>
                    <w:rPr>
                      <w:rFonts w:hint="default" w:ascii="Times New Roman" w:hAnsi="Times New Roman" w:eastAsia="宋体" w:cs="Times New Roman"/>
                      <w:color w:val="auto"/>
                      <w:sz w:val="21"/>
                      <w:szCs w:val="24"/>
                    </w:rPr>
                    <w:t>次</w:t>
                  </w:r>
                </w:p>
              </w:tc>
              <w:tc>
                <w:tcPr>
                  <w:tcW w:w="1115" w:type="dxa"/>
                  <w:vMerge w:val="restart"/>
                  <w:tcBorders>
                    <w:tl2br w:val="nil"/>
                    <w:tr2bl w:val="nil"/>
                  </w:tcBorders>
                  <w:noWrap w:val="0"/>
                  <w:vAlign w:val="center"/>
                </w:tcPr>
                <w:p w14:paraId="09A9363E">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按国家标准进行监测</w:t>
                  </w:r>
                </w:p>
              </w:tc>
            </w:tr>
            <w:tr w14:paraId="2D2F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2" w:type="dxa"/>
                  <w:vMerge w:val="continue"/>
                  <w:tcBorders>
                    <w:tl2br w:val="nil"/>
                    <w:tr2bl w:val="nil"/>
                  </w:tcBorders>
                  <w:noWrap w:val="0"/>
                  <w:vAlign w:val="center"/>
                </w:tcPr>
                <w:p w14:paraId="366FABB8">
                  <w:pPr>
                    <w:spacing w:beforeLines="0" w:afterLines="0"/>
                    <w:jc w:val="center"/>
                    <w:rPr>
                      <w:rFonts w:hint="default" w:ascii="Times New Roman" w:hAnsi="Times New Roman" w:cs="Times New Roman"/>
                      <w:color w:val="auto"/>
                      <w:sz w:val="24"/>
                      <w:szCs w:val="24"/>
                    </w:rPr>
                  </w:pPr>
                </w:p>
              </w:tc>
              <w:tc>
                <w:tcPr>
                  <w:tcW w:w="735" w:type="dxa"/>
                  <w:tcBorders>
                    <w:tl2br w:val="nil"/>
                    <w:tr2bl w:val="nil"/>
                  </w:tcBorders>
                  <w:noWrap w:val="0"/>
                  <w:vAlign w:val="center"/>
                </w:tcPr>
                <w:p w14:paraId="0C15A670">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废气</w:t>
                  </w:r>
                </w:p>
              </w:tc>
              <w:tc>
                <w:tcPr>
                  <w:tcW w:w="2903" w:type="dxa"/>
                  <w:tcBorders>
                    <w:tl2br w:val="nil"/>
                    <w:tr2bl w:val="nil"/>
                  </w:tcBorders>
                  <w:noWrap w:val="0"/>
                  <w:vAlign w:val="center"/>
                </w:tcPr>
                <w:p w14:paraId="4C8345A0">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临时施工生产区上风向、下风向</w:t>
                  </w:r>
                </w:p>
              </w:tc>
              <w:tc>
                <w:tcPr>
                  <w:tcW w:w="812" w:type="dxa"/>
                  <w:tcBorders>
                    <w:tl2br w:val="nil"/>
                    <w:tr2bl w:val="nil"/>
                  </w:tcBorders>
                  <w:noWrap w:val="0"/>
                  <w:vAlign w:val="center"/>
                </w:tcPr>
                <w:p w14:paraId="60D0E32E">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TSP</w:t>
                  </w:r>
                </w:p>
              </w:tc>
              <w:tc>
                <w:tcPr>
                  <w:tcW w:w="1827" w:type="dxa"/>
                  <w:tcBorders>
                    <w:tl2br w:val="nil"/>
                    <w:tr2bl w:val="nil"/>
                  </w:tcBorders>
                  <w:noWrap w:val="0"/>
                  <w:vAlign w:val="center"/>
                </w:tcPr>
                <w:p w14:paraId="76BE2533">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施工集中时</w:t>
                  </w:r>
                  <w:r>
                    <w:rPr>
                      <w:rFonts w:hint="default" w:ascii="Times New Roman" w:hAnsi="Times New Roman" w:eastAsia="宋体" w:cs="Times New Roman"/>
                      <w:color w:val="auto"/>
                      <w:sz w:val="21"/>
                      <w:szCs w:val="24"/>
                      <w:lang w:eastAsia="zh-CN"/>
                    </w:rPr>
                    <w:t>、</w:t>
                  </w:r>
                  <w:r>
                    <w:rPr>
                      <w:rFonts w:hint="default" w:ascii="Times New Roman" w:hAnsi="Times New Roman" w:eastAsia="宋体" w:cs="Times New Roman"/>
                      <w:color w:val="auto"/>
                      <w:sz w:val="21"/>
                      <w:szCs w:val="24"/>
                      <w:lang w:val="en-US" w:eastAsia="zh-CN"/>
                    </w:rPr>
                    <w:t>可能有影响的情况下</w:t>
                  </w:r>
                  <w:r>
                    <w:rPr>
                      <w:rFonts w:hint="default" w:ascii="Times New Roman" w:hAnsi="Times New Roman" w:eastAsia="宋体" w:cs="Times New Roman"/>
                      <w:color w:val="auto"/>
                      <w:sz w:val="21"/>
                      <w:szCs w:val="24"/>
                    </w:rPr>
                    <w:t>监测</w:t>
                  </w:r>
                  <w:r>
                    <w:rPr>
                      <w:rFonts w:hint="default" w:ascii="Times New Roman" w:hAnsi="Times New Roman" w:eastAsia="Times New Roman" w:cs="Times New Roman"/>
                      <w:color w:val="auto"/>
                      <w:sz w:val="21"/>
                      <w:szCs w:val="24"/>
                    </w:rPr>
                    <w:t>1</w:t>
                  </w:r>
                  <w:r>
                    <w:rPr>
                      <w:rFonts w:hint="default" w:ascii="Times New Roman" w:hAnsi="Times New Roman" w:eastAsia="宋体" w:cs="Times New Roman"/>
                      <w:color w:val="auto"/>
                      <w:sz w:val="21"/>
                      <w:szCs w:val="24"/>
                    </w:rPr>
                    <w:t>次</w:t>
                  </w:r>
                </w:p>
              </w:tc>
              <w:tc>
                <w:tcPr>
                  <w:tcW w:w="1115" w:type="dxa"/>
                  <w:vMerge w:val="continue"/>
                  <w:tcBorders>
                    <w:tl2br w:val="nil"/>
                    <w:tr2bl w:val="nil"/>
                  </w:tcBorders>
                  <w:noWrap w:val="0"/>
                  <w:vAlign w:val="center"/>
                </w:tcPr>
                <w:p w14:paraId="79004355">
                  <w:pPr>
                    <w:spacing w:beforeLines="0" w:afterLines="0"/>
                    <w:jc w:val="center"/>
                    <w:rPr>
                      <w:rFonts w:hint="default" w:ascii="Times New Roman" w:hAnsi="Times New Roman" w:cs="Times New Roman"/>
                      <w:color w:val="auto"/>
                      <w:sz w:val="24"/>
                      <w:szCs w:val="24"/>
                    </w:rPr>
                  </w:pPr>
                </w:p>
              </w:tc>
            </w:tr>
          </w:tbl>
          <w:p w14:paraId="66858647">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color w:val="0000FF"/>
                <w:sz w:val="24"/>
                <w:szCs w:val="24"/>
                <w:lang w:val="en-US" w:eastAsia="zh-CN"/>
              </w:rPr>
            </w:pPr>
          </w:p>
        </w:tc>
      </w:tr>
      <w:tr w14:paraId="63D5CB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389" w:type="pct"/>
            <w:noWrap w:val="0"/>
            <w:tcMar>
              <w:left w:w="28" w:type="dxa"/>
              <w:right w:w="28" w:type="dxa"/>
            </w:tcMar>
            <w:vAlign w:val="center"/>
          </w:tcPr>
          <w:p w14:paraId="12806AE7">
            <w:pPr>
              <w:adjustRightInd w:val="0"/>
              <w:snapToGrid w:val="0"/>
              <w:jc w:val="center"/>
              <w:rPr>
                <w:rFonts w:hint="default" w:ascii="Times New Roman" w:hAnsi="Times New Roman" w:cs="Times New Roman"/>
                <w:b/>
                <w:bCs w:val="0"/>
                <w:color w:val="auto"/>
                <w:spacing w:val="10"/>
                <w:sz w:val="24"/>
                <w:szCs w:val="24"/>
              </w:rPr>
            </w:pPr>
            <w:r>
              <w:rPr>
                <w:rFonts w:hint="default" w:ascii="Times New Roman" w:hAnsi="Times New Roman" w:cs="Times New Roman"/>
                <w:b/>
                <w:bCs w:val="0"/>
                <w:color w:val="auto"/>
                <w:spacing w:val="10"/>
                <w:sz w:val="24"/>
                <w:szCs w:val="24"/>
              </w:rPr>
              <w:t>运营期生态环境保护措施</w:t>
            </w:r>
          </w:p>
        </w:tc>
        <w:tc>
          <w:tcPr>
            <w:tcW w:w="4610" w:type="pct"/>
            <w:noWrap w:val="0"/>
            <w:vAlign w:val="top"/>
          </w:tcPr>
          <w:p w14:paraId="7943117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cs="Times New Roman"/>
                <w:b/>
                <w:bCs/>
                <w:sz w:val="24"/>
                <w:szCs w:val="24"/>
                <w:highlight w:val="none"/>
                <w:lang w:val="en-US" w:eastAsia="zh-CN"/>
              </w:rPr>
              <w:t>1、生态环境保护措施</w:t>
            </w:r>
          </w:p>
          <w:p w14:paraId="2F5F6A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1）巡检与维护：将管道沿线、阀坑、支墩等设施的生态恢复状况纳入日常巡检内容，防止水土流失和生态退化。</w:t>
            </w:r>
          </w:p>
          <w:p w14:paraId="40B2B1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2）应急管理：制定针对管道爆裂等突发事件的应急措施，防止高压水流对边坡和植被造成严重冲刷，确保能迅速进行生态修复。</w:t>
            </w:r>
          </w:p>
          <w:p w14:paraId="4106651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2、其他污染物防治措施</w:t>
            </w:r>
          </w:p>
          <w:p w14:paraId="0AD794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sz w:val="24"/>
                <w:szCs w:val="24"/>
                <w:highlight w:val="none"/>
                <w:lang w:val="en-US" w:eastAsia="zh-CN"/>
              </w:rPr>
              <w:t>项目</w:t>
            </w:r>
            <w:r>
              <w:rPr>
                <w:rFonts w:hint="default" w:ascii="Times New Roman" w:hAnsi="Times New Roman" w:cs="Times New Roman" w:eastAsiaTheme="minorEastAsia"/>
                <w:color w:val="auto"/>
                <w:kern w:val="2"/>
                <w:sz w:val="24"/>
                <w:szCs w:val="24"/>
                <w:highlight w:val="none"/>
                <w:lang w:val="en-US" w:eastAsia="zh-CN" w:bidi="ar-SA"/>
              </w:rPr>
              <w:t>运营期无废水和废气产生，主要污染物为泵站设备运行噪声和少量固废，其中：</w:t>
            </w:r>
          </w:p>
          <w:p w14:paraId="1FDBD6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Cs/>
                <w:kern w:val="0"/>
                <w:sz w:val="24"/>
                <w:highlight w:val="none"/>
                <w:lang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1）噪</w:t>
            </w:r>
            <w:r>
              <w:rPr>
                <w:rFonts w:hint="default" w:ascii="Times New Roman" w:hAnsi="Times New Roman" w:eastAsia="宋体" w:cs="Times New Roman"/>
                <w:bCs/>
                <w:kern w:val="0"/>
                <w:sz w:val="24"/>
                <w:highlight w:val="none"/>
                <w:lang w:val="en-US" w:eastAsia="zh-CN"/>
              </w:rPr>
              <w:t>声</w:t>
            </w:r>
            <w:r>
              <w:rPr>
                <w:rFonts w:hint="default" w:ascii="Times New Roman" w:hAnsi="Times New Roman" w:eastAsia="宋体" w:cs="Times New Roman"/>
                <w:bCs/>
                <w:kern w:val="0"/>
                <w:sz w:val="24"/>
                <w:highlight w:val="none"/>
                <w:lang w:eastAsia="zh-CN"/>
              </w:rPr>
              <w:t>主要为泵站运行时产生的噪声，水泵位于封闭房间内，通过选用低噪声设备，</w:t>
            </w:r>
            <w:r>
              <w:rPr>
                <w:rFonts w:hint="default" w:ascii="Times New Roman" w:hAnsi="Times New Roman" w:eastAsia="宋体" w:cs="Times New Roman"/>
                <w:bCs/>
                <w:kern w:val="0"/>
                <w:sz w:val="24"/>
                <w:highlight w:val="none"/>
              </w:rPr>
              <w:t>加强设备的维护保养，并定期检修，</w:t>
            </w:r>
            <w:r>
              <w:rPr>
                <w:rFonts w:hint="default" w:ascii="Times New Roman" w:hAnsi="Times New Roman" w:eastAsia="宋体" w:cs="Times New Roman"/>
                <w:bCs/>
                <w:kern w:val="0"/>
                <w:sz w:val="24"/>
                <w:highlight w:val="none"/>
                <w:lang w:eastAsia="zh-CN"/>
              </w:rPr>
              <w:t>采用减振</w:t>
            </w:r>
            <w:r>
              <w:rPr>
                <w:rFonts w:hint="default" w:ascii="Times New Roman" w:hAnsi="Times New Roman" w:eastAsia="宋体" w:cs="Times New Roman"/>
                <w:bCs/>
                <w:kern w:val="0"/>
                <w:sz w:val="24"/>
                <w:highlight w:val="none"/>
                <w:lang w:val="en-US" w:eastAsia="zh-CN"/>
              </w:rPr>
              <w:t>垫，墙体阻隔及距离衰减</w:t>
            </w:r>
            <w:r>
              <w:rPr>
                <w:rFonts w:hint="default" w:ascii="Times New Roman" w:hAnsi="Times New Roman" w:eastAsia="宋体" w:cs="Times New Roman"/>
                <w:bCs/>
                <w:kern w:val="0"/>
                <w:sz w:val="24"/>
                <w:highlight w:val="none"/>
                <w:lang w:eastAsia="zh-CN"/>
              </w:rPr>
              <w:t>等措施，</w:t>
            </w:r>
            <w:r>
              <w:rPr>
                <w:rFonts w:hint="default" w:ascii="Times New Roman" w:hAnsi="Times New Roman" w:eastAsia="宋体" w:cs="Times New Roman"/>
                <w:bCs/>
                <w:kern w:val="0"/>
                <w:sz w:val="24"/>
                <w:highlight w:val="none"/>
                <w:lang w:val="en-US" w:eastAsia="zh-CN"/>
              </w:rPr>
              <w:t>减少对声环境敏感点的影响</w:t>
            </w:r>
            <w:r>
              <w:rPr>
                <w:rFonts w:hint="default" w:ascii="Times New Roman" w:hAnsi="Times New Roman" w:eastAsia="宋体" w:cs="Times New Roman"/>
                <w:bCs/>
                <w:kern w:val="0"/>
                <w:sz w:val="24"/>
                <w:highlight w:val="none"/>
                <w:lang w:eastAsia="zh-CN"/>
              </w:rPr>
              <w:t>。</w:t>
            </w:r>
          </w:p>
          <w:p w14:paraId="34B286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Cs/>
                <w:kern w:val="0"/>
                <w:sz w:val="24"/>
                <w:highlight w:val="none"/>
                <w:lang w:val="en-US" w:eastAsia="zh-CN"/>
              </w:rPr>
            </w:pPr>
            <w:r>
              <w:rPr>
                <w:rFonts w:hint="eastAsia" w:ascii="Times New Roman" w:hAnsi="Times New Roman" w:eastAsia="宋体" w:cs="Times New Roman"/>
                <w:bCs/>
                <w:kern w:val="0"/>
                <w:sz w:val="24"/>
                <w:highlight w:val="none"/>
                <w:lang w:val="en-US" w:eastAsia="zh-CN"/>
              </w:rPr>
              <w:t>（</w:t>
            </w:r>
            <w:r>
              <w:rPr>
                <w:rFonts w:hint="default" w:ascii="Times New Roman" w:hAnsi="Times New Roman" w:eastAsia="宋体" w:cs="Times New Roman"/>
                <w:bCs/>
                <w:kern w:val="0"/>
                <w:sz w:val="24"/>
                <w:highlight w:val="none"/>
                <w:lang w:val="en-US" w:eastAsia="zh-CN"/>
              </w:rPr>
              <w:t>2）排泥水做一般固废交</w:t>
            </w:r>
            <w:r>
              <w:rPr>
                <w:rFonts w:hint="default" w:ascii="Times New Roman" w:hAnsi="Times New Roman" w:eastAsia="宋体" w:cs="Times New Roman"/>
                <w:bCs/>
                <w:kern w:val="0"/>
                <w:sz w:val="24"/>
                <w:highlight w:val="none"/>
              </w:rPr>
              <w:t>环卫部门统一收集处置</w:t>
            </w:r>
            <w:r>
              <w:rPr>
                <w:rFonts w:hint="default" w:ascii="Times New Roman" w:hAnsi="Times New Roman" w:eastAsia="宋体" w:cs="Times New Roman"/>
                <w:bCs/>
                <w:kern w:val="0"/>
                <w:sz w:val="24"/>
                <w:highlight w:val="none"/>
                <w:lang w:eastAsia="zh-CN"/>
              </w:rPr>
              <w:t>，</w:t>
            </w:r>
            <w:r>
              <w:rPr>
                <w:rFonts w:hint="default" w:ascii="Times New Roman" w:hAnsi="Times New Roman" w:eastAsia="宋体" w:cs="Times New Roman"/>
                <w:bCs/>
                <w:kern w:val="0"/>
                <w:sz w:val="24"/>
                <w:highlight w:val="none"/>
                <w:lang w:val="en-US" w:eastAsia="zh-CN"/>
              </w:rPr>
              <w:t>具有一定周期性，确保做到及时清理、处置；管线、闸站等检修过程中可能产生少量更换零件等固废，经统一收集后做一般固废处理，不外排。</w:t>
            </w:r>
          </w:p>
          <w:p w14:paraId="7EFC8EC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其它管理措施</w:t>
            </w:r>
          </w:p>
          <w:p w14:paraId="0B2846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sz w:val="24"/>
                <w:szCs w:val="24"/>
                <w:highlight w:val="none"/>
                <w:lang w:eastAsia="zh-CN"/>
              </w:rPr>
            </w:pPr>
            <w:r>
              <w:rPr>
                <w:rFonts w:hint="eastAsia"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w:t>
            </w:r>
            <w:r>
              <w:rPr>
                <w:rFonts w:hint="default" w:ascii="Times New Roman" w:hAnsi="Times New Roman" w:cs="Times New Roman"/>
                <w:bCs/>
                <w:sz w:val="24"/>
                <w:szCs w:val="24"/>
                <w:highlight w:val="none"/>
                <w:lang w:val="en-US" w:eastAsia="zh-CN"/>
              </w:rPr>
              <w:t>本</w:t>
            </w:r>
            <w:r>
              <w:rPr>
                <w:rFonts w:hint="default" w:ascii="Times New Roman" w:hAnsi="Times New Roman" w:cs="Times New Roman"/>
                <w:bCs/>
                <w:sz w:val="24"/>
                <w:szCs w:val="24"/>
                <w:highlight w:val="none"/>
              </w:rPr>
              <w:t>工程不再设置单独的管理机构，由</w:t>
            </w:r>
            <w:r>
              <w:rPr>
                <w:rFonts w:hint="default" w:ascii="Times New Roman" w:hAnsi="Times New Roman" w:cs="Times New Roman"/>
                <w:sz w:val="24"/>
                <w:szCs w:val="24"/>
                <w:highlight w:val="none"/>
              </w:rPr>
              <w:t>文</w:t>
            </w:r>
            <w:r>
              <w:rPr>
                <w:rFonts w:hint="default" w:ascii="Times New Roman" w:hAnsi="Times New Roman" w:cs="Times New Roman"/>
                <w:sz w:val="24"/>
                <w:szCs w:val="24"/>
                <w:highlight w:val="none"/>
                <w:lang w:val="en-US" w:eastAsia="zh-CN"/>
              </w:rPr>
              <w:t>水务部门下属</w:t>
            </w:r>
            <w:r>
              <w:rPr>
                <w:rFonts w:hint="default" w:ascii="Times New Roman" w:hAnsi="Times New Roman" w:cs="Times New Roman"/>
                <w:sz w:val="24"/>
                <w:szCs w:val="24"/>
                <w:highlight w:val="none"/>
              </w:rPr>
              <w:t>公司统一管理</w:t>
            </w:r>
            <w:r>
              <w:rPr>
                <w:rFonts w:hint="default" w:ascii="Times New Roman" w:hAnsi="Times New Roman" w:cs="Times New Roman"/>
                <w:color w:val="auto"/>
                <w:kern w:val="0"/>
                <w:sz w:val="24"/>
                <w:szCs w:val="24"/>
                <w:highlight w:val="none"/>
                <w:lang w:val="en-US" w:eastAsia="zh-CN"/>
              </w:rPr>
              <w:t>。</w:t>
            </w:r>
            <w:r>
              <w:rPr>
                <w:rFonts w:hint="default" w:ascii="Times New Roman" w:hAnsi="Times New Roman" w:cs="Times New Roman"/>
                <w:sz w:val="24"/>
                <w:szCs w:val="24"/>
                <w:highlight w:val="none"/>
                <w:lang w:eastAsia="zh-CN"/>
              </w:rPr>
              <w:t>在其管理和维护过程中仍应坚持“规范管理，环保为先”的理念，采取以下措施：</w:t>
            </w:r>
          </w:p>
          <w:p w14:paraId="3E3CE3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①建立完善的管理制度，进行规范化管理。</w:t>
            </w:r>
            <w:r>
              <w:rPr>
                <w:rFonts w:hint="default" w:ascii="Times New Roman" w:hAnsi="Times New Roman" w:cs="Times New Roman"/>
                <w:sz w:val="24"/>
                <w:szCs w:val="24"/>
                <w:highlight w:val="none"/>
                <w:lang w:val="en-US" w:eastAsia="zh-CN"/>
              </w:rPr>
              <w:t>工程具体情况建立包括卫生防护、岗位责任、运行操作、维护保养、计量收费等运行管理制度，按制度进行管理。按照因事设岗、以岗定员、精简高效的原则合理设置岗位、配备管理人员；管理人员应经过岗前培训，熟练掌握其岗位的技术要求，持证上岗。</w:t>
            </w:r>
          </w:p>
          <w:p w14:paraId="197BF7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eastAsia="zh-CN"/>
              </w:rPr>
              <w:t>②加强对</w:t>
            </w:r>
            <w:r>
              <w:rPr>
                <w:rFonts w:hint="default" w:ascii="Times New Roman" w:hAnsi="Times New Roman" w:cs="Times New Roman"/>
                <w:sz w:val="24"/>
                <w:szCs w:val="24"/>
                <w:highlight w:val="none"/>
                <w:lang w:val="en-US" w:eastAsia="zh-CN"/>
              </w:rPr>
              <w:t>水土保持措施监测，影响水土流失的主要因素包括降雨、地形地貌、地面组成物质、植被类型与覆盖度、水土保持设施和质量等。水土流失现状的监测内容包括地形地貌、地面物质组成、植被状况、多年降雨状况、水保设施和质量等。</w:t>
            </w:r>
          </w:p>
          <w:p w14:paraId="7A8576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sz w:val="24"/>
                <w:szCs w:val="24"/>
                <w:highlight w:val="none"/>
                <w:lang w:val="en-US" w:eastAsia="zh-CN"/>
              </w:rPr>
              <w:t>③对</w:t>
            </w:r>
            <w:r>
              <w:rPr>
                <w:rFonts w:hint="default" w:ascii="Times New Roman" w:hAnsi="Times New Roman" w:cs="Times New Roman"/>
                <w:sz w:val="24"/>
                <w:szCs w:val="24"/>
                <w:highlight w:val="none"/>
              </w:rPr>
              <w:t>德厚水库至平远片区灌溉管道连通工程管理范围和保护范围设立界桩、公告牌等标识</w:t>
            </w:r>
            <w:r>
              <w:rPr>
                <w:rFonts w:hint="default" w:ascii="Times New Roman" w:hAnsi="Times New Roman" w:cs="Times New Roman"/>
                <w:sz w:val="24"/>
                <w:szCs w:val="24"/>
                <w:highlight w:val="none"/>
                <w:lang w:eastAsia="zh-CN"/>
              </w:rPr>
              <w:t>。</w:t>
            </w:r>
          </w:p>
          <w:p w14:paraId="1139EC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color w:val="auto"/>
                <w:sz w:val="24"/>
                <w:highlight w:val="none"/>
                <w:lang w:val="en-US" w:eastAsia="zh-CN"/>
              </w:rPr>
              <w:t>④加强项目沿线生态保护，确保灌区</w:t>
            </w:r>
            <w:r>
              <w:rPr>
                <w:rFonts w:hint="default" w:ascii="Times New Roman" w:hAnsi="Times New Roman" w:cs="Times New Roman"/>
                <w:color w:val="auto"/>
                <w:sz w:val="24"/>
                <w:highlight w:val="none"/>
              </w:rPr>
              <w:t>边坡稳定，减少水土流失</w:t>
            </w:r>
            <w:r>
              <w:rPr>
                <w:rFonts w:hint="default" w:ascii="Times New Roman" w:hAnsi="Times New Roman" w:cs="Times New Roman"/>
                <w:color w:val="auto"/>
                <w:sz w:val="24"/>
                <w:highlight w:val="none"/>
                <w:lang w:eastAsia="zh-CN"/>
              </w:rPr>
              <w:t>。</w:t>
            </w:r>
          </w:p>
          <w:p w14:paraId="0677E4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color w:val="auto"/>
                <w:sz w:val="24"/>
                <w:highlight w:val="none"/>
                <w:lang w:val="en-US" w:eastAsia="zh-CN"/>
              </w:rPr>
              <w:t>⑤加强</w:t>
            </w:r>
            <w:r>
              <w:rPr>
                <w:rFonts w:hint="default" w:ascii="Times New Roman" w:hAnsi="Times New Roman" w:cs="Times New Roman"/>
                <w:color w:val="auto"/>
                <w:sz w:val="24"/>
                <w:highlight w:val="none"/>
              </w:rPr>
              <w:t>对</w:t>
            </w:r>
            <w:r>
              <w:rPr>
                <w:rFonts w:hint="default" w:ascii="Times New Roman" w:hAnsi="Times New Roman" w:cs="Times New Roman"/>
                <w:color w:val="auto"/>
                <w:sz w:val="24"/>
                <w:highlight w:val="none"/>
                <w:lang w:val="en-US" w:eastAsia="zh-CN"/>
              </w:rPr>
              <w:t>灌区</w:t>
            </w:r>
            <w:r>
              <w:rPr>
                <w:rFonts w:hint="default" w:ascii="Times New Roman" w:hAnsi="Times New Roman" w:cs="Times New Roman"/>
                <w:color w:val="auto"/>
                <w:sz w:val="24"/>
                <w:highlight w:val="none"/>
              </w:rPr>
              <w:t>沿线工程防护设施</w:t>
            </w:r>
            <w:r>
              <w:rPr>
                <w:rFonts w:hint="default" w:ascii="Times New Roman" w:hAnsi="Times New Roman" w:cs="Times New Roman"/>
                <w:color w:val="auto"/>
                <w:sz w:val="24"/>
                <w:highlight w:val="none"/>
                <w:lang w:val="en-US" w:eastAsia="zh-CN"/>
              </w:rPr>
              <w:t>的管理。</w:t>
            </w:r>
          </w:p>
          <w:p w14:paraId="226752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2）其它管理措施</w:t>
            </w:r>
            <w:r>
              <w:rPr>
                <w:rFonts w:hint="default" w:ascii="Times New Roman" w:hAnsi="Times New Roman" w:eastAsia="宋体" w:cs="Times New Roman"/>
                <w:b/>
                <w:bCs/>
                <w:color w:val="auto"/>
                <w:sz w:val="24"/>
                <w:szCs w:val="24"/>
                <w:highlight w:val="none"/>
                <w:lang w:val="en-US" w:eastAsia="zh-CN"/>
              </w:rPr>
              <w:t xml:space="preserve"> </w:t>
            </w:r>
          </w:p>
          <w:p w14:paraId="6BF2F8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val="en-US" w:eastAsia="zh-CN"/>
              </w:rPr>
              <w:t>制定优惠政策，实施政策引导。</w:t>
            </w:r>
          </w:p>
          <w:p w14:paraId="5D5A76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lang w:val="en-US" w:eastAsia="zh-CN"/>
              </w:rPr>
              <w:t>广泛宣传发动，做到</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四个讲清</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，讲清灌</w:t>
            </w:r>
            <w:r>
              <w:rPr>
                <w:rFonts w:hint="default" w:ascii="Times New Roman" w:hAnsi="Times New Roman" w:cs="Times New Roman"/>
                <w:color w:val="auto"/>
                <w:sz w:val="24"/>
                <w:szCs w:val="24"/>
                <w:highlight w:val="none"/>
                <w:lang w:val="en-US" w:eastAsia="zh-CN"/>
              </w:rPr>
              <w:t>区</w:t>
            </w:r>
            <w:r>
              <w:rPr>
                <w:rFonts w:hint="default" w:ascii="Times New Roman" w:hAnsi="Times New Roman" w:eastAsia="宋体" w:cs="Times New Roman"/>
                <w:color w:val="auto"/>
                <w:sz w:val="24"/>
                <w:szCs w:val="24"/>
                <w:highlight w:val="none"/>
                <w:lang w:val="en-US" w:eastAsia="zh-CN"/>
              </w:rPr>
              <w:t>所在村镇村目前</w:t>
            </w:r>
            <w:r>
              <w:rPr>
                <w:rFonts w:hint="default" w:ascii="Times New Roman" w:hAnsi="Times New Roman" w:cs="Times New Roman"/>
                <w:color w:val="auto"/>
                <w:sz w:val="24"/>
                <w:szCs w:val="24"/>
                <w:highlight w:val="none"/>
                <w:lang w:val="en-US" w:eastAsia="zh-CN"/>
              </w:rPr>
              <w:t>面临</w:t>
            </w:r>
            <w:r>
              <w:rPr>
                <w:rFonts w:hint="default" w:ascii="Times New Roman" w:hAnsi="Times New Roman" w:eastAsia="宋体" w:cs="Times New Roman"/>
                <w:color w:val="auto"/>
                <w:sz w:val="24"/>
                <w:szCs w:val="24"/>
                <w:highlight w:val="none"/>
                <w:lang w:val="en-US" w:eastAsia="zh-CN"/>
              </w:rPr>
              <w:t>的严峻的生态状况、讲清推广节水灌溉技术的重大意义、讲清节水</w:t>
            </w:r>
            <w:r>
              <w:rPr>
                <w:rFonts w:hint="default" w:ascii="Times New Roman" w:hAnsi="Times New Roman" w:cs="Times New Roman"/>
                <w:color w:val="auto"/>
                <w:sz w:val="24"/>
                <w:szCs w:val="24"/>
                <w:highlight w:val="none"/>
                <w:lang w:val="en-US" w:eastAsia="zh-CN"/>
              </w:rPr>
              <w:t>灌溉</w:t>
            </w:r>
            <w:r>
              <w:rPr>
                <w:rFonts w:hint="default" w:ascii="Times New Roman" w:hAnsi="Times New Roman" w:eastAsia="宋体" w:cs="Times New Roman"/>
                <w:color w:val="auto"/>
                <w:sz w:val="24"/>
                <w:szCs w:val="24"/>
                <w:highlight w:val="none"/>
                <w:lang w:val="en-US" w:eastAsia="zh-CN"/>
              </w:rPr>
              <w:t>技术与大水漫灌相比的优点和增产效益、讲清鼓励发展节水灌溉技术的优惠政策，要力争做到家喻户晓，人人皆知。</w:t>
            </w:r>
          </w:p>
          <w:p w14:paraId="2AF121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lang w:val="en-US" w:eastAsia="zh-CN"/>
              </w:rPr>
              <w:t>认真摸底调查，准确界定布点。项目镇要在发动群众的基础上，组织村组干部包村、包组、包片、包农户，认真细致地</w:t>
            </w:r>
            <w:r>
              <w:rPr>
                <w:rFonts w:hint="default" w:ascii="Times New Roman" w:hAnsi="Times New Roman" w:cs="Times New Roman"/>
                <w:color w:val="auto"/>
                <w:sz w:val="24"/>
                <w:szCs w:val="24"/>
                <w:highlight w:val="none"/>
                <w:lang w:val="en-US" w:eastAsia="zh-CN"/>
              </w:rPr>
              <w:t>做好</w:t>
            </w:r>
            <w:r>
              <w:rPr>
                <w:rFonts w:hint="default" w:ascii="Times New Roman" w:hAnsi="Times New Roman" w:eastAsia="宋体" w:cs="Times New Roman"/>
                <w:color w:val="auto"/>
                <w:sz w:val="24"/>
                <w:szCs w:val="24"/>
                <w:highlight w:val="none"/>
                <w:lang w:val="en-US" w:eastAsia="zh-CN"/>
              </w:rPr>
              <w:t xml:space="preserve">农户的思想工作严格按照要求确立节水灌溉项目区。 </w:t>
            </w:r>
          </w:p>
          <w:p w14:paraId="00ECCA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④</w:t>
            </w:r>
            <w:r>
              <w:rPr>
                <w:rFonts w:hint="default" w:ascii="Times New Roman" w:hAnsi="Times New Roman" w:eastAsia="宋体" w:cs="Times New Roman"/>
                <w:color w:val="auto"/>
                <w:sz w:val="24"/>
                <w:szCs w:val="24"/>
                <w:highlight w:val="none"/>
                <w:lang w:val="en-US" w:eastAsia="zh-CN"/>
              </w:rPr>
              <w:t xml:space="preserve">层层狠抓落实。项目区确定后，要按照部门包项目镇、乡镇包村、村组包农户的要求，层层制定目标责任制，狠抓项目落实。 </w:t>
            </w:r>
          </w:p>
          <w:p w14:paraId="7DBE60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⑤</w:t>
            </w:r>
            <w:r>
              <w:rPr>
                <w:rFonts w:hint="default" w:ascii="Times New Roman" w:hAnsi="Times New Roman" w:eastAsia="宋体" w:cs="Times New Roman"/>
                <w:color w:val="auto"/>
                <w:sz w:val="24"/>
                <w:szCs w:val="24"/>
                <w:highlight w:val="none"/>
                <w:lang w:val="en-US" w:eastAsia="zh-CN"/>
              </w:rPr>
              <w:t xml:space="preserve">搞好配套服务。项目镇作为项目实施主体，要全面负责地组织实施，并在节水灌溉运行过程中，按照技术要求统一成立村民组织，制定切实可行的管理办法，确保设备完好无损，管理有序，持续利用。  </w:t>
            </w:r>
          </w:p>
          <w:p w14:paraId="5089E3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⑥</w:t>
            </w:r>
            <w:r>
              <w:rPr>
                <w:rFonts w:hint="default" w:ascii="Times New Roman" w:hAnsi="Times New Roman" w:eastAsia="宋体" w:cs="Times New Roman"/>
                <w:color w:val="auto"/>
                <w:sz w:val="24"/>
                <w:szCs w:val="24"/>
                <w:highlight w:val="none"/>
                <w:lang w:val="en-US" w:eastAsia="zh-CN"/>
              </w:rPr>
              <w:t>对项目区的管理人员做好各灌溉系统的操作，维护及修理的技术培训工作，使其做到熟练操作，全面掌握各系统的特点及维护要领。如</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快接件的安装、管灌系统防堵、管道冬季防冻等，并监督其按不同的作物类型执行分组轮灌计划，严格控制灌溉指标，避免过灌和漏灌现象发生。实行科学的有计划的灌溉，以更好地达到节水增产的效果。</w:t>
            </w:r>
          </w:p>
          <w:p w14:paraId="74B8DF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3）引</w:t>
            </w:r>
            <w:r>
              <w:rPr>
                <w:rFonts w:hint="default" w:ascii="Times New Roman" w:hAnsi="Times New Roman" w:eastAsia="宋体" w:cs="Times New Roman"/>
                <w:b w:val="0"/>
                <w:bCs w:val="0"/>
                <w:color w:val="auto"/>
                <w:sz w:val="24"/>
                <w:szCs w:val="24"/>
                <w:highlight w:val="none"/>
                <w:lang w:val="en-US" w:eastAsia="zh-CN"/>
              </w:rPr>
              <w:t>水管理</w:t>
            </w:r>
            <w:r>
              <w:rPr>
                <w:rFonts w:hint="default" w:ascii="Times New Roman" w:hAnsi="Times New Roman" w:eastAsia="宋体" w:cs="Times New Roman"/>
                <w:color w:val="auto"/>
                <w:sz w:val="24"/>
                <w:szCs w:val="24"/>
                <w:highlight w:val="none"/>
                <w:lang w:val="en-US" w:eastAsia="zh-CN"/>
              </w:rPr>
              <w:t xml:space="preserve"> </w:t>
            </w:r>
          </w:p>
          <w:p w14:paraId="4F13D1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val="en-US" w:eastAsia="zh-CN"/>
              </w:rPr>
              <w:t>应定期或不定期巡查</w:t>
            </w:r>
            <w:r>
              <w:rPr>
                <w:rFonts w:hint="default" w:ascii="Times New Roman" w:hAnsi="Times New Roman" w:cs="Times New Roman"/>
                <w:color w:val="auto"/>
                <w:sz w:val="24"/>
                <w:szCs w:val="24"/>
                <w:highlight w:val="none"/>
                <w:lang w:val="en-US" w:eastAsia="zh-CN"/>
              </w:rPr>
              <w:t>引</w:t>
            </w:r>
            <w:r>
              <w:rPr>
                <w:rFonts w:hint="default" w:ascii="Times New Roman" w:hAnsi="Times New Roman" w:eastAsia="宋体" w:cs="Times New Roman"/>
                <w:color w:val="auto"/>
                <w:sz w:val="24"/>
                <w:szCs w:val="24"/>
                <w:highlight w:val="none"/>
                <w:lang w:val="en-US" w:eastAsia="zh-CN"/>
              </w:rPr>
              <w:t xml:space="preserve">水管道的漏水、覆土、被占压和附属设施运转等情况，发现问题应及时处理。 </w:t>
            </w:r>
          </w:p>
          <w:p w14:paraId="0F298B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lang w:val="en-US" w:eastAsia="zh-CN"/>
              </w:rPr>
              <w:t>根据原水含砂量和</w:t>
            </w:r>
            <w:r>
              <w:rPr>
                <w:rFonts w:hint="default" w:ascii="Times New Roman" w:hAnsi="Times New Roman" w:cs="Times New Roman"/>
                <w:color w:val="auto"/>
                <w:sz w:val="24"/>
                <w:szCs w:val="24"/>
                <w:highlight w:val="none"/>
                <w:lang w:val="en-US" w:eastAsia="zh-CN"/>
              </w:rPr>
              <w:t>引</w:t>
            </w:r>
            <w:r>
              <w:rPr>
                <w:rFonts w:hint="default" w:ascii="Times New Roman" w:hAnsi="Times New Roman" w:eastAsia="宋体" w:cs="Times New Roman"/>
                <w:color w:val="auto"/>
                <w:sz w:val="24"/>
                <w:szCs w:val="24"/>
                <w:highlight w:val="none"/>
                <w:lang w:val="en-US" w:eastAsia="zh-CN"/>
              </w:rPr>
              <w:t xml:space="preserve">水管运行情况，及时清除输水管内的淤泥。 </w:t>
            </w:r>
          </w:p>
          <w:p w14:paraId="77DC320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③加强</w:t>
            </w:r>
            <w:r>
              <w:rPr>
                <w:rFonts w:hint="default" w:ascii="Times New Roman" w:hAnsi="Times New Roman" w:eastAsia="宋体" w:cs="Times New Roman"/>
                <w:color w:val="auto"/>
                <w:sz w:val="24"/>
                <w:szCs w:val="24"/>
                <w:highlight w:val="none"/>
                <w:lang w:val="en-US" w:eastAsia="zh-CN"/>
              </w:rPr>
              <w:t>对</w:t>
            </w:r>
            <w:r>
              <w:rPr>
                <w:rFonts w:hint="default" w:ascii="Times New Roman" w:hAnsi="Times New Roman" w:cs="Times New Roman"/>
                <w:color w:val="auto"/>
                <w:sz w:val="24"/>
                <w:szCs w:val="24"/>
                <w:highlight w:val="none"/>
                <w:lang w:val="en-US" w:eastAsia="zh-CN"/>
              </w:rPr>
              <w:t>阀坑的监管</w:t>
            </w:r>
            <w:r>
              <w:rPr>
                <w:rFonts w:hint="default" w:ascii="Times New Roman" w:hAnsi="Times New Roman" w:eastAsia="宋体" w:cs="Times New Roman"/>
                <w:color w:val="auto"/>
                <w:sz w:val="24"/>
                <w:szCs w:val="24"/>
                <w:highlight w:val="none"/>
                <w:lang w:val="en-US" w:eastAsia="zh-CN"/>
              </w:rPr>
              <w:t xml:space="preserve">。 </w:t>
            </w:r>
          </w:p>
          <w:p w14:paraId="3E5B74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④</w:t>
            </w:r>
            <w:r>
              <w:rPr>
                <w:rFonts w:hint="default" w:ascii="Times New Roman" w:hAnsi="Times New Roman" w:eastAsia="宋体" w:cs="Times New Roman"/>
                <w:color w:val="auto"/>
                <w:sz w:val="24"/>
                <w:szCs w:val="24"/>
                <w:highlight w:val="none"/>
                <w:lang w:val="en-US" w:eastAsia="zh-CN"/>
              </w:rPr>
              <w:t xml:space="preserve">每年应对管道附属设施检修一次，并对钢制外露部分涂刷一次防锈漆。 </w:t>
            </w:r>
          </w:p>
          <w:p w14:paraId="1B6A087F">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0000FF"/>
                <w:sz w:val="24"/>
                <w:szCs w:val="24"/>
                <w:highlight w:val="none"/>
                <w:lang w:val="en-US" w:eastAsia="zh-CN"/>
              </w:rPr>
            </w:pPr>
            <w:r>
              <w:rPr>
                <w:rFonts w:hint="default" w:ascii="Times New Roman" w:hAnsi="Times New Roman" w:cs="Times New Roman"/>
                <w:color w:val="auto"/>
                <w:sz w:val="24"/>
                <w:szCs w:val="24"/>
                <w:highlight w:val="none"/>
                <w:lang w:val="en-US" w:eastAsia="zh-CN"/>
              </w:rPr>
              <w:t>⑤</w:t>
            </w:r>
            <w:r>
              <w:rPr>
                <w:rFonts w:hint="default" w:ascii="Times New Roman" w:hAnsi="Times New Roman" w:eastAsia="宋体" w:cs="Times New Roman"/>
                <w:color w:val="auto"/>
                <w:sz w:val="24"/>
                <w:szCs w:val="24"/>
                <w:highlight w:val="none"/>
                <w:lang w:val="en-US" w:eastAsia="zh-CN"/>
              </w:rPr>
              <w:t>管道及附属设备更换和维修。</w:t>
            </w:r>
          </w:p>
        </w:tc>
      </w:tr>
      <w:tr w14:paraId="333A84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02" w:hRule="atLeast"/>
          <w:jc w:val="center"/>
        </w:trPr>
        <w:tc>
          <w:tcPr>
            <w:tcW w:w="389" w:type="pct"/>
            <w:noWrap w:val="0"/>
            <w:vAlign w:val="center"/>
          </w:tcPr>
          <w:p w14:paraId="4B64B8E5">
            <w:pPr>
              <w:adjustRightInd w:val="0"/>
              <w:snapToGrid w:val="0"/>
              <w:jc w:val="center"/>
              <w:rPr>
                <w:rFonts w:hint="default" w:ascii="Times New Roman" w:hAnsi="Times New Roman" w:cs="Times New Roman"/>
                <w:b/>
                <w:bCs w:val="0"/>
                <w:color w:val="auto"/>
                <w:spacing w:val="10"/>
                <w:sz w:val="24"/>
                <w:szCs w:val="24"/>
              </w:rPr>
            </w:pPr>
            <w:r>
              <w:rPr>
                <w:rFonts w:hint="default" w:ascii="Times New Roman" w:hAnsi="Times New Roman" w:cs="Times New Roman"/>
                <w:b/>
                <w:bCs w:val="0"/>
                <w:color w:val="auto"/>
                <w:sz w:val="24"/>
                <w:szCs w:val="24"/>
              </w:rPr>
              <w:t>其他</w:t>
            </w:r>
          </w:p>
        </w:tc>
        <w:tc>
          <w:tcPr>
            <w:tcW w:w="4610" w:type="pct"/>
            <w:noWrap w:val="0"/>
            <w:vAlign w:val="top"/>
          </w:tcPr>
          <w:p w14:paraId="3178D8DF">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1、环保“三同时”竣工验收</w:t>
            </w:r>
          </w:p>
          <w:p w14:paraId="6B8343C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根据《建设项目环境保护管理条例》</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2017年修订，2017年10月1日实施），不再对建设项目环境保护验收进行审批，由企业组织自行验收并进行信息公开。本工程建设投产后，自主开展环保设施竣工验收，建设项目中的防治污染的设施必须与主体工程同时设计、同时施工、同时投产。</w:t>
            </w:r>
          </w:p>
          <w:p w14:paraId="4442DFE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建设单位在进行竣工环境保护验收时重点对生态恢复措施和相关环保设施、措施进行验收。</w:t>
            </w:r>
            <w:r>
              <w:rPr>
                <w:rFonts w:hint="default" w:ascii="Times New Roman" w:hAnsi="Times New Roman" w:cs="Times New Roman"/>
                <w:b w:val="0"/>
                <w:bCs w:val="0"/>
                <w:color w:val="auto"/>
                <w:sz w:val="24"/>
                <w:szCs w:val="24"/>
                <w:highlight w:val="none"/>
                <w:lang w:val="en-US" w:eastAsia="zh-CN"/>
              </w:rPr>
              <w:t>具体见下表：</w:t>
            </w:r>
          </w:p>
          <w:p w14:paraId="69802559">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表5</w:t>
            </w:r>
            <w:r>
              <w:rPr>
                <w:rFonts w:hint="default" w:ascii="Times New Roman" w:hAnsi="Times New Roman" w:cs="Times New Roman"/>
                <w:b/>
                <w:bCs/>
                <w:color w:val="auto"/>
                <w:sz w:val="24"/>
                <w:szCs w:val="24"/>
                <w:lang w:val="en-US" w:eastAsia="zh-CN"/>
              </w:rPr>
              <w:t>-</w:t>
            </w:r>
            <w:r>
              <w:rPr>
                <w:rFonts w:hint="eastAsia" w:ascii="Times New Roman" w:hAnsi="Times New Roman" w:cs="Times New Roman"/>
                <w:b/>
                <w:bCs/>
                <w:color w:val="auto"/>
                <w:sz w:val="24"/>
                <w:szCs w:val="24"/>
                <w:lang w:val="en-US" w:eastAsia="zh-CN"/>
              </w:rPr>
              <w:t>4</w:t>
            </w:r>
            <w:r>
              <w:rPr>
                <w:rFonts w:hint="default" w:ascii="Times New Roman" w:hAnsi="Times New Roman" w:eastAsia="宋体" w:cs="Times New Roman"/>
                <w:b/>
                <w:bCs/>
                <w:color w:val="auto"/>
                <w:sz w:val="24"/>
                <w:szCs w:val="24"/>
                <w:lang w:val="en-US" w:eastAsia="zh-CN"/>
              </w:rPr>
              <w:t xml:space="preserve">    本项目</w:t>
            </w:r>
            <w:r>
              <w:rPr>
                <w:rFonts w:hint="default" w:ascii="Times New Roman" w:hAnsi="Times New Roman" w:cs="Times New Roman"/>
                <w:b/>
                <w:bCs/>
                <w:color w:val="auto"/>
                <w:sz w:val="24"/>
                <w:szCs w:val="24"/>
                <w:lang w:val="en-US" w:eastAsia="zh-CN"/>
              </w:rPr>
              <w:t>竣工环保验收</w:t>
            </w:r>
            <w:r>
              <w:rPr>
                <w:rFonts w:hint="default" w:ascii="Times New Roman" w:hAnsi="Times New Roman" w:eastAsia="宋体" w:cs="Times New Roman"/>
                <w:b/>
                <w:bCs/>
                <w:color w:val="auto"/>
                <w:sz w:val="24"/>
                <w:szCs w:val="24"/>
                <w:lang w:val="en-US" w:eastAsia="zh-CN"/>
              </w:rPr>
              <w:t>一览表</w:t>
            </w:r>
          </w:p>
          <w:tbl>
            <w:tblPr>
              <w:tblStyle w:val="2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1076"/>
              <w:gridCol w:w="3511"/>
              <w:gridCol w:w="2707"/>
            </w:tblGrid>
            <w:tr w14:paraId="1596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noWrap w:val="0"/>
                  <w:vAlign w:val="center"/>
                </w:tcPr>
                <w:p w14:paraId="22C1A9BB">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内容</w:t>
                  </w:r>
                </w:p>
              </w:tc>
              <w:tc>
                <w:tcPr>
                  <w:tcW w:w="1076" w:type="dxa"/>
                  <w:noWrap w:val="0"/>
                  <w:vAlign w:val="center"/>
                </w:tcPr>
                <w:p w14:paraId="23A97C38">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验收</w:t>
                  </w:r>
                  <w:r>
                    <w:rPr>
                      <w:rFonts w:hint="default" w:ascii="Times New Roman" w:hAnsi="Times New Roman" w:eastAsia="宋体" w:cs="Times New Roman"/>
                      <w:b w:val="0"/>
                      <w:bCs w:val="0"/>
                      <w:color w:val="auto"/>
                      <w:sz w:val="21"/>
                      <w:szCs w:val="21"/>
                      <w:highlight w:val="none"/>
                      <w:vertAlign w:val="baseline"/>
                      <w:lang w:val="en-US" w:eastAsia="zh-CN"/>
                    </w:rPr>
                    <w:t>项目</w:t>
                  </w:r>
                </w:p>
              </w:tc>
              <w:tc>
                <w:tcPr>
                  <w:tcW w:w="3511" w:type="dxa"/>
                  <w:noWrap w:val="0"/>
                  <w:vAlign w:val="center"/>
                </w:tcPr>
                <w:p w14:paraId="06585BB8">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污染防治措施</w:t>
                  </w:r>
                </w:p>
              </w:tc>
              <w:tc>
                <w:tcPr>
                  <w:tcW w:w="2707" w:type="dxa"/>
                  <w:noWrap w:val="0"/>
                  <w:vAlign w:val="center"/>
                </w:tcPr>
                <w:p w14:paraId="542EA0CE">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验收</w:t>
                  </w:r>
                  <w:r>
                    <w:rPr>
                      <w:rFonts w:hint="default" w:ascii="Times New Roman" w:hAnsi="Times New Roman" w:cs="Times New Roman"/>
                      <w:b w:val="0"/>
                      <w:bCs w:val="0"/>
                      <w:color w:val="auto"/>
                      <w:sz w:val="21"/>
                      <w:szCs w:val="21"/>
                      <w:highlight w:val="none"/>
                      <w:vertAlign w:val="baseline"/>
                      <w:lang w:val="en-US" w:eastAsia="zh-CN"/>
                    </w:rPr>
                    <w:t>要求</w:t>
                  </w:r>
                </w:p>
              </w:tc>
            </w:tr>
            <w:tr w14:paraId="3A99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Merge w:val="restart"/>
                  <w:noWrap w:val="0"/>
                  <w:vAlign w:val="center"/>
                </w:tcPr>
                <w:p w14:paraId="64EFACC7">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环保竣工验收</w:t>
                  </w:r>
                </w:p>
              </w:tc>
              <w:tc>
                <w:tcPr>
                  <w:tcW w:w="1076" w:type="dxa"/>
                  <w:noWrap w:val="0"/>
                  <w:vAlign w:val="center"/>
                </w:tcPr>
                <w:p w14:paraId="38705188">
                  <w:pPr>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废水</w:t>
                  </w:r>
                </w:p>
              </w:tc>
              <w:tc>
                <w:tcPr>
                  <w:tcW w:w="3511" w:type="dxa"/>
                  <w:noWrap w:val="0"/>
                  <w:vAlign w:val="center"/>
                </w:tcPr>
                <w:p w14:paraId="4BF62009">
                  <w:pPr>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隔油沉淀池、临时沉淀池</w:t>
                  </w:r>
                </w:p>
              </w:tc>
              <w:tc>
                <w:tcPr>
                  <w:tcW w:w="2707" w:type="dxa"/>
                  <w:noWrap w:val="0"/>
                  <w:vAlign w:val="center"/>
                </w:tcPr>
                <w:p w14:paraId="3C77E7E9">
                  <w:pPr>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不外排</w:t>
                  </w:r>
                </w:p>
              </w:tc>
            </w:tr>
            <w:tr w14:paraId="6793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Merge w:val="continue"/>
                  <w:noWrap w:val="0"/>
                  <w:vAlign w:val="center"/>
                </w:tcPr>
                <w:p w14:paraId="435A7B4E">
                  <w:pPr>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p>
              </w:tc>
              <w:tc>
                <w:tcPr>
                  <w:tcW w:w="1076" w:type="dxa"/>
                  <w:noWrap w:val="0"/>
                  <w:vAlign w:val="center"/>
                </w:tcPr>
                <w:p w14:paraId="67DE022A">
                  <w:pPr>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大气</w:t>
                  </w:r>
                </w:p>
              </w:tc>
              <w:tc>
                <w:tcPr>
                  <w:tcW w:w="3511" w:type="dxa"/>
                  <w:noWrap w:val="0"/>
                  <w:vAlign w:val="center"/>
                </w:tcPr>
                <w:p w14:paraId="3C3D5AED">
                  <w:pPr>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highlight w:val="none"/>
                      <w:lang w:val="en-US" w:eastAsia="zh-CN"/>
                    </w:rPr>
                    <w:t>扬尘控制措施</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围挡、覆盖、洒水等）</w:t>
                  </w:r>
                </w:p>
              </w:tc>
              <w:tc>
                <w:tcPr>
                  <w:tcW w:w="2707" w:type="dxa"/>
                  <w:noWrap w:val="0"/>
                  <w:vAlign w:val="center"/>
                </w:tcPr>
                <w:p w14:paraId="4C219703">
                  <w:pPr>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rPr>
                    <w:t>《大气污染物综合排放标准》</w:t>
                  </w:r>
                  <w:r>
                    <w:rPr>
                      <w:rFonts w:hint="eastAsia"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GB16297—1996）</w:t>
                  </w:r>
                </w:p>
              </w:tc>
            </w:tr>
            <w:tr w14:paraId="4861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Merge w:val="continue"/>
                  <w:noWrap w:val="0"/>
                  <w:vAlign w:val="center"/>
                </w:tcPr>
                <w:p w14:paraId="378EC16F">
                  <w:pPr>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p>
              </w:tc>
              <w:tc>
                <w:tcPr>
                  <w:tcW w:w="1076" w:type="dxa"/>
                  <w:noWrap w:val="0"/>
                  <w:vAlign w:val="center"/>
                </w:tcPr>
                <w:p w14:paraId="51204FA6">
                  <w:pPr>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噪声</w:t>
                  </w:r>
                </w:p>
              </w:tc>
              <w:tc>
                <w:tcPr>
                  <w:tcW w:w="3511" w:type="dxa"/>
                  <w:noWrap w:val="0"/>
                  <w:vAlign w:val="center"/>
                </w:tcPr>
                <w:p w14:paraId="1FBAE5A7">
                  <w:pPr>
                    <w:snapToGrid w:val="0"/>
                    <w:jc w:val="center"/>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采用低噪设备，</w:t>
                  </w:r>
                  <w:r>
                    <w:rPr>
                      <w:rFonts w:hint="default" w:ascii="Times New Roman" w:hAnsi="Times New Roman" w:cs="Times New Roman"/>
                      <w:b w:val="0"/>
                      <w:bCs w:val="0"/>
                      <w:color w:val="auto"/>
                      <w:highlight w:val="none"/>
                      <w:lang w:val="en-US" w:eastAsia="zh-CN"/>
                    </w:rPr>
                    <w:t>移动式隔声屏障，减震垫等。</w:t>
                  </w:r>
                </w:p>
              </w:tc>
              <w:tc>
                <w:tcPr>
                  <w:tcW w:w="2707" w:type="dxa"/>
                  <w:noWrap w:val="0"/>
                  <w:vAlign w:val="center"/>
                </w:tcPr>
                <w:p w14:paraId="0CFBB6D9">
                  <w:pPr>
                    <w:snapToGrid w:val="0"/>
                    <w:jc w:val="left"/>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施工噪声执行《</w:t>
                  </w:r>
                  <w:r>
                    <w:rPr>
                      <w:rFonts w:hint="default" w:ascii="Times New Roman" w:hAnsi="Times New Roman" w:cs="Times New Roman"/>
                      <w:b w:val="0"/>
                      <w:bCs w:val="0"/>
                      <w:color w:val="auto"/>
                      <w:highlight w:val="none"/>
                      <w:lang w:eastAsia="zh-CN"/>
                    </w:rPr>
                    <w:t>建筑施工噪声排放标准</w:t>
                  </w:r>
                  <w:r>
                    <w:rPr>
                      <w:rFonts w:hint="default" w:ascii="Times New Roman" w:hAnsi="Times New Roman" w:cs="Times New Roman"/>
                      <w:b w:val="0"/>
                      <w:bCs w:val="0"/>
                      <w:color w:val="auto"/>
                      <w:highlight w:val="none"/>
                    </w:rPr>
                    <w:t>》</w:t>
                  </w:r>
                  <w:r>
                    <w:rPr>
                      <w:rFonts w:hint="eastAsia"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GB12523－</w:t>
                  </w:r>
                  <w:r>
                    <w:rPr>
                      <w:rFonts w:hint="default" w:ascii="Times New Roman" w:hAnsi="Times New Roman" w:cs="Times New Roman"/>
                      <w:b w:val="0"/>
                      <w:bCs w:val="0"/>
                      <w:color w:val="auto"/>
                      <w:highlight w:val="none"/>
                      <w:lang w:eastAsia="zh-CN"/>
                    </w:rPr>
                    <w:t>2025）</w:t>
                  </w:r>
                </w:p>
              </w:tc>
            </w:tr>
            <w:tr w14:paraId="4B9F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Merge w:val="continue"/>
                  <w:noWrap w:val="0"/>
                  <w:vAlign w:val="center"/>
                </w:tcPr>
                <w:p w14:paraId="5CC557E2">
                  <w:pPr>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p>
              </w:tc>
              <w:tc>
                <w:tcPr>
                  <w:tcW w:w="1076" w:type="dxa"/>
                  <w:noWrap w:val="0"/>
                  <w:vAlign w:val="center"/>
                </w:tcPr>
                <w:p w14:paraId="05298AB8">
                  <w:pPr>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固废</w:t>
                  </w:r>
                </w:p>
              </w:tc>
              <w:tc>
                <w:tcPr>
                  <w:tcW w:w="3511" w:type="dxa"/>
                  <w:noWrap w:val="0"/>
                  <w:vAlign w:val="center"/>
                </w:tcPr>
                <w:p w14:paraId="27FD9CDD">
                  <w:pPr>
                    <w:snapToGrid w:val="0"/>
                    <w:jc w:val="center"/>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lang w:val="en-US" w:eastAsia="zh-CN"/>
                    </w:rPr>
                    <w:t>施工建筑垃圾、弃渣、生活垃圾</w:t>
                  </w:r>
                </w:p>
              </w:tc>
              <w:tc>
                <w:tcPr>
                  <w:tcW w:w="2707" w:type="dxa"/>
                  <w:noWrap w:val="0"/>
                  <w:vAlign w:val="center"/>
                </w:tcPr>
                <w:p w14:paraId="0137595A">
                  <w:pPr>
                    <w:snapToGrid w:val="0"/>
                    <w:jc w:val="center"/>
                    <w:rPr>
                      <w:rFonts w:hint="default" w:ascii="Times New Roman" w:hAnsi="Times New Roman" w:eastAsia="宋体"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处置率100%</w:t>
                  </w:r>
                </w:p>
              </w:tc>
            </w:tr>
            <w:tr w14:paraId="6A5F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Merge w:val="continue"/>
                  <w:noWrap w:val="0"/>
                  <w:vAlign w:val="center"/>
                </w:tcPr>
                <w:p w14:paraId="44D75F76">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p>
              </w:tc>
              <w:tc>
                <w:tcPr>
                  <w:tcW w:w="1076" w:type="dxa"/>
                  <w:vMerge w:val="restart"/>
                  <w:noWrap w:val="0"/>
                  <w:vAlign w:val="center"/>
                </w:tcPr>
                <w:p w14:paraId="760FB12B">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生态环境</w:t>
                  </w:r>
                </w:p>
              </w:tc>
              <w:tc>
                <w:tcPr>
                  <w:tcW w:w="3511" w:type="dxa"/>
                  <w:noWrap w:val="0"/>
                  <w:vAlign w:val="center"/>
                </w:tcPr>
                <w:p w14:paraId="28485AD9">
                  <w:pPr>
                    <w:keepNext w:val="0"/>
                    <w:keepLines w:val="0"/>
                    <w:widowControl/>
                    <w:suppressLineNumbers w:val="0"/>
                    <w:spacing w:line="240" w:lineRule="auto"/>
                    <w:jc w:val="left"/>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rPr>
                    <w:t>泵站</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引水</w:t>
                  </w:r>
                  <w:r>
                    <w:rPr>
                      <w:rFonts w:hint="default" w:ascii="Times New Roman" w:hAnsi="Times New Roman" w:eastAsia="宋体" w:cs="Times New Roman"/>
                      <w:b w:val="0"/>
                      <w:bCs w:val="0"/>
                      <w:color w:val="auto"/>
                      <w:sz w:val="21"/>
                      <w:szCs w:val="21"/>
                      <w:highlight w:val="none"/>
                      <w:lang w:val="en-US" w:eastAsia="zh-CN"/>
                    </w:rPr>
                    <w:t>管道、提水管道、引水管道</w:t>
                  </w:r>
                  <w:r>
                    <w:rPr>
                      <w:rFonts w:hint="default" w:ascii="Times New Roman" w:hAnsi="Times New Roman" w:cs="Times New Roman"/>
                      <w:b w:val="0"/>
                      <w:bCs w:val="0"/>
                      <w:color w:val="auto"/>
                      <w:szCs w:val="21"/>
                      <w:highlight w:val="none"/>
                      <w:lang w:eastAsia="zh-CN"/>
                    </w:rPr>
                    <w:t>：</w:t>
                  </w:r>
                  <w:r>
                    <w:rPr>
                      <w:rFonts w:hint="default" w:ascii="Times New Roman" w:hAnsi="Times New Roman" w:cs="Times New Roman"/>
                      <w:b w:val="0"/>
                      <w:bCs w:val="0"/>
                      <w:color w:val="auto"/>
                      <w:szCs w:val="21"/>
                      <w:highlight w:val="none"/>
                      <w:lang w:val="en-US" w:eastAsia="zh-CN"/>
                    </w:rPr>
                    <w:t>土石方及时回填、裸露地面进行植被恢复等。</w:t>
                  </w:r>
                </w:p>
              </w:tc>
              <w:tc>
                <w:tcPr>
                  <w:tcW w:w="2707" w:type="dxa"/>
                  <w:vMerge w:val="restart"/>
                  <w:noWrap w:val="0"/>
                  <w:vAlign w:val="center"/>
                </w:tcPr>
                <w:p w14:paraId="47ED697B">
                  <w:pPr>
                    <w:keepNext w:val="0"/>
                    <w:keepLines w:val="0"/>
                    <w:widowControl/>
                    <w:suppressLineNumbers w:val="0"/>
                    <w:spacing w:line="240" w:lineRule="auto"/>
                    <w:jc w:val="left"/>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cs="Times New Roman"/>
                      <w:b w:val="0"/>
                      <w:bCs w:val="0"/>
                      <w:color w:val="auto"/>
                      <w:highlight w:val="none"/>
                      <w:lang w:val="en-US" w:eastAsia="zh-CN"/>
                    </w:rPr>
                    <w:t>施工迹地按水土保持方案和本报告要求完成植被恢复或土地复垦，无明显水土流失现象</w:t>
                  </w:r>
                </w:p>
              </w:tc>
            </w:tr>
            <w:tr w14:paraId="2F1E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Merge w:val="continue"/>
                  <w:noWrap w:val="0"/>
                  <w:vAlign w:val="center"/>
                </w:tcPr>
                <w:p w14:paraId="75B06FE4">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p>
              </w:tc>
              <w:tc>
                <w:tcPr>
                  <w:tcW w:w="1076" w:type="dxa"/>
                  <w:vMerge w:val="continue"/>
                  <w:noWrap w:val="0"/>
                  <w:vAlign w:val="center"/>
                </w:tcPr>
                <w:p w14:paraId="22E5C156">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p>
              </w:tc>
              <w:tc>
                <w:tcPr>
                  <w:tcW w:w="3511" w:type="dxa"/>
                  <w:noWrap w:val="0"/>
                  <w:vAlign w:val="center"/>
                </w:tcPr>
                <w:p w14:paraId="70089C30">
                  <w:pPr>
                    <w:keepNext w:val="0"/>
                    <w:keepLines w:val="0"/>
                    <w:widowControl/>
                    <w:suppressLineNumbers w:val="0"/>
                    <w:spacing w:line="240" w:lineRule="auto"/>
                    <w:jc w:val="left"/>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highlight w:val="none"/>
                      <w:lang w:val="en-US" w:eastAsia="zh-CN"/>
                    </w:rPr>
                    <w:t>表土剥离与保护、弃渣场拦挡与排水设施、施工迹地恢复</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植被</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b w:val="0"/>
                      <w:bCs w:val="0"/>
                      <w:color w:val="auto"/>
                      <w:highlight w:val="none"/>
                      <w:lang w:val="en-US" w:eastAsia="zh-CN"/>
                    </w:rPr>
                    <w:t>地形地貌）。</w:t>
                  </w:r>
                </w:p>
              </w:tc>
              <w:tc>
                <w:tcPr>
                  <w:tcW w:w="2707" w:type="dxa"/>
                  <w:vMerge w:val="continue"/>
                  <w:noWrap w:val="0"/>
                  <w:vAlign w:val="center"/>
                </w:tcPr>
                <w:p w14:paraId="48F22327">
                  <w:pPr>
                    <w:keepNext w:val="0"/>
                    <w:keepLines w:val="0"/>
                    <w:widowControl/>
                    <w:suppressLineNumbers w:val="0"/>
                    <w:spacing w:line="240" w:lineRule="auto"/>
                    <w:jc w:val="left"/>
                    <w:rPr>
                      <w:rFonts w:hint="default" w:ascii="Times New Roman" w:hAnsi="Times New Roman" w:cs="Times New Roman"/>
                      <w:b w:val="0"/>
                      <w:bCs w:val="0"/>
                      <w:color w:val="auto"/>
                      <w:kern w:val="0"/>
                      <w:sz w:val="21"/>
                      <w:szCs w:val="21"/>
                      <w:highlight w:val="none"/>
                      <w:lang w:val="en-US" w:eastAsia="zh-CN" w:bidi="ar"/>
                    </w:rPr>
                  </w:pPr>
                </w:p>
              </w:tc>
            </w:tr>
            <w:tr w14:paraId="0C7E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Merge w:val="continue"/>
                  <w:noWrap w:val="0"/>
                  <w:vAlign w:val="center"/>
                </w:tcPr>
                <w:p w14:paraId="0EC783C2">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p>
              </w:tc>
              <w:tc>
                <w:tcPr>
                  <w:tcW w:w="1076" w:type="dxa"/>
                  <w:vMerge w:val="continue"/>
                  <w:noWrap w:val="0"/>
                  <w:vAlign w:val="center"/>
                </w:tcPr>
                <w:p w14:paraId="3EEC7846">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p>
              </w:tc>
              <w:tc>
                <w:tcPr>
                  <w:tcW w:w="3511" w:type="dxa"/>
                  <w:noWrap w:val="0"/>
                  <w:vAlign w:val="center"/>
                </w:tcPr>
                <w:p w14:paraId="705FF03D">
                  <w:pPr>
                    <w:keepNext w:val="0"/>
                    <w:keepLines w:val="0"/>
                    <w:widowControl/>
                    <w:suppressLineNumbers w:val="0"/>
                    <w:spacing w:line="240" w:lineRule="auto"/>
                    <w:jc w:val="left"/>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永久基本农田临时占用范围复垦</w:t>
                  </w:r>
                  <w:r>
                    <w:rPr>
                      <w:rFonts w:hint="default" w:ascii="Times New Roman" w:hAnsi="Times New Roman" w:cs="Times New Roman"/>
                      <w:b w:val="0"/>
                      <w:bCs w:val="0"/>
                      <w:color w:val="auto"/>
                      <w:highlight w:val="none"/>
                      <w:lang w:val="en-US" w:eastAsia="zh-CN"/>
                    </w:rPr>
                    <w:t>质量验收</w:t>
                  </w:r>
                </w:p>
              </w:tc>
              <w:tc>
                <w:tcPr>
                  <w:tcW w:w="2707" w:type="dxa"/>
                  <w:vMerge w:val="continue"/>
                  <w:noWrap w:val="0"/>
                  <w:vAlign w:val="center"/>
                </w:tcPr>
                <w:p w14:paraId="377C7C9D">
                  <w:pPr>
                    <w:keepNext w:val="0"/>
                    <w:keepLines w:val="0"/>
                    <w:widowControl/>
                    <w:suppressLineNumbers w:val="0"/>
                    <w:spacing w:line="240" w:lineRule="auto"/>
                    <w:jc w:val="left"/>
                    <w:rPr>
                      <w:rFonts w:hint="default" w:ascii="Times New Roman" w:hAnsi="Times New Roman" w:cs="Times New Roman"/>
                      <w:b w:val="0"/>
                      <w:bCs w:val="0"/>
                      <w:color w:val="auto"/>
                      <w:kern w:val="0"/>
                      <w:sz w:val="21"/>
                      <w:szCs w:val="21"/>
                      <w:highlight w:val="none"/>
                      <w:lang w:val="en-US" w:eastAsia="zh-CN" w:bidi="ar"/>
                    </w:rPr>
                  </w:pPr>
                </w:p>
              </w:tc>
            </w:tr>
            <w:tr w14:paraId="2822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Merge w:val="continue"/>
                  <w:noWrap w:val="0"/>
                  <w:vAlign w:val="center"/>
                </w:tcPr>
                <w:p w14:paraId="29C11777">
                  <w:pPr>
                    <w:keepNext w:val="0"/>
                    <w:keepLines w:val="0"/>
                    <w:widowControl/>
                    <w:suppressLineNumbers w:val="0"/>
                    <w:spacing w:line="240" w:lineRule="auto"/>
                    <w:jc w:val="center"/>
                    <w:rPr>
                      <w:rFonts w:hint="default" w:ascii="Times New Roman" w:hAnsi="Times New Roman" w:cs="Times New Roman"/>
                      <w:b w:val="0"/>
                      <w:bCs w:val="0"/>
                      <w:color w:val="auto"/>
                      <w:kern w:val="0"/>
                      <w:sz w:val="21"/>
                      <w:szCs w:val="21"/>
                      <w:highlight w:val="none"/>
                      <w:lang w:val="en-US" w:eastAsia="zh-CN"/>
                    </w:rPr>
                  </w:pPr>
                </w:p>
              </w:tc>
              <w:tc>
                <w:tcPr>
                  <w:tcW w:w="1076" w:type="dxa"/>
                  <w:vMerge w:val="continue"/>
                  <w:noWrap w:val="0"/>
                  <w:vAlign w:val="center"/>
                </w:tcPr>
                <w:p w14:paraId="2E31532A">
                  <w:pPr>
                    <w:keepNext w:val="0"/>
                    <w:keepLines w:val="0"/>
                    <w:widowControl/>
                    <w:suppressLineNumbers w:val="0"/>
                    <w:spacing w:line="240" w:lineRule="auto"/>
                    <w:jc w:val="left"/>
                    <w:rPr>
                      <w:rFonts w:hint="default" w:ascii="Times New Roman" w:hAnsi="Times New Roman" w:cs="Times New Roman"/>
                      <w:b w:val="0"/>
                      <w:bCs w:val="0"/>
                      <w:color w:val="auto"/>
                      <w:kern w:val="0"/>
                      <w:sz w:val="21"/>
                      <w:szCs w:val="21"/>
                      <w:highlight w:val="none"/>
                      <w:lang w:val="en-US" w:eastAsia="zh-CN"/>
                    </w:rPr>
                  </w:pPr>
                </w:p>
              </w:tc>
              <w:tc>
                <w:tcPr>
                  <w:tcW w:w="3511" w:type="dxa"/>
                  <w:noWrap w:val="0"/>
                  <w:vAlign w:val="center"/>
                </w:tcPr>
                <w:p w14:paraId="6B17ED59">
                  <w:pPr>
                    <w:keepNext w:val="0"/>
                    <w:keepLines w:val="0"/>
                    <w:widowControl/>
                    <w:suppressLineNumbers w:val="0"/>
                    <w:spacing w:line="240" w:lineRule="auto"/>
                    <w:jc w:val="left"/>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bidi="ar"/>
                    </w:rPr>
                    <w:t>临时占地施工结束后进行生态</w:t>
                  </w:r>
                  <w:r>
                    <w:rPr>
                      <w:rFonts w:hint="default" w:ascii="Times New Roman" w:hAnsi="Times New Roman" w:cs="Times New Roman"/>
                      <w:b w:val="0"/>
                      <w:bCs w:val="0"/>
                      <w:color w:val="auto"/>
                      <w:highlight w:val="none"/>
                    </w:rPr>
                    <w:t>恢复</w:t>
                  </w:r>
                  <w:r>
                    <w:rPr>
                      <w:rFonts w:hint="default" w:ascii="Times New Roman" w:hAnsi="Times New Roman" w:cs="Times New Roman"/>
                      <w:b w:val="0"/>
                      <w:bCs w:val="0"/>
                      <w:color w:val="auto"/>
                      <w:highlight w:val="none"/>
                      <w:lang w:eastAsia="zh-CN"/>
                    </w:rPr>
                    <w:t>。</w:t>
                  </w:r>
                </w:p>
              </w:tc>
              <w:tc>
                <w:tcPr>
                  <w:tcW w:w="2707" w:type="dxa"/>
                  <w:vMerge w:val="continue"/>
                  <w:noWrap w:val="0"/>
                  <w:vAlign w:val="center"/>
                </w:tcPr>
                <w:p w14:paraId="00E21A89">
                  <w:pPr>
                    <w:keepNext w:val="0"/>
                    <w:keepLines w:val="0"/>
                    <w:widowControl/>
                    <w:suppressLineNumbers w:val="0"/>
                    <w:spacing w:line="240" w:lineRule="auto"/>
                    <w:jc w:val="left"/>
                    <w:rPr>
                      <w:rFonts w:hint="default" w:ascii="Times New Roman" w:hAnsi="Times New Roman" w:cs="Times New Roman"/>
                      <w:b w:val="0"/>
                      <w:bCs w:val="0"/>
                      <w:color w:val="auto"/>
                      <w:kern w:val="0"/>
                      <w:sz w:val="21"/>
                      <w:szCs w:val="21"/>
                      <w:highlight w:val="none"/>
                      <w:lang w:val="en-US" w:eastAsia="zh-CN"/>
                    </w:rPr>
                  </w:pPr>
                </w:p>
              </w:tc>
            </w:tr>
            <w:tr w14:paraId="5D58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Merge w:val="restart"/>
                  <w:noWrap w:val="0"/>
                  <w:vAlign w:val="center"/>
                </w:tcPr>
                <w:p w14:paraId="1DB1FFC1">
                  <w:pPr>
                    <w:keepNext w:val="0"/>
                    <w:keepLines w:val="0"/>
                    <w:widowControl/>
                    <w:suppressLineNumbers w:val="0"/>
                    <w:spacing w:line="240" w:lineRule="auto"/>
                    <w:jc w:val="center"/>
                    <w:rPr>
                      <w:rFonts w:hint="default" w:ascii="Times New Roman" w:hAnsi="Times New Roman"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运营期</w:t>
                  </w:r>
                </w:p>
              </w:tc>
              <w:tc>
                <w:tcPr>
                  <w:tcW w:w="1076" w:type="dxa"/>
                  <w:noWrap w:val="0"/>
                  <w:vAlign w:val="center"/>
                </w:tcPr>
                <w:p w14:paraId="752982E6">
                  <w:pPr>
                    <w:keepNext w:val="0"/>
                    <w:keepLines w:val="0"/>
                    <w:widowControl/>
                    <w:suppressLineNumbers w:val="0"/>
                    <w:spacing w:line="240" w:lineRule="auto"/>
                    <w:ind w:firstLine="210" w:firstLineChars="100"/>
                    <w:jc w:val="left"/>
                    <w:rPr>
                      <w:rFonts w:hint="default" w:ascii="Times New Roman" w:hAnsi="Times New Roman"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噪声</w:t>
                  </w:r>
                </w:p>
              </w:tc>
              <w:tc>
                <w:tcPr>
                  <w:tcW w:w="3511" w:type="dxa"/>
                  <w:noWrap w:val="0"/>
                  <w:vAlign w:val="center"/>
                </w:tcPr>
                <w:p w14:paraId="501671F9">
                  <w:pPr>
                    <w:snapToGrid w:val="0"/>
                    <w:jc w:val="cente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rPr>
                    <w:t>采用低噪设备，做好</w:t>
                  </w:r>
                  <w:r>
                    <w:rPr>
                      <w:rFonts w:hint="default" w:ascii="Times New Roman" w:hAnsi="Times New Roman" w:cs="Times New Roman"/>
                      <w:b w:val="0"/>
                      <w:bCs w:val="0"/>
                      <w:color w:val="auto"/>
                      <w:sz w:val="21"/>
                      <w:szCs w:val="21"/>
                      <w:highlight w:val="none"/>
                      <w:lang w:val="en-US" w:eastAsia="zh-CN"/>
                    </w:rPr>
                    <w:t>设备</w:t>
                  </w:r>
                  <w:r>
                    <w:rPr>
                      <w:rFonts w:hint="default" w:ascii="Times New Roman" w:hAnsi="Times New Roman" w:cs="Times New Roman"/>
                      <w:b w:val="0"/>
                      <w:bCs w:val="0"/>
                      <w:color w:val="auto"/>
                      <w:sz w:val="21"/>
                      <w:szCs w:val="21"/>
                      <w:highlight w:val="none"/>
                    </w:rPr>
                    <w:t>日常维护</w:t>
                  </w:r>
                  <w:r>
                    <w:rPr>
                      <w:rFonts w:hint="default" w:ascii="Times New Roman" w:hAnsi="Times New Roman" w:cs="Times New Roman"/>
                      <w:b w:val="0"/>
                      <w:bCs w:val="0"/>
                      <w:color w:val="auto"/>
                      <w:sz w:val="21"/>
                      <w:szCs w:val="21"/>
                      <w:highlight w:val="none"/>
                      <w:lang w:eastAsia="zh-CN"/>
                    </w:rPr>
                    <w:t>，安装减振设施。</w:t>
                  </w:r>
                </w:p>
              </w:tc>
              <w:tc>
                <w:tcPr>
                  <w:tcW w:w="2707" w:type="dxa"/>
                  <w:noWrap w:val="0"/>
                  <w:vAlign w:val="center"/>
                </w:tcPr>
                <w:p w14:paraId="5C085232">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left"/>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执行</w:t>
                  </w:r>
                  <w:r>
                    <w:rPr>
                      <w:rFonts w:hint="default" w:ascii="Times New Roman" w:hAnsi="Times New Roman" w:cs="Times New Roman"/>
                      <w:b w:val="0"/>
                      <w:bCs w:val="0"/>
                      <w:color w:val="auto"/>
                      <w:sz w:val="21"/>
                      <w:szCs w:val="21"/>
                      <w:highlight w:val="none"/>
                    </w:rPr>
                    <w:t>《工业企业</w:t>
                  </w:r>
                  <w:r>
                    <w:rPr>
                      <w:rFonts w:hint="default" w:ascii="Times New Roman" w:hAnsi="Times New Roman" w:cs="Times New Roman"/>
                      <w:b w:val="0"/>
                      <w:bCs w:val="0"/>
                      <w:color w:val="auto"/>
                      <w:sz w:val="21"/>
                      <w:szCs w:val="21"/>
                      <w:highlight w:val="none"/>
                      <w:lang w:eastAsia="zh-CN"/>
                    </w:rPr>
                    <w:t>厂</w:t>
                  </w:r>
                  <w:r>
                    <w:rPr>
                      <w:rFonts w:hint="default" w:ascii="Times New Roman" w:hAnsi="Times New Roman" w:cs="Times New Roman"/>
                      <w:b w:val="0"/>
                      <w:bCs w:val="0"/>
                      <w:color w:val="auto"/>
                      <w:sz w:val="21"/>
                      <w:szCs w:val="21"/>
                      <w:highlight w:val="none"/>
                    </w:rPr>
                    <w:t>界环境</w:t>
                  </w:r>
                </w:p>
                <w:p w14:paraId="5C4A3529">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rPr>
                    <w:t>噪声排放标准》</w:t>
                  </w:r>
                  <w:r>
                    <w:rPr>
                      <w:rFonts w:hint="eastAsia"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GB</w:t>
                  </w:r>
                  <w:r>
                    <w:rPr>
                      <w:rFonts w:hint="default" w:ascii="Times New Roman" w:hAnsi="Times New Roman" w:cs="Times New Roman"/>
                      <w:b w:val="0"/>
                      <w:bCs w:val="0"/>
                      <w:color w:val="auto"/>
                      <w:sz w:val="21"/>
                      <w:szCs w:val="21"/>
                      <w:highlight w:val="none"/>
                      <w:lang w:val="en-US" w:eastAsia="zh-CN"/>
                    </w:rPr>
                    <w:t>12348</w:t>
                  </w:r>
                </w:p>
                <w:p w14:paraId="47B80784">
                  <w:pPr>
                    <w:snapToGrid w:val="0"/>
                    <w:jc w:val="center"/>
                    <w:rPr>
                      <w:rFonts w:hint="default" w:ascii="Times New Roman" w:hAnsi="Times New Roman" w:cs="Times New Roman"/>
                      <w:b w:val="0"/>
                      <w:bCs w:val="0"/>
                      <w:color w:val="auto"/>
                      <w:kern w:val="0"/>
                      <w:sz w:val="21"/>
                      <w:szCs w:val="21"/>
                      <w:highlight w:val="none"/>
                      <w:lang w:val="en-US" w:eastAsia="zh-CN" w:bidi="ar"/>
                    </w:rPr>
                  </w:pPr>
                  <w:r>
                    <w:rPr>
                      <w:rFonts w:hint="default" w:ascii="Times New Roman" w:hAnsi="Times New Roman" w:cs="Times New Roman"/>
                      <w:b w:val="0"/>
                      <w:bCs w:val="0"/>
                      <w:color w:val="auto"/>
                      <w:sz w:val="21"/>
                      <w:szCs w:val="21"/>
                      <w:highlight w:val="none"/>
                    </w:rPr>
                    <w:t>-2008）</w:t>
                  </w:r>
                  <w:r>
                    <w:rPr>
                      <w:rFonts w:hint="default" w:ascii="Times New Roman" w:hAnsi="Times New Roman" w:cs="Times New Roman"/>
                      <w:b w:val="0"/>
                      <w:bCs w:val="0"/>
                      <w:color w:val="auto"/>
                      <w:sz w:val="21"/>
                      <w:szCs w:val="21"/>
                      <w:highlight w:val="none"/>
                      <w:lang w:val="en-US" w:eastAsia="zh-CN"/>
                    </w:rPr>
                    <w:t>2</w:t>
                  </w:r>
                  <w:r>
                    <w:rPr>
                      <w:rFonts w:hint="default" w:ascii="Times New Roman" w:hAnsi="Times New Roman" w:cs="Times New Roman"/>
                      <w:b w:val="0"/>
                      <w:bCs w:val="0"/>
                      <w:color w:val="auto"/>
                      <w:sz w:val="21"/>
                      <w:szCs w:val="21"/>
                      <w:highlight w:val="none"/>
                    </w:rPr>
                    <w:t>类标准要求</w:t>
                  </w:r>
                </w:p>
              </w:tc>
            </w:tr>
            <w:tr w14:paraId="2BDF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Merge w:val="continue"/>
                  <w:noWrap w:val="0"/>
                  <w:vAlign w:val="center"/>
                </w:tcPr>
                <w:p w14:paraId="37A6DCAC">
                  <w:pPr>
                    <w:keepNext w:val="0"/>
                    <w:keepLines w:val="0"/>
                    <w:widowControl/>
                    <w:suppressLineNumbers w:val="0"/>
                    <w:spacing w:line="240" w:lineRule="auto"/>
                    <w:jc w:val="center"/>
                    <w:rPr>
                      <w:rFonts w:hint="default" w:ascii="Times New Roman" w:hAnsi="Times New Roman" w:cs="Times New Roman"/>
                      <w:b w:val="0"/>
                      <w:bCs w:val="0"/>
                      <w:color w:val="auto"/>
                      <w:kern w:val="0"/>
                      <w:sz w:val="21"/>
                      <w:szCs w:val="21"/>
                      <w:highlight w:val="none"/>
                      <w:lang w:val="en-US" w:eastAsia="zh-CN"/>
                    </w:rPr>
                  </w:pPr>
                </w:p>
              </w:tc>
              <w:tc>
                <w:tcPr>
                  <w:tcW w:w="1076" w:type="dxa"/>
                  <w:noWrap w:val="0"/>
                  <w:vAlign w:val="center"/>
                </w:tcPr>
                <w:p w14:paraId="33F656AB">
                  <w:pPr>
                    <w:keepNext w:val="0"/>
                    <w:keepLines w:val="0"/>
                    <w:widowControl/>
                    <w:suppressLineNumbers w:val="0"/>
                    <w:spacing w:line="240" w:lineRule="auto"/>
                    <w:ind w:firstLine="210" w:firstLineChars="100"/>
                    <w:jc w:val="left"/>
                    <w:rPr>
                      <w:rFonts w:hint="default" w:ascii="Times New Roman" w:hAnsi="Times New Roman"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固废</w:t>
                  </w:r>
                </w:p>
              </w:tc>
              <w:tc>
                <w:tcPr>
                  <w:tcW w:w="3511" w:type="dxa"/>
                  <w:noWrap w:val="0"/>
                  <w:vAlign w:val="center"/>
                </w:tcPr>
                <w:p w14:paraId="30BF734B">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pacing w:val="0"/>
                      <w:sz w:val="21"/>
                      <w:szCs w:val="21"/>
                      <w:highlight w:val="none"/>
                      <w:lang w:val="en-US" w:eastAsia="zh-CN"/>
                    </w:rPr>
                    <w:t>排泥水做一般固废交</w:t>
                  </w:r>
                  <w:r>
                    <w:rPr>
                      <w:rFonts w:hint="default" w:ascii="Times New Roman" w:hAnsi="Times New Roman" w:eastAsia="宋体" w:cs="Times New Roman"/>
                      <w:b w:val="0"/>
                      <w:bCs w:val="0"/>
                      <w:color w:val="auto"/>
                      <w:spacing w:val="0"/>
                      <w:sz w:val="21"/>
                      <w:szCs w:val="21"/>
                      <w:highlight w:val="none"/>
                    </w:rPr>
                    <w:t>环卫部门统一收集处置</w:t>
                  </w:r>
                  <w:r>
                    <w:rPr>
                      <w:rFonts w:hint="default" w:ascii="Times New Roman" w:hAnsi="Times New Roman" w:cs="Times New Roman"/>
                      <w:b w:val="0"/>
                      <w:bCs w:val="0"/>
                      <w:color w:val="auto"/>
                      <w:spacing w:val="0"/>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管线、闸站等检修过程中产生更换零件等固废，经统一收集后做一般固废处理，不外排</w:t>
                  </w:r>
                </w:p>
              </w:tc>
              <w:tc>
                <w:tcPr>
                  <w:tcW w:w="2707" w:type="dxa"/>
                  <w:noWrap w:val="0"/>
                  <w:vAlign w:val="center"/>
                </w:tcPr>
                <w:p w14:paraId="06EA9C56">
                  <w:pPr>
                    <w:snapToGrid w:val="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及时清运处置</w:t>
                  </w:r>
                </w:p>
              </w:tc>
            </w:tr>
          </w:tbl>
          <w:p w14:paraId="79950D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2、与排污许可制度的衔接</w:t>
            </w:r>
          </w:p>
          <w:p w14:paraId="7F04369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依据国务院办公厅关于印发《控制污染物排放许可制实施方案》的通知</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国办发【2016】81 号）中相关要求，环境影响评价制度是建设项目的环境准入门槛，排污许可制是企事业单位生产运营期排污的法律依据，必须做好充分衔接，实现从污染预防到污染治理和排放控制的全过程监管。新建项目必须在发生实际排污行为之前申领排污许可证，环境影响评价文件及批复中与污染物排放相关的主要内容应当纳入排污许可证。</w:t>
            </w:r>
          </w:p>
          <w:p w14:paraId="30B3663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根据《固定污染源排污许可分类管理名录</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2019年版）》</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生态环境部令第11号）及《关于做好固定污染源排污许可清理整顿和2020年排污许可发证登记工作的通知》</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环办环评函【2019】939号），本项目不在《固定污染源排污许可分类管理名录</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2019年版）》范围内，不纳入排污许可管理。</w:t>
            </w:r>
          </w:p>
          <w:p w14:paraId="014C70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3、监测内容及监测计划</w:t>
            </w:r>
          </w:p>
          <w:p w14:paraId="489C2B45">
            <w:pPr>
              <w:widowControl w:val="0"/>
              <w:numPr>
                <w:ilvl w:val="0"/>
                <w:numId w:val="0"/>
              </w:numPr>
              <w:spacing w:line="360" w:lineRule="auto"/>
              <w:ind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根据项目运行特点，针对</w:t>
            </w:r>
            <w:r>
              <w:rPr>
                <w:rFonts w:hint="default" w:ascii="Times New Roman" w:hAnsi="Times New Roman" w:cs="Times New Roman"/>
                <w:b w:val="0"/>
                <w:bCs w:val="0"/>
                <w:color w:val="auto"/>
                <w:sz w:val="24"/>
                <w:szCs w:val="24"/>
                <w:lang w:eastAsia="zh-CN"/>
              </w:rPr>
              <w:t>工程</w:t>
            </w:r>
            <w:r>
              <w:rPr>
                <w:rFonts w:hint="default" w:ascii="Times New Roman" w:hAnsi="Times New Roman" w:cs="Times New Roman"/>
                <w:b w:val="0"/>
                <w:bCs w:val="0"/>
                <w:color w:val="auto"/>
                <w:sz w:val="24"/>
                <w:szCs w:val="24"/>
                <w:lang w:val="en-US" w:eastAsia="zh-CN"/>
              </w:rPr>
              <w:t>中</w:t>
            </w:r>
            <w:r>
              <w:rPr>
                <w:rFonts w:hint="default" w:ascii="Times New Roman" w:hAnsi="Times New Roman" w:eastAsia="宋体" w:cs="Times New Roman"/>
                <w:color w:val="auto"/>
                <w:sz w:val="24"/>
                <w:szCs w:val="24"/>
                <w:lang w:val="en-US" w:eastAsia="zh-CN"/>
              </w:rPr>
              <w:t>运营期监测计划建议如下：</w:t>
            </w:r>
          </w:p>
          <w:p w14:paraId="72D3E9E0">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表5</w:t>
            </w:r>
            <w:r>
              <w:rPr>
                <w:rFonts w:hint="eastAsia" w:ascii="Times New Roman" w:hAnsi="Times New Roman" w:cs="Times New Roman"/>
                <w:b/>
                <w:bCs/>
                <w:color w:val="auto"/>
                <w:sz w:val="24"/>
                <w:szCs w:val="24"/>
                <w:lang w:val="en-US" w:eastAsia="zh-CN"/>
              </w:rPr>
              <w:t>-5</w:t>
            </w:r>
            <w:r>
              <w:rPr>
                <w:rFonts w:hint="default" w:ascii="Times New Roman" w:hAnsi="Times New Roman" w:eastAsia="宋体" w:cs="Times New Roman"/>
                <w:b/>
                <w:bCs/>
                <w:color w:val="auto"/>
                <w:sz w:val="24"/>
                <w:szCs w:val="24"/>
                <w:lang w:val="en-US" w:eastAsia="zh-CN"/>
              </w:rPr>
              <w:t xml:space="preserve">    本项目</w:t>
            </w:r>
            <w:r>
              <w:rPr>
                <w:rFonts w:hint="default" w:ascii="Times New Roman" w:hAnsi="Times New Roman" w:cs="Times New Roman"/>
                <w:b/>
                <w:bCs/>
                <w:color w:val="auto"/>
                <w:sz w:val="24"/>
                <w:szCs w:val="24"/>
                <w:lang w:val="en-US" w:eastAsia="zh-CN"/>
              </w:rPr>
              <w:t>竣工环保验收监测</w:t>
            </w:r>
            <w:r>
              <w:rPr>
                <w:rFonts w:hint="default" w:ascii="Times New Roman" w:hAnsi="Times New Roman" w:eastAsia="宋体" w:cs="Times New Roman"/>
                <w:b/>
                <w:bCs/>
                <w:color w:val="auto"/>
                <w:sz w:val="24"/>
                <w:szCs w:val="24"/>
                <w:lang w:val="en-US" w:eastAsia="zh-CN"/>
              </w:rPr>
              <w:t>一览表</w:t>
            </w:r>
          </w:p>
          <w:tbl>
            <w:tblPr>
              <w:tblStyle w:val="27"/>
              <w:tblW w:w="8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652"/>
              <w:gridCol w:w="1540"/>
              <w:gridCol w:w="2136"/>
              <w:gridCol w:w="1956"/>
              <w:gridCol w:w="966"/>
            </w:tblGrid>
            <w:tr w14:paraId="4EE1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75" w:type="dxa"/>
                  <w:noWrap w:val="0"/>
                  <w:vAlign w:val="center"/>
                </w:tcPr>
                <w:p w14:paraId="77C7059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时段</w:t>
                  </w:r>
                </w:p>
              </w:tc>
              <w:tc>
                <w:tcPr>
                  <w:tcW w:w="652" w:type="dxa"/>
                  <w:noWrap w:val="0"/>
                  <w:vAlign w:val="center"/>
                </w:tcPr>
                <w:p w14:paraId="45D9C80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监测项目</w:t>
                  </w:r>
                </w:p>
              </w:tc>
              <w:tc>
                <w:tcPr>
                  <w:tcW w:w="1540" w:type="dxa"/>
                  <w:noWrap w:val="0"/>
                  <w:vAlign w:val="center"/>
                </w:tcPr>
                <w:p w14:paraId="7836BC88">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监测点位</w:t>
                  </w:r>
                </w:p>
              </w:tc>
              <w:tc>
                <w:tcPr>
                  <w:tcW w:w="2136" w:type="dxa"/>
                  <w:noWrap w:val="0"/>
                  <w:vAlign w:val="center"/>
                </w:tcPr>
                <w:p w14:paraId="48001521">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监测因子</w:t>
                  </w:r>
                </w:p>
              </w:tc>
              <w:tc>
                <w:tcPr>
                  <w:tcW w:w="1956" w:type="dxa"/>
                  <w:noWrap w:val="0"/>
                  <w:vAlign w:val="center"/>
                </w:tcPr>
                <w:p w14:paraId="42247F8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监测频率</w:t>
                  </w:r>
                </w:p>
              </w:tc>
              <w:tc>
                <w:tcPr>
                  <w:tcW w:w="966" w:type="dxa"/>
                  <w:noWrap w:val="0"/>
                  <w:vAlign w:val="center"/>
                </w:tcPr>
                <w:p w14:paraId="3A0A0D48">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监测机构</w:t>
                  </w:r>
                </w:p>
              </w:tc>
            </w:tr>
            <w:tr w14:paraId="77F4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975" w:type="dxa"/>
                  <w:noWrap w:val="0"/>
                  <w:vAlign w:val="center"/>
                </w:tcPr>
                <w:p w14:paraId="047BEDD2">
                  <w:pPr>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highlight w:val="none"/>
                    </w:rPr>
                    <w:t>项目竣工验收环境监测</w:t>
                  </w:r>
                </w:p>
              </w:tc>
              <w:tc>
                <w:tcPr>
                  <w:tcW w:w="652" w:type="dxa"/>
                  <w:noWrap w:val="0"/>
                  <w:vAlign w:val="center"/>
                </w:tcPr>
                <w:p w14:paraId="4F30DE8B">
                  <w:pPr>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噪声</w:t>
                  </w:r>
                </w:p>
              </w:tc>
              <w:tc>
                <w:tcPr>
                  <w:tcW w:w="1540" w:type="dxa"/>
                  <w:noWrap w:val="0"/>
                  <w:vAlign w:val="center"/>
                </w:tcPr>
                <w:p w14:paraId="3AFFEDDC">
                  <w:pPr>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highlight w:val="none"/>
                      <w:lang w:val="en-US" w:eastAsia="zh-CN"/>
                    </w:rPr>
                    <w:t>泵站厂界</w:t>
                  </w:r>
                </w:p>
              </w:tc>
              <w:tc>
                <w:tcPr>
                  <w:tcW w:w="2136" w:type="dxa"/>
                  <w:noWrap w:val="0"/>
                  <w:vAlign w:val="center"/>
                </w:tcPr>
                <w:p w14:paraId="4E081471">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等效连续A声级</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highlight w:val="none"/>
                    </w:rPr>
                    <w:t>噪声</w:t>
                  </w:r>
                  <w:r>
                    <w:rPr>
                      <w:rFonts w:hint="default" w:ascii="Times New Roman" w:hAnsi="Times New Roman" w:cs="Times New Roman"/>
                      <w:color w:val="auto"/>
                      <w:highlight w:val="none"/>
                      <w:lang w:eastAsia="zh-CN"/>
                    </w:rPr>
                    <w:t>）</w:t>
                  </w:r>
                </w:p>
              </w:tc>
              <w:tc>
                <w:tcPr>
                  <w:tcW w:w="1956" w:type="dxa"/>
                  <w:noWrap w:val="0"/>
                  <w:vAlign w:val="center"/>
                </w:tcPr>
                <w:p w14:paraId="2B12AFC4">
                  <w:pPr>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仅竣工验收时</w:t>
                  </w:r>
                  <w:r>
                    <w:rPr>
                      <w:rFonts w:hint="default" w:ascii="Times New Roman" w:hAnsi="Times New Roman" w:cs="Times New Roman"/>
                      <w:color w:val="auto"/>
                      <w:highlight w:val="none"/>
                    </w:rPr>
                    <w:t>监测一次，一般不少于连续2昼夜</w:t>
                  </w:r>
                  <w:r>
                    <w:rPr>
                      <w:rFonts w:hint="eastAsia" w:ascii="Times New Roman" w:hAnsi="Times New Roman" w:cs="Times New Roman"/>
                      <w:color w:val="auto"/>
                      <w:highlight w:val="none"/>
                      <w:lang w:eastAsia="zh-CN"/>
                    </w:rPr>
                    <w:t>（</w:t>
                  </w:r>
                  <w:r>
                    <w:rPr>
                      <w:rFonts w:hint="default" w:ascii="Times New Roman" w:hAnsi="Times New Roman" w:cs="Times New Roman"/>
                      <w:color w:val="auto"/>
                      <w:sz w:val="21"/>
                      <w:szCs w:val="21"/>
                      <w:highlight w:val="none"/>
                    </w:rPr>
                    <w:t>厂界噪声监测一般不少于2天，每天不少于昼夜各1次）</w:t>
                  </w:r>
                </w:p>
              </w:tc>
              <w:tc>
                <w:tcPr>
                  <w:tcW w:w="966" w:type="dxa"/>
                  <w:noWrap w:val="0"/>
                  <w:vAlign w:val="center"/>
                </w:tcPr>
                <w:p w14:paraId="76E2AF9F">
                  <w:pPr>
                    <w:spacing w:line="240" w:lineRule="auto"/>
                    <w:ind w:firstLine="0" w:firstLineChars="0"/>
                    <w:jc w:val="center"/>
                    <w:rPr>
                      <w:rFonts w:hint="default" w:ascii="Times New Roman" w:hAnsi="Times New Roman" w:cs="Times New Roman"/>
                      <w:bCs/>
                      <w:color w:val="auto"/>
                      <w:highlight w:val="none"/>
                      <w:lang w:eastAsia="zh-CN"/>
                    </w:rPr>
                  </w:pPr>
                  <w:r>
                    <w:rPr>
                      <w:rFonts w:hint="default" w:ascii="Times New Roman" w:hAnsi="Times New Roman" w:cs="Times New Roman"/>
                      <w:bCs/>
                      <w:color w:val="auto"/>
                      <w:highlight w:val="none"/>
                    </w:rPr>
                    <w:t>有资质的监测</w:t>
                  </w:r>
                  <w:r>
                    <w:rPr>
                      <w:rFonts w:hint="default" w:ascii="Times New Roman" w:hAnsi="Times New Roman" w:cs="Times New Roman"/>
                      <w:bCs/>
                      <w:color w:val="auto"/>
                      <w:highlight w:val="none"/>
                      <w:lang w:eastAsia="zh-CN"/>
                    </w:rPr>
                    <w:t>机构</w:t>
                  </w:r>
                </w:p>
              </w:tc>
            </w:tr>
          </w:tbl>
          <w:p w14:paraId="6C0E58F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0000FF"/>
                <w:sz w:val="24"/>
                <w:szCs w:val="24"/>
                <w:highlight w:val="none"/>
                <w:lang w:val="en-US" w:eastAsia="zh-CN"/>
              </w:rPr>
            </w:pPr>
          </w:p>
        </w:tc>
      </w:tr>
      <w:tr w14:paraId="0F47A6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1" w:hRule="atLeast"/>
          <w:jc w:val="center"/>
        </w:trPr>
        <w:tc>
          <w:tcPr>
            <w:tcW w:w="389" w:type="pct"/>
            <w:noWrap w:val="0"/>
            <w:vAlign w:val="center"/>
          </w:tcPr>
          <w:p w14:paraId="589C8E85">
            <w:pPr>
              <w:adjustRightInd w:val="0"/>
              <w:snapToGrid w:val="0"/>
              <w:jc w:val="center"/>
              <w:rPr>
                <w:rFonts w:hint="default" w:ascii="Times New Roman" w:hAnsi="Times New Roman" w:cs="Times New Roman"/>
                <w:b/>
                <w:bCs w:val="0"/>
                <w:color w:val="auto"/>
                <w:spacing w:val="10"/>
                <w:sz w:val="24"/>
                <w:szCs w:val="24"/>
              </w:rPr>
            </w:pPr>
            <w:r>
              <w:rPr>
                <w:rFonts w:hint="default" w:ascii="Times New Roman" w:hAnsi="Times New Roman" w:cs="Times New Roman"/>
                <w:b/>
                <w:bCs w:val="0"/>
                <w:color w:val="auto"/>
                <w:sz w:val="24"/>
                <w:szCs w:val="24"/>
              </w:rPr>
              <w:t>环保投资</w:t>
            </w:r>
          </w:p>
        </w:tc>
        <w:tc>
          <w:tcPr>
            <w:tcW w:w="4610" w:type="pct"/>
            <w:noWrap w:val="0"/>
            <w:vAlign w:val="top"/>
          </w:tcPr>
          <w:p w14:paraId="430AE8E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本项目建设总投资</w:t>
            </w:r>
            <w:r>
              <w:rPr>
                <w:rFonts w:hint="default" w:ascii="Times New Roman" w:hAnsi="Times New Roman" w:cs="Times New Roman"/>
                <w:color w:val="auto"/>
                <w:sz w:val="24"/>
                <w:szCs w:val="24"/>
                <w:highlight w:val="none"/>
                <w:lang w:val="en-US" w:eastAsia="zh-CN"/>
              </w:rPr>
              <w:t>13246.94</w:t>
            </w:r>
            <w:r>
              <w:rPr>
                <w:rFonts w:hint="default" w:ascii="Times New Roman" w:hAnsi="Times New Roman" w:eastAsia="宋体" w:cs="Times New Roman"/>
                <w:b w:val="0"/>
                <w:bCs w:val="0"/>
                <w:color w:val="auto"/>
                <w:sz w:val="24"/>
                <w:szCs w:val="24"/>
                <w:highlight w:val="none"/>
                <w:lang w:val="en-US" w:eastAsia="zh-CN"/>
              </w:rPr>
              <w:t>万元，环保投资</w:t>
            </w:r>
            <w:r>
              <w:rPr>
                <w:rFonts w:hint="eastAsia" w:ascii="Times New Roman" w:hAnsi="Times New Roman" w:cs="Times New Roman"/>
                <w:b w:val="0"/>
                <w:bCs w:val="0"/>
                <w:color w:val="auto"/>
                <w:sz w:val="24"/>
                <w:szCs w:val="24"/>
                <w:highlight w:val="none"/>
                <w:lang w:val="en-US" w:eastAsia="zh-CN"/>
              </w:rPr>
              <w:t>507</w:t>
            </w:r>
            <w:r>
              <w:rPr>
                <w:rFonts w:hint="default" w:ascii="Times New Roman" w:hAnsi="Times New Roman" w:eastAsia="宋体" w:cs="Times New Roman"/>
                <w:b w:val="0"/>
                <w:bCs w:val="0"/>
                <w:color w:val="auto"/>
                <w:sz w:val="24"/>
                <w:szCs w:val="24"/>
                <w:highlight w:val="none"/>
                <w:lang w:val="en-US" w:eastAsia="zh-CN"/>
              </w:rPr>
              <w:t>万元，占总投资的</w:t>
            </w:r>
            <w:r>
              <w:rPr>
                <w:rFonts w:hint="eastAsia" w:ascii="Times New Roman" w:hAnsi="Times New Roman" w:cs="Times New Roman"/>
                <w:b w:val="0"/>
                <w:bCs w:val="0"/>
                <w:color w:val="auto"/>
                <w:sz w:val="24"/>
                <w:szCs w:val="24"/>
                <w:highlight w:val="none"/>
                <w:lang w:val="en-US" w:eastAsia="zh-CN"/>
              </w:rPr>
              <w:t>3.83</w:t>
            </w:r>
            <w:r>
              <w:rPr>
                <w:rFonts w:hint="default" w:ascii="Times New Roman" w:hAnsi="Times New Roman" w:eastAsia="宋体" w:cs="Times New Roman"/>
                <w:b w:val="0"/>
                <w:bCs w:val="0"/>
                <w:color w:val="auto"/>
                <w:sz w:val="24"/>
                <w:szCs w:val="24"/>
                <w:highlight w:val="none"/>
                <w:lang w:val="en-US" w:eastAsia="zh-CN"/>
              </w:rPr>
              <w:t>%，见下表。</w:t>
            </w:r>
          </w:p>
          <w:p w14:paraId="29A276C8">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表5-</w:t>
            </w:r>
            <w:r>
              <w:rPr>
                <w:rFonts w:hint="eastAsia" w:ascii="Times New Roman" w:hAnsi="Times New Roman" w:cs="Times New Roman"/>
                <w:b/>
                <w:bCs/>
                <w:color w:val="auto"/>
                <w:sz w:val="24"/>
                <w:szCs w:val="24"/>
                <w:lang w:val="en-US" w:eastAsia="zh-CN"/>
              </w:rPr>
              <w:t>6</w:t>
            </w:r>
            <w:r>
              <w:rPr>
                <w:rFonts w:hint="default" w:ascii="Times New Roman" w:hAnsi="Times New Roman" w:eastAsia="宋体" w:cs="Times New Roman"/>
                <w:b/>
                <w:bCs/>
                <w:color w:val="auto"/>
                <w:sz w:val="24"/>
                <w:szCs w:val="24"/>
                <w:lang w:val="en-US" w:eastAsia="zh-CN"/>
              </w:rPr>
              <w:t xml:space="preserve">    本项目环保投资一览表</w:t>
            </w:r>
          </w:p>
          <w:tbl>
            <w:tblPr>
              <w:tblStyle w:val="26"/>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3602"/>
              <w:gridCol w:w="1085"/>
              <w:gridCol w:w="2967"/>
            </w:tblGrid>
            <w:tr w14:paraId="2A95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7" w:type="dxa"/>
                  <w:tcBorders>
                    <w:tl2br w:val="nil"/>
                    <w:tr2bl w:val="nil"/>
                  </w:tcBorders>
                  <w:noWrap w:val="0"/>
                  <w:vAlign w:val="center"/>
                </w:tcPr>
                <w:p w14:paraId="48BF03A7">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序号</w:t>
                  </w:r>
                </w:p>
              </w:tc>
              <w:tc>
                <w:tcPr>
                  <w:tcW w:w="3602" w:type="dxa"/>
                  <w:tcBorders>
                    <w:tl2br w:val="nil"/>
                    <w:tr2bl w:val="nil"/>
                  </w:tcBorders>
                  <w:noWrap w:val="0"/>
                  <w:vAlign w:val="center"/>
                </w:tcPr>
                <w:p w14:paraId="4ABEDE03">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内容</w:t>
                  </w:r>
                </w:p>
              </w:tc>
              <w:tc>
                <w:tcPr>
                  <w:tcW w:w="1085" w:type="dxa"/>
                  <w:tcBorders>
                    <w:tl2br w:val="nil"/>
                    <w:tr2bl w:val="nil"/>
                  </w:tcBorders>
                  <w:noWrap w:val="0"/>
                  <w:vAlign w:val="center"/>
                </w:tcPr>
                <w:p w14:paraId="045B0C99">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环保投资</w:t>
                  </w:r>
                  <w:r>
                    <w:rPr>
                      <w:rFonts w:hint="eastAsia" w:ascii="Times New Roman" w:hAnsi="Times New Roman" w:cs="Times New Roman"/>
                      <w:color w:val="auto"/>
                      <w:sz w:val="21"/>
                      <w:szCs w:val="24"/>
                      <w:lang w:eastAsia="zh-CN"/>
                    </w:rPr>
                    <w:t>（</w:t>
                  </w:r>
                  <w:r>
                    <w:rPr>
                      <w:rFonts w:hint="default" w:ascii="Times New Roman" w:hAnsi="Times New Roman" w:eastAsia="宋体" w:cs="Times New Roman"/>
                      <w:color w:val="auto"/>
                      <w:sz w:val="21"/>
                      <w:szCs w:val="24"/>
                    </w:rPr>
                    <w:t>万元）</w:t>
                  </w:r>
                </w:p>
              </w:tc>
              <w:tc>
                <w:tcPr>
                  <w:tcW w:w="2967" w:type="dxa"/>
                  <w:tcBorders>
                    <w:tl2br w:val="nil"/>
                    <w:tr2bl w:val="nil"/>
                  </w:tcBorders>
                  <w:noWrap w:val="0"/>
                  <w:vAlign w:val="center"/>
                </w:tcPr>
                <w:p w14:paraId="2523A548">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备注</w:t>
                  </w:r>
                </w:p>
              </w:tc>
            </w:tr>
            <w:tr w14:paraId="18A9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09" w:type="dxa"/>
                  <w:gridSpan w:val="2"/>
                  <w:tcBorders>
                    <w:tl2br w:val="nil"/>
                    <w:tr2bl w:val="nil"/>
                  </w:tcBorders>
                  <w:noWrap w:val="0"/>
                  <w:vAlign w:val="center"/>
                </w:tcPr>
                <w:p w14:paraId="55E5C1CE">
                  <w:pPr>
                    <w:spacing w:beforeLines="0" w:afterLines="0"/>
                    <w:jc w:val="both"/>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一、生态环境保护</w:t>
                  </w:r>
                </w:p>
              </w:tc>
              <w:tc>
                <w:tcPr>
                  <w:tcW w:w="1085" w:type="dxa"/>
                  <w:tcBorders>
                    <w:tl2br w:val="nil"/>
                    <w:tr2bl w:val="nil"/>
                  </w:tcBorders>
                  <w:noWrap w:val="0"/>
                  <w:vAlign w:val="center"/>
                </w:tcPr>
                <w:p w14:paraId="3A36A407">
                  <w:pPr>
                    <w:spacing w:beforeLines="0" w:afterLines="0"/>
                    <w:jc w:val="center"/>
                    <w:rPr>
                      <w:rFonts w:hint="default" w:ascii="Times New Roman" w:hAnsi="Times New Roman" w:eastAsia="宋体" w:cs="Times New Roman"/>
                      <w:color w:val="auto"/>
                      <w:sz w:val="21"/>
                      <w:szCs w:val="24"/>
                      <w:lang w:val="en-US" w:eastAsia="zh-CN"/>
                    </w:rPr>
                  </w:pPr>
                  <w:r>
                    <w:rPr>
                      <w:rFonts w:hint="eastAsia" w:ascii="Times New Roman" w:hAnsi="Times New Roman" w:cs="Times New Roman"/>
                      <w:b/>
                      <w:color w:val="auto"/>
                      <w:sz w:val="21"/>
                      <w:szCs w:val="24"/>
                      <w:lang w:val="en-US" w:eastAsia="zh-CN"/>
                    </w:rPr>
                    <w:t>2</w:t>
                  </w:r>
                  <w:r>
                    <w:rPr>
                      <w:rFonts w:hint="default" w:ascii="Times New Roman" w:hAnsi="Times New Roman" w:eastAsia="宋体" w:cs="Times New Roman"/>
                      <w:b/>
                      <w:color w:val="auto"/>
                      <w:sz w:val="21"/>
                      <w:szCs w:val="24"/>
                      <w:lang w:val="en-US" w:eastAsia="zh-CN"/>
                    </w:rPr>
                    <w:t>20</w:t>
                  </w:r>
                </w:p>
              </w:tc>
              <w:tc>
                <w:tcPr>
                  <w:tcW w:w="2967" w:type="dxa"/>
                  <w:tcBorders>
                    <w:tl2br w:val="nil"/>
                    <w:tr2bl w:val="nil"/>
                  </w:tcBorders>
                  <w:noWrap w:val="0"/>
                  <w:vAlign w:val="center"/>
                </w:tcPr>
                <w:p w14:paraId="4BF34B2F">
                  <w:pPr>
                    <w:spacing w:beforeLines="0" w:afterLines="0"/>
                    <w:jc w:val="center"/>
                    <w:rPr>
                      <w:rFonts w:hint="default" w:ascii="Times New Roman" w:hAnsi="Times New Roman" w:cs="Times New Roman"/>
                      <w:color w:val="auto"/>
                      <w:sz w:val="24"/>
                      <w:szCs w:val="24"/>
                    </w:rPr>
                  </w:pPr>
                </w:p>
              </w:tc>
            </w:tr>
            <w:tr w14:paraId="1ABB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7" w:type="dxa"/>
                  <w:tcBorders>
                    <w:tl2br w:val="nil"/>
                    <w:tr2bl w:val="nil"/>
                  </w:tcBorders>
                  <w:noWrap w:val="0"/>
                  <w:vAlign w:val="center"/>
                </w:tcPr>
                <w:p w14:paraId="7B7EEDFB">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1</w:t>
                  </w:r>
                </w:p>
              </w:tc>
              <w:tc>
                <w:tcPr>
                  <w:tcW w:w="3602" w:type="dxa"/>
                  <w:tcBorders>
                    <w:tl2br w:val="nil"/>
                    <w:tr2bl w:val="nil"/>
                  </w:tcBorders>
                  <w:noWrap w:val="0"/>
                  <w:vAlign w:val="center"/>
                </w:tcPr>
                <w:p w14:paraId="08542B47">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施工生产区、临时道路、施工区</w:t>
                  </w:r>
                </w:p>
                <w:p w14:paraId="6EF52499">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生态恢复</w:t>
                  </w:r>
                </w:p>
              </w:tc>
              <w:tc>
                <w:tcPr>
                  <w:tcW w:w="1085" w:type="dxa"/>
                  <w:tcBorders>
                    <w:tl2br w:val="nil"/>
                    <w:tr2bl w:val="nil"/>
                  </w:tcBorders>
                  <w:noWrap w:val="0"/>
                  <w:vAlign w:val="center"/>
                </w:tcPr>
                <w:p w14:paraId="1B459D2E">
                  <w:pPr>
                    <w:spacing w:beforeLines="0" w:afterLines="0"/>
                    <w:jc w:val="center"/>
                    <w:rPr>
                      <w:rFonts w:hint="default" w:ascii="Times New Roman" w:hAnsi="Times New Roman" w:eastAsia="Times New Roman" w:cs="Times New Roman"/>
                      <w:color w:val="auto"/>
                      <w:sz w:val="21"/>
                      <w:szCs w:val="24"/>
                    </w:rPr>
                  </w:pPr>
                  <w:r>
                    <w:rPr>
                      <w:rFonts w:hint="eastAsia" w:ascii="Times New Roman" w:hAnsi="Times New Roman" w:cs="Times New Roman"/>
                      <w:color w:val="auto"/>
                      <w:sz w:val="21"/>
                      <w:szCs w:val="24"/>
                      <w:lang w:val="en-US" w:eastAsia="zh-CN"/>
                    </w:rPr>
                    <w:t>2</w:t>
                  </w:r>
                  <w:r>
                    <w:rPr>
                      <w:rFonts w:hint="default" w:ascii="Times New Roman" w:hAnsi="Times New Roman" w:eastAsia="Times New Roman" w:cs="Times New Roman"/>
                      <w:color w:val="auto"/>
                      <w:sz w:val="21"/>
                      <w:szCs w:val="24"/>
                    </w:rPr>
                    <w:t>20</w:t>
                  </w:r>
                </w:p>
              </w:tc>
              <w:tc>
                <w:tcPr>
                  <w:tcW w:w="2967" w:type="dxa"/>
                  <w:tcBorders>
                    <w:tl2br w:val="nil"/>
                    <w:tr2bl w:val="nil"/>
                  </w:tcBorders>
                  <w:noWrap w:val="0"/>
                  <w:vAlign w:val="center"/>
                </w:tcPr>
                <w:p w14:paraId="3DB782AB">
                  <w:pPr>
                    <w:spacing w:beforeLines="0" w:afterLines="0"/>
                    <w:jc w:val="center"/>
                    <w:rPr>
                      <w:rFonts w:hint="default" w:ascii="Times New Roman" w:hAnsi="Times New Roman" w:cs="Times New Roman"/>
                      <w:color w:val="auto"/>
                      <w:sz w:val="24"/>
                      <w:szCs w:val="24"/>
                    </w:rPr>
                  </w:pPr>
                </w:p>
              </w:tc>
            </w:tr>
            <w:tr w14:paraId="42D0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09" w:type="dxa"/>
                  <w:gridSpan w:val="2"/>
                  <w:tcBorders>
                    <w:tl2br w:val="nil"/>
                    <w:tr2bl w:val="nil"/>
                  </w:tcBorders>
                  <w:noWrap w:val="0"/>
                  <w:vAlign w:val="center"/>
                </w:tcPr>
                <w:p w14:paraId="3BBD1BFA">
                  <w:pPr>
                    <w:spacing w:beforeLines="0" w:afterLines="0"/>
                    <w:jc w:val="both"/>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二、地表水污染防治</w:t>
                  </w:r>
                </w:p>
              </w:tc>
              <w:tc>
                <w:tcPr>
                  <w:tcW w:w="1085" w:type="dxa"/>
                  <w:tcBorders>
                    <w:tl2br w:val="nil"/>
                    <w:tr2bl w:val="nil"/>
                  </w:tcBorders>
                  <w:noWrap w:val="0"/>
                  <w:vAlign w:val="center"/>
                </w:tcPr>
                <w:p w14:paraId="768658A9">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b/>
                      <w:color w:val="auto"/>
                      <w:sz w:val="21"/>
                      <w:szCs w:val="24"/>
                      <w:lang w:val="en-US" w:eastAsia="zh-CN"/>
                    </w:rPr>
                    <w:t>43</w:t>
                  </w:r>
                </w:p>
              </w:tc>
              <w:tc>
                <w:tcPr>
                  <w:tcW w:w="2967" w:type="dxa"/>
                  <w:tcBorders>
                    <w:tl2br w:val="nil"/>
                    <w:tr2bl w:val="nil"/>
                  </w:tcBorders>
                  <w:noWrap w:val="0"/>
                  <w:vAlign w:val="center"/>
                </w:tcPr>
                <w:p w14:paraId="29642EC8">
                  <w:pPr>
                    <w:spacing w:beforeLines="0" w:afterLines="0"/>
                    <w:jc w:val="center"/>
                    <w:rPr>
                      <w:rFonts w:hint="default" w:ascii="Times New Roman" w:hAnsi="Times New Roman" w:cs="Times New Roman"/>
                      <w:color w:val="auto"/>
                      <w:sz w:val="24"/>
                      <w:szCs w:val="24"/>
                    </w:rPr>
                  </w:pPr>
                </w:p>
              </w:tc>
            </w:tr>
            <w:tr w14:paraId="43AE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7" w:type="dxa"/>
                  <w:tcBorders>
                    <w:tl2br w:val="nil"/>
                    <w:tr2bl w:val="nil"/>
                  </w:tcBorders>
                  <w:noWrap w:val="0"/>
                  <w:vAlign w:val="center"/>
                </w:tcPr>
                <w:p w14:paraId="67FA2B1B">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1</w:t>
                  </w:r>
                </w:p>
              </w:tc>
              <w:tc>
                <w:tcPr>
                  <w:tcW w:w="3602" w:type="dxa"/>
                  <w:tcBorders>
                    <w:tl2br w:val="nil"/>
                    <w:tr2bl w:val="nil"/>
                  </w:tcBorders>
                  <w:noWrap w:val="0"/>
                  <w:vAlign w:val="center"/>
                </w:tcPr>
                <w:p w14:paraId="41FD050D">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rPr>
                    <w:t>截排水沟</w:t>
                  </w:r>
                  <w:r>
                    <w:rPr>
                      <w:rFonts w:hint="default" w:ascii="Times New Roman" w:hAnsi="Times New Roman" w:eastAsia="宋体" w:cs="Times New Roman"/>
                      <w:color w:val="auto"/>
                      <w:sz w:val="21"/>
                      <w:szCs w:val="24"/>
                      <w:lang w:eastAsia="zh-CN"/>
                    </w:rPr>
                    <w:t>、</w:t>
                  </w:r>
                  <w:r>
                    <w:rPr>
                      <w:rFonts w:hint="default" w:ascii="Times New Roman" w:hAnsi="Times New Roman" w:eastAsia="宋体" w:cs="Times New Roman"/>
                      <w:color w:val="auto"/>
                      <w:sz w:val="21"/>
                      <w:szCs w:val="24"/>
                    </w:rPr>
                    <w:t>沉淀池</w:t>
                  </w:r>
                  <w:r>
                    <w:rPr>
                      <w:rFonts w:hint="default" w:ascii="Times New Roman" w:hAnsi="Times New Roman" w:eastAsia="宋体" w:cs="Times New Roman"/>
                      <w:color w:val="auto"/>
                      <w:sz w:val="21"/>
                      <w:szCs w:val="24"/>
                      <w:lang w:eastAsia="zh-CN"/>
                    </w:rPr>
                    <w:t>、</w:t>
                  </w:r>
                  <w:r>
                    <w:rPr>
                      <w:rFonts w:hint="default" w:ascii="Times New Roman" w:hAnsi="Times New Roman" w:eastAsia="宋体" w:cs="Times New Roman"/>
                      <w:color w:val="auto"/>
                      <w:sz w:val="21"/>
                      <w:szCs w:val="24"/>
                      <w:lang w:val="en-US" w:eastAsia="zh-CN"/>
                    </w:rPr>
                    <w:t>导流设施等</w:t>
                  </w:r>
                </w:p>
              </w:tc>
              <w:tc>
                <w:tcPr>
                  <w:tcW w:w="1085" w:type="dxa"/>
                  <w:tcBorders>
                    <w:tl2br w:val="nil"/>
                    <w:tr2bl w:val="nil"/>
                  </w:tcBorders>
                  <w:noWrap w:val="0"/>
                  <w:vAlign w:val="center"/>
                </w:tcPr>
                <w:p w14:paraId="17968F84">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宋体" w:cs="Times New Roman"/>
                      <w:color w:val="auto"/>
                      <w:sz w:val="21"/>
                      <w:szCs w:val="24"/>
                      <w:lang w:val="en-US" w:eastAsia="zh-CN"/>
                    </w:rPr>
                    <w:t>4</w:t>
                  </w:r>
                  <w:r>
                    <w:rPr>
                      <w:rFonts w:hint="default" w:ascii="Times New Roman" w:hAnsi="Times New Roman" w:eastAsia="Times New Roman" w:cs="Times New Roman"/>
                      <w:color w:val="auto"/>
                      <w:sz w:val="21"/>
                      <w:szCs w:val="24"/>
                    </w:rPr>
                    <w:t>3</w:t>
                  </w:r>
                </w:p>
              </w:tc>
              <w:tc>
                <w:tcPr>
                  <w:tcW w:w="2967" w:type="dxa"/>
                  <w:tcBorders>
                    <w:tl2br w:val="nil"/>
                    <w:tr2bl w:val="nil"/>
                  </w:tcBorders>
                  <w:noWrap w:val="0"/>
                  <w:vAlign w:val="center"/>
                </w:tcPr>
                <w:p w14:paraId="038A84B3">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设置在施工生产区内</w:t>
                  </w:r>
                </w:p>
              </w:tc>
            </w:tr>
            <w:tr w14:paraId="6E13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09" w:type="dxa"/>
                  <w:gridSpan w:val="2"/>
                  <w:tcBorders>
                    <w:tl2br w:val="nil"/>
                    <w:tr2bl w:val="nil"/>
                  </w:tcBorders>
                  <w:noWrap w:val="0"/>
                  <w:vAlign w:val="center"/>
                </w:tcPr>
                <w:p w14:paraId="48E16DF6">
                  <w:pPr>
                    <w:spacing w:beforeLines="0" w:afterLines="0"/>
                    <w:jc w:val="both"/>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三、大气污染防治</w:t>
                  </w:r>
                </w:p>
              </w:tc>
              <w:tc>
                <w:tcPr>
                  <w:tcW w:w="1085" w:type="dxa"/>
                  <w:tcBorders>
                    <w:tl2br w:val="nil"/>
                    <w:tr2bl w:val="nil"/>
                  </w:tcBorders>
                  <w:noWrap w:val="0"/>
                  <w:vAlign w:val="center"/>
                </w:tcPr>
                <w:p w14:paraId="6359FC8E">
                  <w:pPr>
                    <w:spacing w:beforeLines="0" w:afterLines="0"/>
                    <w:jc w:val="center"/>
                    <w:rPr>
                      <w:rFonts w:hint="default" w:ascii="Times New Roman" w:hAnsi="Times New Roman" w:eastAsia="Times New Roman" w:cs="Times New Roman"/>
                      <w:color w:val="auto"/>
                      <w:sz w:val="21"/>
                      <w:szCs w:val="24"/>
                    </w:rPr>
                  </w:pPr>
                  <w:r>
                    <w:rPr>
                      <w:rFonts w:hint="eastAsia" w:ascii="Times New Roman" w:hAnsi="Times New Roman" w:cs="Times New Roman"/>
                      <w:b/>
                      <w:color w:val="auto"/>
                      <w:sz w:val="21"/>
                      <w:szCs w:val="24"/>
                      <w:lang w:val="en-US" w:eastAsia="zh-CN"/>
                    </w:rPr>
                    <w:t>8</w:t>
                  </w:r>
                  <w:r>
                    <w:rPr>
                      <w:rFonts w:hint="default" w:ascii="Times New Roman" w:hAnsi="Times New Roman" w:eastAsia="Times New Roman" w:cs="Times New Roman"/>
                      <w:b/>
                      <w:color w:val="auto"/>
                      <w:sz w:val="21"/>
                      <w:szCs w:val="24"/>
                    </w:rPr>
                    <w:t>8</w:t>
                  </w:r>
                </w:p>
              </w:tc>
              <w:tc>
                <w:tcPr>
                  <w:tcW w:w="2967" w:type="dxa"/>
                  <w:tcBorders>
                    <w:tl2br w:val="nil"/>
                    <w:tr2bl w:val="nil"/>
                  </w:tcBorders>
                  <w:noWrap w:val="0"/>
                  <w:vAlign w:val="center"/>
                </w:tcPr>
                <w:p w14:paraId="4AF89B25">
                  <w:pPr>
                    <w:spacing w:beforeLines="0" w:afterLines="0"/>
                    <w:jc w:val="center"/>
                    <w:rPr>
                      <w:rFonts w:hint="default" w:ascii="Times New Roman" w:hAnsi="Times New Roman" w:cs="Times New Roman"/>
                      <w:color w:val="auto"/>
                      <w:sz w:val="24"/>
                      <w:szCs w:val="24"/>
                    </w:rPr>
                  </w:pPr>
                </w:p>
              </w:tc>
            </w:tr>
            <w:tr w14:paraId="3BEB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7" w:type="dxa"/>
                  <w:tcBorders>
                    <w:tl2br w:val="nil"/>
                    <w:tr2bl w:val="nil"/>
                  </w:tcBorders>
                  <w:noWrap w:val="0"/>
                  <w:vAlign w:val="center"/>
                </w:tcPr>
                <w:p w14:paraId="54FEF019">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1</w:t>
                  </w:r>
                </w:p>
              </w:tc>
              <w:tc>
                <w:tcPr>
                  <w:tcW w:w="3602" w:type="dxa"/>
                  <w:tcBorders>
                    <w:tl2br w:val="nil"/>
                    <w:tr2bl w:val="nil"/>
                  </w:tcBorders>
                  <w:noWrap w:val="0"/>
                  <w:vAlign w:val="center"/>
                </w:tcPr>
                <w:p w14:paraId="1A47F330">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施工区、施工生产区、施工临时道路等洒水措施</w:t>
                  </w:r>
                </w:p>
              </w:tc>
              <w:tc>
                <w:tcPr>
                  <w:tcW w:w="1085" w:type="dxa"/>
                  <w:tcBorders>
                    <w:tl2br w:val="nil"/>
                    <w:tr2bl w:val="nil"/>
                  </w:tcBorders>
                  <w:noWrap w:val="0"/>
                  <w:vAlign w:val="center"/>
                </w:tcPr>
                <w:p w14:paraId="24B2CBB7">
                  <w:pPr>
                    <w:spacing w:beforeLines="0" w:afterLines="0"/>
                    <w:jc w:val="center"/>
                    <w:rPr>
                      <w:rFonts w:hint="default" w:ascii="Times New Roman" w:hAnsi="Times New Roman" w:eastAsia="Times New Roman" w:cs="Times New Roman"/>
                      <w:color w:val="auto"/>
                      <w:sz w:val="21"/>
                      <w:szCs w:val="24"/>
                    </w:rPr>
                  </w:pPr>
                  <w:r>
                    <w:rPr>
                      <w:rFonts w:hint="eastAsia" w:ascii="Times New Roman" w:hAnsi="Times New Roman" w:cs="Times New Roman"/>
                      <w:color w:val="auto"/>
                      <w:sz w:val="21"/>
                      <w:szCs w:val="24"/>
                      <w:lang w:val="en-US" w:eastAsia="zh-CN"/>
                    </w:rPr>
                    <w:t>1</w:t>
                  </w:r>
                  <w:r>
                    <w:rPr>
                      <w:rFonts w:hint="default" w:ascii="Times New Roman" w:hAnsi="Times New Roman" w:eastAsia="Times New Roman" w:cs="Times New Roman"/>
                      <w:color w:val="auto"/>
                      <w:sz w:val="21"/>
                      <w:szCs w:val="24"/>
                    </w:rPr>
                    <w:t>5</w:t>
                  </w:r>
                </w:p>
              </w:tc>
              <w:tc>
                <w:tcPr>
                  <w:tcW w:w="2967" w:type="dxa"/>
                  <w:tcBorders>
                    <w:tl2br w:val="nil"/>
                    <w:tr2bl w:val="nil"/>
                  </w:tcBorders>
                  <w:noWrap w:val="0"/>
                  <w:vAlign w:val="center"/>
                </w:tcPr>
                <w:p w14:paraId="01D6C851">
                  <w:pPr>
                    <w:spacing w:beforeLines="0" w:afterLines="0"/>
                    <w:jc w:val="center"/>
                    <w:rPr>
                      <w:rFonts w:hint="default" w:ascii="Times New Roman" w:hAnsi="Times New Roman" w:cs="Times New Roman"/>
                      <w:color w:val="auto"/>
                      <w:sz w:val="24"/>
                      <w:szCs w:val="24"/>
                    </w:rPr>
                  </w:pPr>
                </w:p>
              </w:tc>
            </w:tr>
            <w:tr w14:paraId="5F47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7" w:type="dxa"/>
                  <w:tcBorders>
                    <w:tl2br w:val="nil"/>
                    <w:tr2bl w:val="nil"/>
                  </w:tcBorders>
                  <w:noWrap w:val="0"/>
                  <w:vAlign w:val="center"/>
                </w:tcPr>
                <w:p w14:paraId="5FA79B43">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2</w:t>
                  </w:r>
                </w:p>
              </w:tc>
              <w:tc>
                <w:tcPr>
                  <w:tcW w:w="3602" w:type="dxa"/>
                  <w:tcBorders>
                    <w:tl2br w:val="nil"/>
                    <w:tr2bl w:val="nil"/>
                  </w:tcBorders>
                  <w:noWrap w:val="0"/>
                  <w:vAlign w:val="center"/>
                </w:tcPr>
                <w:p w14:paraId="32550A17">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lang w:val="en-US" w:eastAsia="zh-CN"/>
                    </w:rPr>
                    <w:t>临时</w:t>
                  </w:r>
                  <w:r>
                    <w:rPr>
                      <w:rFonts w:hint="default" w:ascii="Times New Roman" w:hAnsi="Times New Roman" w:eastAsia="宋体" w:cs="Times New Roman"/>
                      <w:color w:val="auto"/>
                      <w:sz w:val="21"/>
                      <w:szCs w:val="24"/>
                    </w:rPr>
                    <w:t>道路硬化</w:t>
                  </w:r>
                </w:p>
              </w:tc>
              <w:tc>
                <w:tcPr>
                  <w:tcW w:w="1085" w:type="dxa"/>
                  <w:tcBorders>
                    <w:tl2br w:val="nil"/>
                    <w:tr2bl w:val="nil"/>
                  </w:tcBorders>
                  <w:noWrap w:val="0"/>
                  <w:vAlign w:val="center"/>
                </w:tcPr>
                <w:p w14:paraId="081FED61">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宋体" w:cs="Times New Roman"/>
                      <w:color w:val="auto"/>
                      <w:sz w:val="21"/>
                      <w:szCs w:val="24"/>
                      <w:lang w:val="en-US" w:eastAsia="zh-CN"/>
                    </w:rPr>
                    <w:t>1</w:t>
                  </w:r>
                  <w:r>
                    <w:rPr>
                      <w:rFonts w:hint="default" w:ascii="Times New Roman" w:hAnsi="Times New Roman" w:eastAsia="Times New Roman" w:cs="Times New Roman"/>
                      <w:color w:val="auto"/>
                      <w:sz w:val="21"/>
                      <w:szCs w:val="24"/>
                    </w:rPr>
                    <w:t>2</w:t>
                  </w:r>
                </w:p>
              </w:tc>
              <w:tc>
                <w:tcPr>
                  <w:tcW w:w="2967" w:type="dxa"/>
                  <w:tcBorders>
                    <w:tl2br w:val="nil"/>
                    <w:tr2bl w:val="nil"/>
                  </w:tcBorders>
                  <w:noWrap w:val="0"/>
                  <w:vAlign w:val="center"/>
                </w:tcPr>
                <w:p w14:paraId="0F7A8C44">
                  <w:pPr>
                    <w:spacing w:beforeLines="0" w:afterLines="0"/>
                    <w:jc w:val="center"/>
                    <w:rPr>
                      <w:rFonts w:hint="default" w:ascii="Times New Roman" w:hAnsi="Times New Roman" w:cs="Times New Roman"/>
                      <w:color w:val="auto"/>
                      <w:sz w:val="24"/>
                      <w:szCs w:val="24"/>
                    </w:rPr>
                  </w:pPr>
                </w:p>
              </w:tc>
            </w:tr>
            <w:tr w14:paraId="2588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7" w:type="dxa"/>
                  <w:tcBorders>
                    <w:tl2br w:val="nil"/>
                    <w:tr2bl w:val="nil"/>
                  </w:tcBorders>
                  <w:noWrap w:val="0"/>
                  <w:vAlign w:val="center"/>
                </w:tcPr>
                <w:p w14:paraId="1C079291">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3</w:t>
                  </w:r>
                </w:p>
              </w:tc>
              <w:tc>
                <w:tcPr>
                  <w:tcW w:w="3602" w:type="dxa"/>
                  <w:tcBorders>
                    <w:tl2br w:val="nil"/>
                    <w:tr2bl w:val="nil"/>
                  </w:tcBorders>
                  <w:noWrap w:val="0"/>
                  <w:vAlign w:val="center"/>
                </w:tcPr>
                <w:p w14:paraId="76DBF8F4">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施工区及临时堆场设置临时围挡</w:t>
                  </w:r>
                </w:p>
              </w:tc>
              <w:tc>
                <w:tcPr>
                  <w:tcW w:w="1085" w:type="dxa"/>
                  <w:tcBorders>
                    <w:tl2br w:val="nil"/>
                    <w:tr2bl w:val="nil"/>
                  </w:tcBorders>
                  <w:noWrap w:val="0"/>
                  <w:vAlign w:val="center"/>
                </w:tcPr>
                <w:p w14:paraId="0BD8A14C">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宋体" w:cs="Times New Roman"/>
                      <w:color w:val="auto"/>
                      <w:sz w:val="21"/>
                      <w:szCs w:val="24"/>
                      <w:lang w:val="en-US" w:eastAsia="zh-CN"/>
                    </w:rPr>
                    <w:t>2</w:t>
                  </w:r>
                  <w:r>
                    <w:rPr>
                      <w:rFonts w:hint="default" w:ascii="Times New Roman" w:hAnsi="Times New Roman" w:eastAsia="Times New Roman" w:cs="Times New Roman"/>
                      <w:color w:val="auto"/>
                      <w:sz w:val="21"/>
                      <w:szCs w:val="24"/>
                    </w:rPr>
                    <w:t>2</w:t>
                  </w:r>
                </w:p>
              </w:tc>
              <w:tc>
                <w:tcPr>
                  <w:tcW w:w="2967" w:type="dxa"/>
                  <w:tcBorders>
                    <w:tl2br w:val="nil"/>
                    <w:tr2bl w:val="nil"/>
                  </w:tcBorders>
                  <w:noWrap w:val="0"/>
                  <w:vAlign w:val="center"/>
                </w:tcPr>
                <w:p w14:paraId="1AD6499E">
                  <w:pPr>
                    <w:spacing w:beforeLines="0" w:afterLines="0"/>
                    <w:jc w:val="center"/>
                    <w:rPr>
                      <w:rFonts w:hint="default" w:ascii="Times New Roman" w:hAnsi="Times New Roman" w:cs="Times New Roman"/>
                      <w:color w:val="auto"/>
                      <w:sz w:val="24"/>
                      <w:szCs w:val="24"/>
                    </w:rPr>
                  </w:pPr>
                </w:p>
              </w:tc>
            </w:tr>
            <w:tr w14:paraId="4CCA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7" w:type="dxa"/>
                  <w:tcBorders>
                    <w:tl2br w:val="nil"/>
                    <w:tr2bl w:val="nil"/>
                  </w:tcBorders>
                  <w:noWrap w:val="0"/>
                  <w:vAlign w:val="center"/>
                </w:tcPr>
                <w:p w14:paraId="4FEFADDB">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4</w:t>
                  </w:r>
                </w:p>
              </w:tc>
              <w:tc>
                <w:tcPr>
                  <w:tcW w:w="3602" w:type="dxa"/>
                  <w:tcBorders>
                    <w:tl2br w:val="nil"/>
                    <w:tr2bl w:val="nil"/>
                  </w:tcBorders>
                  <w:noWrap w:val="0"/>
                  <w:vAlign w:val="center"/>
                </w:tcPr>
                <w:p w14:paraId="0A51FE65">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车辆清洗池、沉淀池、过滤池及清洗装备</w:t>
                  </w:r>
                </w:p>
              </w:tc>
              <w:tc>
                <w:tcPr>
                  <w:tcW w:w="1085" w:type="dxa"/>
                  <w:tcBorders>
                    <w:tl2br w:val="nil"/>
                    <w:tr2bl w:val="nil"/>
                  </w:tcBorders>
                  <w:noWrap w:val="0"/>
                  <w:vAlign w:val="center"/>
                </w:tcPr>
                <w:p w14:paraId="3030AA3F">
                  <w:pPr>
                    <w:spacing w:beforeLines="0" w:afterLines="0"/>
                    <w:jc w:val="center"/>
                    <w:rPr>
                      <w:rFonts w:hint="default" w:ascii="Times New Roman" w:hAnsi="Times New Roman" w:eastAsia="Times New Roman" w:cs="Times New Roman"/>
                      <w:color w:val="auto"/>
                      <w:sz w:val="21"/>
                      <w:szCs w:val="24"/>
                    </w:rPr>
                  </w:pPr>
                  <w:r>
                    <w:rPr>
                      <w:rFonts w:hint="eastAsia" w:ascii="Times New Roman" w:hAnsi="Times New Roman" w:cs="Times New Roman"/>
                      <w:color w:val="auto"/>
                      <w:sz w:val="21"/>
                      <w:szCs w:val="24"/>
                      <w:lang w:val="en-US" w:eastAsia="zh-CN"/>
                    </w:rPr>
                    <w:t>1</w:t>
                  </w:r>
                  <w:r>
                    <w:rPr>
                      <w:rFonts w:hint="default" w:ascii="Times New Roman" w:hAnsi="Times New Roman" w:eastAsia="Times New Roman" w:cs="Times New Roman"/>
                      <w:color w:val="auto"/>
                      <w:sz w:val="21"/>
                      <w:szCs w:val="24"/>
                    </w:rPr>
                    <w:t>4</w:t>
                  </w:r>
                </w:p>
              </w:tc>
              <w:tc>
                <w:tcPr>
                  <w:tcW w:w="2967" w:type="dxa"/>
                  <w:tcBorders>
                    <w:tl2br w:val="nil"/>
                    <w:tr2bl w:val="nil"/>
                  </w:tcBorders>
                  <w:noWrap w:val="0"/>
                  <w:vAlign w:val="center"/>
                </w:tcPr>
                <w:p w14:paraId="7E393FDC">
                  <w:pPr>
                    <w:spacing w:beforeLines="0" w:afterLines="0"/>
                    <w:jc w:val="center"/>
                    <w:rPr>
                      <w:rFonts w:hint="default" w:ascii="Times New Roman" w:hAnsi="Times New Roman" w:cs="Times New Roman"/>
                      <w:color w:val="auto"/>
                      <w:sz w:val="24"/>
                      <w:szCs w:val="24"/>
                    </w:rPr>
                  </w:pPr>
                </w:p>
              </w:tc>
            </w:tr>
            <w:tr w14:paraId="0C62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507" w:type="dxa"/>
                  <w:tcBorders>
                    <w:tl2br w:val="nil"/>
                    <w:tr2bl w:val="nil"/>
                  </w:tcBorders>
                  <w:noWrap w:val="0"/>
                  <w:vAlign w:val="center"/>
                </w:tcPr>
                <w:p w14:paraId="630354D7">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5</w:t>
                  </w:r>
                </w:p>
              </w:tc>
              <w:tc>
                <w:tcPr>
                  <w:tcW w:w="3602" w:type="dxa"/>
                  <w:tcBorders>
                    <w:tl2br w:val="nil"/>
                    <w:tr2bl w:val="nil"/>
                  </w:tcBorders>
                  <w:noWrap w:val="0"/>
                  <w:vAlign w:val="center"/>
                </w:tcPr>
                <w:p w14:paraId="42AFF0FC">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临时堆场临时遮盖</w:t>
                  </w:r>
                </w:p>
              </w:tc>
              <w:tc>
                <w:tcPr>
                  <w:tcW w:w="1085" w:type="dxa"/>
                  <w:tcBorders>
                    <w:tl2br w:val="nil"/>
                    <w:tr2bl w:val="nil"/>
                  </w:tcBorders>
                  <w:noWrap w:val="0"/>
                  <w:vAlign w:val="center"/>
                </w:tcPr>
                <w:p w14:paraId="3091E359">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宋体" w:cs="Times New Roman"/>
                      <w:color w:val="auto"/>
                      <w:sz w:val="21"/>
                      <w:szCs w:val="24"/>
                      <w:lang w:val="en-US" w:eastAsia="zh-CN"/>
                    </w:rPr>
                    <w:t>2</w:t>
                  </w:r>
                  <w:r>
                    <w:rPr>
                      <w:rFonts w:hint="default" w:ascii="Times New Roman" w:hAnsi="Times New Roman" w:eastAsia="Times New Roman" w:cs="Times New Roman"/>
                      <w:color w:val="auto"/>
                      <w:sz w:val="21"/>
                      <w:szCs w:val="24"/>
                    </w:rPr>
                    <w:t>5</w:t>
                  </w:r>
                </w:p>
              </w:tc>
              <w:tc>
                <w:tcPr>
                  <w:tcW w:w="2967" w:type="dxa"/>
                  <w:tcBorders>
                    <w:tl2br w:val="nil"/>
                    <w:tr2bl w:val="nil"/>
                  </w:tcBorders>
                  <w:noWrap w:val="0"/>
                  <w:vAlign w:val="center"/>
                </w:tcPr>
                <w:p w14:paraId="04FCDE2A">
                  <w:pPr>
                    <w:spacing w:beforeLines="0" w:afterLines="0"/>
                    <w:jc w:val="center"/>
                    <w:rPr>
                      <w:rFonts w:hint="default" w:ascii="Times New Roman" w:hAnsi="Times New Roman" w:cs="Times New Roman"/>
                      <w:color w:val="auto"/>
                      <w:sz w:val="24"/>
                      <w:szCs w:val="24"/>
                    </w:rPr>
                  </w:pPr>
                </w:p>
              </w:tc>
            </w:tr>
            <w:tr w14:paraId="300A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4109" w:type="dxa"/>
                  <w:gridSpan w:val="2"/>
                  <w:tcBorders>
                    <w:tl2br w:val="nil"/>
                    <w:tr2bl w:val="nil"/>
                  </w:tcBorders>
                  <w:noWrap w:val="0"/>
                  <w:vAlign w:val="center"/>
                </w:tcPr>
                <w:p w14:paraId="34E0D43A">
                  <w:pPr>
                    <w:spacing w:beforeLines="0" w:afterLines="0"/>
                    <w:jc w:val="both"/>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四、声环境</w:t>
                  </w:r>
                </w:p>
              </w:tc>
              <w:tc>
                <w:tcPr>
                  <w:tcW w:w="1085" w:type="dxa"/>
                  <w:tcBorders>
                    <w:tl2br w:val="nil"/>
                    <w:tr2bl w:val="nil"/>
                  </w:tcBorders>
                  <w:noWrap w:val="0"/>
                  <w:vAlign w:val="center"/>
                </w:tcPr>
                <w:p w14:paraId="6D1922A1">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Times New Roman" w:cs="Times New Roman"/>
                      <w:b/>
                      <w:color w:val="auto"/>
                      <w:sz w:val="21"/>
                      <w:szCs w:val="24"/>
                    </w:rPr>
                    <w:t>1</w:t>
                  </w:r>
                  <w:r>
                    <w:rPr>
                      <w:rFonts w:hint="default" w:ascii="Times New Roman" w:hAnsi="Times New Roman" w:eastAsia="宋体" w:cs="Times New Roman"/>
                      <w:b/>
                      <w:color w:val="auto"/>
                      <w:sz w:val="21"/>
                      <w:szCs w:val="24"/>
                      <w:lang w:val="en-US" w:eastAsia="zh-CN"/>
                    </w:rPr>
                    <w:t>6</w:t>
                  </w:r>
                </w:p>
              </w:tc>
              <w:tc>
                <w:tcPr>
                  <w:tcW w:w="2967" w:type="dxa"/>
                  <w:tcBorders>
                    <w:tl2br w:val="nil"/>
                    <w:tr2bl w:val="nil"/>
                  </w:tcBorders>
                  <w:noWrap w:val="0"/>
                  <w:vAlign w:val="center"/>
                </w:tcPr>
                <w:p w14:paraId="35704DF5">
                  <w:pPr>
                    <w:spacing w:beforeLines="0" w:afterLines="0"/>
                    <w:jc w:val="center"/>
                    <w:rPr>
                      <w:rFonts w:hint="default" w:ascii="Times New Roman" w:hAnsi="Times New Roman" w:cs="Times New Roman"/>
                      <w:color w:val="auto"/>
                      <w:sz w:val="24"/>
                      <w:szCs w:val="24"/>
                    </w:rPr>
                  </w:pPr>
                </w:p>
              </w:tc>
            </w:tr>
            <w:tr w14:paraId="4383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7" w:type="dxa"/>
                  <w:tcBorders>
                    <w:tl2br w:val="nil"/>
                    <w:tr2bl w:val="nil"/>
                  </w:tcBorders>
                  <w:noWrap w:val="0"/>
                  <w:vAlign w:val="center"/>
                </w:tcPr>
                <w:p w14:paraId="5859A702">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1</w:t>
                  </w:r>
                </w:p>
              </w:tc>
              <w:tc>
                <w:tcPr>
                  <w:tcW w:w="3602" w:type="dxa"/>
                  <w:tcBorders>
                    <w:tl2br w:val="nil"/>
                    <w:tr2bl w:val="nil"/>
                  </w:tcBorders>
                  <w:noWrap w:val="0"/>
                  <w:vAlign w:val="center"/>
                </w:tcPr>
                <w:p w14:paraId="4E1379C8">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临近敏感点一侧设置临时围挡</w:t>
                  </w:r>
                </w:p>
              </w:tc>
              <w:tc>
                <w:tcPr>
                  <w:tcW w:w="1085" w:type="dxa"/>
                  <w:tcBorders>
                    <w:tl2br w:val="nil"/>
                    <w:tr2bl w:val="nil"/>
                  </w:tcBorders>
                  <w:noWrap w:val="0"/>
                  <w:vAlign w:val="center"/>
                </w:tcPr>
                <w:p w14:paraId="649CF938">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w:t>
                  </w:r>
                </w:p>
              </w:tc>
              <w:tc>
                <w:tcPr>
                  <w:tcW w:w="2967" w:type="dxa"/>
                  <w:tcBorders>
                    <w:tl2br w:val="nil"/>
                    <w:tr2bl w:val="nil"/>
                  </w:tcBorders>
                  <w:noWrap w:val="0"/>
                  <w:vAlign w:val="center"/>
                </w:tcPr>
                <w:p w14:paraId="3ED33FB4">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与大气污染防治措施一致，不重复计算</w:t>
                  </w:r>
                </w:p>
              </w:tc>
            </w:tr>
            <w:tr w14:paraId="37FD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7" w:type="dxa"/>
                  <w:tcBorders>
                    <w:tl2br w:val="nil"/>
                    <w:tr2bl w:val="nil"/>
                  </w:tcBorders>
                  <w:noWrap w:val="0"/>
                  <w:vAlign w:val="center"/>
                </w:tcPr>
                <w:p w14:paraId="0559A39F">
                  <w:pPr>
                    <w:spacing w:beforeLines="0" w:afterLines="0"/>
                    <w:jc w:val="center"/>
                    <w:rPr>
                      <w:rFonts w:hint="default" w:ascii="Times New Roman" w:hAnsi="Times New Roman" w:eastAsia="Times New Roman" w:cs="Times New Roman"/>
                      <w:color w:val="auto"/>
                      <w:sz w:val="21"/>
                      <w:szCs w:val="24"/>
                    </w:rPr>
                  </w:pPr>
                  <w:r>
                    <w:rPr>
                      <w:rFonts w:hint="default" w:ascii="Times New Roman" w:hAnsi="Times New Roman" w:eastAsia="Times New Roman" w:cs="Times New Roman"/>
                      <w:color w:val="auto"/>
                      <w:sz w:val="21"/>
                      <w:szCs w:val="24"/>
                    </w:rPr>
                    <w:t>2</w:t>
                  </w:r>
                </w:p>
              </w:tc>
              <w:tc>
                <w:tcPr>
                  <w:tcW w:w="3602" w:type="dxa"/>
                  <w:tcBorders>
                    <w:tl2br w:val="nil"/>
                    <w:tr2bl w:val="nil"/>
                  </w:tcBorders>
                  <w:noWrap w:val="0"/>
                  <w:vAlign w:val="center"/>
                </w:tcPr>
                <w:p w14:paraId="43073D05">
                  <w:pPr>
                    <w:spacing w:beforeLines="0" w:afterLines="0"/>
                    <w:jc w:val="center"/>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加强施工设备检查、维护和保养机械设备，保持润滑，紧固各部件</w:t>
                  </w:r>
                </w:p>
              </w:tc>
              <w:tc>
                <w:tcPr>
                  <w:tcW w:w="1085" w:type="dxa"/>
                  <w:tcBorders>
                    <w:tl2br w:val="nil"/>
                    <w:tr2bl w:val="nil"/>
                  </w:tcBorders>
                  <w:noWrap w:val="0"/>
                  <w:vAlign w:val="center"/>
                </w:tcPr>
                <w:p w14:paraId="222A9687">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Times New Roman" w:cs="Times New Roman"/>
                      <w:color w:val="auto"/>
                      <w:sz w:val="21"/>
                      <w:szCs w:val="24"/>
                    </w:rPr>
                    <w:t>1</w:t>
                  </w:r>
                  <w:r>
                    <w:rPr>
                      <w:rFonts w:hint="default" w:ascii="Times New Roman" w:hAnsi="Times New Roman" w:eastAsia="宋体" w:cs="Times New Roman"/>
                      <w:color w:val="auto"/>
                      <w:sz w:val="21"/>
                      <w:szCs w:val="24"/>
                      <w:lang w:val="en-US" w:eastAsia="zh-CN"/>
                    </w:rPr>
                    <w:t>6</w:t>
                  </w:r>
                </w:p>
              </w:tc>
              <w:tc>
                <w:tcPr>
                  <w:tcW w:w="2967" w:type="dxa"/>
                  <w:tcBorders>
                    <w:tl2br w:val="nil"/>
                    <w:tr2bl w:val="nil"/>
                  </w:tcBorders>
                  <w:noWrap w:val="0"/>
                  <w:vAlign w:val="center"/>
                </w:tcPr>
                <w:p w14:paraId="08B9A03D">
                  <w:pPr>
                    <w:spacing w:beforeLines="0" w:afterLines="0"/>
                    <w:jc w:val="center"/>
                    <w:rPr>
                      <w:rFonts w:hint="default" w:ascii="Times New Roman" w:hAnsi="Times New Roman" w:cs="Times New Roman"/>
                      <w:color w:val="auto"/>
                      <w:sz w:val="24"/>
                      <w:szCs w:val="24"/>
                    </w:rPr>
                  </w:pPr>
                </w:p>
              </w:tc>
            </w:tr>
            <w:tr w14:paraId="4C5A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09" w:type="dxa"/>
                  <w:gridSpan w:val="2"/>
                  <w:tcBorders>
                    <w:tl2br w:val="nil"/>
                    <w:tr2bl w:val="nil"/>
                  </w:tcBorders>
                  <w:noWrap w:val="0"/>
                  <w:vAlign w:val="center"/>
                </w:tcPr>
                <w:p w14:paraId="6B1F047B">
                  <w:pPr>
                    <w:spacing w:beforeLines="0" w:afterLines="0"/>
                    <w:jc w:val="both"/>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五、固废</w:t>
                  </w:r>
                </w:p>
              </w:tc>
              <w:tc>
                <w:tcPr>
                  <w:tcW w:w="1085" w:type="dxa"/>
                  <w:tcBorders>
                    <w:tl2br w:val="nil"/>
                    <w:tr2bl w:val="nil"/>
                  </w:tcBorders>
                  <w:noWrap w:val="0"/>
                  <w:vAlign w:val="center"/>
                </w:tcPr>
                <w:p w14:paraId="572520C8">
                  <w:pPr>
                    <w:spacing w:beforeLines="0" w:afterLines="0"/>
                    <w:jc w:val="center"/>
                    <w:rPr>
                      <w:rFonts w:hint="default" w:ascii="Times New Roman" w:hAnsi="Times New Roman" w:eastAsia="宋体" w:cs="Times New Roman"/>
                      <w:color w:val="auto"/>
                      <w:sz w:val="21"/>
                      <w:szCs w:val="24"/>
                      <w:lang w:val="en-US" w:eastAsia="zh-CN"/>
                    </w:rPr>
                  </w:pPr>
                  <w:r>
                    <w:rPr>
                      <w:rFonts w:hint="eastAsia" w:ascii="Times New Roman" w:hAnsi="Times New Roman" w:cs="Times New Roman"/>
                      <w:b/>
                      <w:color w:val="auto"/>
                      <w:sz w:val="21"/>
                      <w:szCs w:val="24"/>
                      <w:lang w:val="en-US" w:eastAsia="zh-CN"/>
                    </w:rPr>
                    <w:t>1</w:t>
                  </w:r>
                  <w:r>
                    <w:rPr>
                      <w:rFonts w:hint="default" w:ascii="Times New Roman" w:hAnsi="Times New Roman" w:eastAsia="宋体" w:cs="Times New Roman"/>
                      <w:b/>
                      <w:color w:val="auto"/>
                      <w:sz w:val="21"/>
                      <w:szCs w:val="24"/>
                      <w:lang w:val="en-US" w:eastAsia="zh-CN"/>
                    </w:rPr>
                    <w:t>28</w:t>
                  </w:r>
                </w:p>
              </w:tc>
              <w:tc>
                <w:tcPr>
                  <w:tcW w:w="2967" w:type="dxa"/>
                  <w:tcBorders>
                    <w:tl2br w:val="nil"/>
                    <w:tr2bl w:val="nil"/>
                  </w:tcBorders>
                  <w:noWrap w:val="0"/>
                  <w:vAlign w:val="center"/>
                </w:tcPr>
                <w:p w14:paraId="574BFB7E">
                  <w:pPr>
                    <w:spacing w:beforeLines="0" w:afterLines="0"/>
                    <w:jc w:val="center"/>
                    <w:rPr>
                      <w:rFonts w:hint="default" w:ascii="Times New Roman" w:hAnsi="Times New Roman" w:cs="Times New Roman"/>
                      <w:color w:val="auto"/>
                      <w:sz w:val="24"/>
                      <w:szCs w:val="24"/>
                    </w:rPr>
                  </w:pPr>
                </w:p>
              </w:tc>
            </w:tr>
            <w:tr w14:paraId="041D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09" w:type="dxa"/>
                  <w:gridSpan w:val="2"/>
                  <w:tcBorders>
                    <w:tl2br w:val="nil"/>
                    <w:tr2bl w:val="nil"/>
                  </w:tcBorders>
                  <w:noWrap w:val="0"/>
                  <w:vAlign w:val="center"/>
                </w:tcPr>
                <w:p w14:paraId="1FBA32B5">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一般固废</w:t>
                  </w:r>
                  <w:r>
                    <w:rPr>
                      <w:rFonts w:hint="default" w:ascii="Times New Roman" w:hAnsi="Times New Roman" w:eastAsia="宋体" w:cs="Times New Roman"/>
                      <w:color w:val="auto"/>
                      <w:sz w:val="21"/>
                      <w:szCs w:val="24"/>
                    </w:rPr>
                    <w:t>分类收</w:t>
                  </w:r>
                  <w:r>
                    <w:rPr>
                      <w:rFonts w:hint="default" w:ascii="Times New Roman" w:hAnsi="Times New Roman" w:eastAsia="宋体" w:cs="Times New Roman"/>
                      <w:color w:val="auto"/>
                      <w:sz w:val="20"/>
                      <w:szCs w:val="24"/>
                    </w:rPr>
                    <w:t>集、苫盖、</w:t>
                  </w:r>
                  <w:r>
                    <w:rPr>
                      <w:rFonts w:hint="default" w:ascii="Times New Roman" w:hAnsi="Times New Roman" w:eastAsia="宋体" w:cs="Times New Roman"/>
                      <w:color w:val="auto"/>
                      <w:sz w:val="20"/>
                      <w:szCs w:val="24"/>
                      <w:lang w:val="en-US" w:eastAsia="zh-CN"/>
                    </w:rPr>
                    <w:t>转运等</w:t>
                  </w:r>
                </w:p>
              </w:tc>
              <w:tc>
                <w:tcPr>
                  <w:tcW w:w="1085" w:type="dxa"/>
                  <w:tcBorders>
                    <w:tl2br w:val="nil"/>
                    <w:tr2bl w:val="nil"/>
                  </w:tcBorders>
                  <w:noWrap w:val="0"/>
                  <w:vAlign w:val="center"/>
                </w:tcPr>
                <w:p w14:paraId="7A4B04E3">
                  <w:pPr>
                    <w:spacing w:beforeLines="0" w:afterLines="0"/>
                    <w:jc w:val="center"/>
                    <w:rPr>
                      <w:rFonts w:hint="default" w:ascii="Times New Roman" w:hAnsi="Times New Roman" w:eastAsia="宋体" w:cs="Times New Roman"/>
                      <w:b w:val="0"/>
                      <w:bCs/>
                      <w:color w:val="auto"/>
                      <w:sz w:val="21"/>
                      <w:szCs w:val="24"/>
                      <w:lang w:val="en-US" w:eastAsia="zh-CN"/>
                    </w:rPr>
                  </w:pPr>
                  <w:r>
                    <w:rPr>
                      <w:rFonts w:hint="eastAsia" w:ascii="Times New Roman" w:hAnsi="Times New Roman" w:cs="Times New Roman"/>
                      <w:b w:val="0"/>
                      <w:bCs/>
                      <w:color w:val="auto"/>
                      <w:sz w:val="21"/>
                      <w:szCs w:val="24"/>
                      <w:lang w:val="en-US" w:eastAsia="zh-CN"/>
                    </w:rPr>
                    <w:t>1</w:t>
                  </w:r>
                  <w:r>
                    <w:rPr>
                      <w:rFonts w:hint="default" w:ascii="Times New Roman" w:hAnsi="Times New Roman" w:eastAsia="宋体" w:cs="Times New Roman"/>
                      <w:b w:val="0"/>
                      <w:bCs/>
                      <w:color w:val="auto"/>
                      <w:sz w:val="21"/>
                      <w:szCs w:val="24"/>
                      <w:lang w:val="en-US" w:eastAsia="zh-CN"/>
                    </w:rPr>
                    <w:t>16</w:t>
                  </w:r>
                </w:p>
              </w:tc>
              <w:tc>
                <w:tcPr>
                  <w:tcW w:w="2967" w:type="dxa"/>
                  <w:tcBorders>
                    <w:tl2br w:val="nil"/>
                    <w:tr2bl w:val="nil"/>
                  </w:tcBorders>
                  <w:noWrap w:val="0"/>
                  <w:vAlign w:val="center"/>
                </w:tcPr>
                <w:p w14:paraId="67666C92">
                  <w:pPr>
                    <w:spacing w:beforeLines="0" w:afterLines="0"/>
                    <w:jc w:val="center"/>
                    <w:rPr>
                      <w:rFonts w:hint="default" w:ascii="Times New Roman" w:hAnsi="Times New Roman" w:cs="Times New Roman"/>
                      <w:color w:val="auto"/>
                      <w:sz w:val="24"/>
                      <w:szCs w:val="24"/>
                    </w:rPr>
                  </w:pPr>
                </w:p>
              </w:tc>
            </w:tr>
            <w:tr w14:paraId="6F94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09" w:type="dxa"/>
                  <w:gridSpan w:val="2"/>
                  <w:tcBorders>
                    <w:tl2br w:val="nil"/>
                    <w:tr2bl w:val="nil"/>
                  </w:tcBorders>
                  <w:noWrap w:val="0"/>
                  <w:vAlign w:val="center"/>
                </w:tcPr>
                <w:p w14:paraId="3D3CF656">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rPr>
                    <w:t>生活垃圾收集</w:t>
                  </w:r>
                  <w:r>
                    <w:rPr>
                      <w:rFonts w:hint="default" w:ascii="Times New Roman" w:hAnsi="Times New Roman" w:eastAsia="宋体" w:cs="Times New Roman"/>
                      <w:color w:val="auto"/>
                      <w:sz w:val="21"/>
                      <w:szCs w:val="24"/>
                      <w:lang w:eastAsia="zh-CN"/>
                    </w:rPr>
                    <w:t>、</w:t>
                  </w:r>
                  <w:r>
                    <w:rPr>
                      <w:rFonts w:hint="default" w:ascii="Times New Roman" w:hAnsi="Times New Roman" w:eastAsia="宋体" w:cs="Times New Roman"/>
                      <w:color w:val="auto"/>
                      <w:sz w:val="21"/>
                      <w:szCs w:val="24"/>
                      <w:lang w:val="en-US" w:eastAsia="zh-CN"/>
                    </w:rPr>
                    <w:t>运输</w:t>
                  </w:r>
                </w:p>
              </w:tc>
              <w:tc>
                <w:tcPr>
                  <w:tcW w:w="1085" w:type="dxa"/>
                  <w:tcBorders>
                    <w:tl2br w:val="nil"/>
                    <w:tr2bl w:val="nil"/>
                  </w:tcBorders>
                  <w:noWrap w:val="0"/>
                  <w:vAlign w:val="center"/>
                </w:tcPr>
                <w:p w14:paraId="5737D4ED">
                  <w:pPr>
                    <w:spacing w:beforeLines="0" w:afterLines="0"/>
                    <w:jc w:val="center"/>
                    <w:rPr>
                      <w:rFonts w:hint="default" w:ascii="Times New Roman" w:hAnsi="Times New Roman" w:eastAsia="宋体" w:cs="Times New Roman"/>
                      <w:b w:val="0"/>
                      <w:bCs/>
                      <w:color w:val="auto"/>
                      <w:sz w:val="21"/>
                      <w:szCs w:val="24"/>
                      <w:lang w:val="en-US" w:eastAsia="zh-CN"/>
                    </w:rPr>
                  </w:pPr>
                  <w:r>
                    <w:rPr>
                      <w:rFonts w:hint="default" w:ascii="Times New Roman" w:hAnsi="Times New Roman" w:eastAsia="宋体" w:cs="Times New Roman"/>
                      <w:b w:val="0"/>
                      <w:bCs/>
                      <w:color w:val="auto"/>
                      <w:sz w:val="21"/>
                      <w:szCs w:val="24"/>
                      <w:lang w:val="en-US" w:eastAsia="zh-CN"/>
                    </w:rPr>
                    <w:t>12</w:t>
                  </w:r>
                </w:p>
              </w:tc>
              <w:tc>
                <w:tcPr>
                  <w:tcW w:w="2967" w:type="dxa"/>
                  <w:tcBorders>
                    <w:tl2br w:val="nil"/>
                    <w:tr2bl w:val="nil"/>
                  </w:tcBorders>
                  <w:noWrap w:val="0"/>
                  <w:vAlign w:val="center"/>
                </w:tcPr>
                <w:p w14:paraId="48D6135E">
                  <w:pPr>
                    <w:spacing w:beforeLines="0" w:afterLines="0"/>
                    <w:jc w:val="center"/>
                    <w:rPr>
                      <w:rFonts w:hint="default" w:ascii="Times New Roman" w:hAnsi="Times New Roman" w:cs="Times New Roman"/>
                      <w:color w:val="auto"/>
                      <w:sz w:val="24"/>
                      <w:szCs w:val="24"/>
                    </w:rPr>
                  </w:pPr>
                </w:p>
              </w:tc>
            </w:tr>
            <w:tr w14:paraId="2502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4109" w:type="dxa"/>
                  <w:gridSpan w:val="2"/>
                  <w:tcBorders>
                    <w:tl2br w:val="nil"/>
                    <w:tr2bl w:val="nil"/>
                  </w:tcBorders>
                  <w:noWrap w:val="0"/>
                  <w:vAlign w:val="center"/>
                </w:tcPr>
                <w:p w14:paraId="0C5F041D">
                  <w:pPr>
                    <w:spacing w:beforeLines="0" w:afterLines="0"/>
                    <w:jc w:val="both"/>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六、环境监测</w:t>
                  </w:r>
                </w:p>
              </w:tc>
              <w:tc>
                <w:tcPr>
                  <w:tcW w:w="1085" w:type="dxa"/>
                  <w:tcBorders>
                    <w:tl2br w:val="nil"/>
                    <w:tr2bl w:val="nil"/>
                  </w:tcBorders>
                  <w:noWrap w:val="0"/>
                  <w:vAlign w:val="center"/>
                </w:tcPr>
                <w:p w14:paraId="717B2D1C">
                  <w:pPr>
                    <w:spacing w:beforeLines="0" w:afterLines="0"/>
                    <w:jc w:val="center"/>
                    <w:rPr>
                      <w:rFonts w:hint="default" w:ascii="Times New Roman" w:hAnsi="Times New Roman" w:eastAsia="宋体" w:cs="Times New Roman"/>
                      <w:b/>
                      <w:color w:val="auto"/>
                      <w:sz w:val="21"/>
                      <w:szCs w:val="24"/>
                      <w:lang w:val="en-US" w:eastAsia="zh-CN"/>
                    </w:rPr>
                  </w:pPr>
                  <w:r>
                    <w:rPr>
                      <w:rFonts w:hint="eastAsia" w:ascii="Times New Roman" w:hAnsi="Times New Roman" w:cs="Times New Roman"/>
                      <w:b/>
                      <w:color w:val="auto"/>
                      <w:sz w:val="21"/>
                      <w:szCs w:val="24"/>
                      <w:lang w:val="en-US" w:eastAsia="zh-CN"/>
                    </w:rPr>
                    <w:t>1</w:t>
                  </w:r>
                  <w:r>
                    <w:rPr>
                      <w:rFonts w:hint="default" w:ascii="Times New Roman" w:hAnsi="Times New Roman" w:eastAsia="宋体" w:cs="Times New Roman"/>
                      <w:b/>
                      <w:color w:val="auto"/>
                      <w:sz w:val="21"/>
                      <w:szCs w:val="24"/>
                      <w:lang w:val="en-US" w:eastAsia="zh-CN"/>
                    </w:rPr>
                    <w:t>2</w:t>
                  </w:r>
                </w:p>
              </w:tc>
              <w:tc>
                <w:tcPr>
                  <w:tcW w:w="2967" w:type="dxa"/>
                  <w:tcBorders>
                    <w:tl2br w:val="nil"/>
                    <w:tr2bl w:val="nil"/>
                  </w:tcBorders>
                  <w:noWrap w:val="0"/>
                  <w:vAlign w:val="center"/>
                </w:tcPr>
                <w:p w14:paraId="3257368C">
                  <w:pPr>
                    <w:spacing w:beforeLines="0" w:afterLines="0"/>
                    <w:jc w:val="center"/>
                    <w:rPr>
                      <w:rFonts w:hint="default" w:ascii="Times New Roman" w:hAnsi="Times New Roman" w:cs="Times New Roman"/>
                      <w:color w:val="auto"/>
                      <w:sz w:val="24"/>
                      <w:szCs w:val="24"/>
                    </w:rPr>
                  </w:pPr>
                </w:p>
              </w:tc>
            </w:tr>
            <w:tr w14:paraId="117F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4109" w:type="dxa"/>
                  <w:gridSpan w:val="2"/>
                  <w:tcBorders>
                    <w:tl2br w:val="nil"/>
                    <w:tr2bl w:val="nil"/>
                  </w:tcBorders>
                  <w:noWrap w:val="0"/>
                  <w:vAlign w:val="center"/>
                </w:tcPr>
                <w:p w14:paraId="39AD6C8E">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施工高峰期监测废气、噪声</w:t>
                  </w:r>
                </w:p>
              </w:tc>
              <w:tc>
                <w:tcPr>
                  <w:tcW w:w="1085" w:type="dxa"/>
                  <w:tcBorders>
                    <w:tl2br w:val="nil"/>
                    <w:tr2bl w:val="nil"/>
                  </w:tcBorders>
                  <w:noWrap w:val="0"/>
                  <w:vAlign w:val="center"/>
                </w:tcPr>
                <w:p w14:paraId="57DFBEFF">
                  <w:pPr>
                    <w:spacing w:beforeLines="0" w:afterLines="0"/>
                    <w:jc w:val="center"/>
                    <w:rPr>
                      <w:rFonts w:hint="default" w:ascii="Times New Roman" w:hAnsi="Times New Roman" w:eastAsia="宋体" w:cs="Times New Roman"/>
                      <w:b/>
                      <w:color w:val="auto"/>
                      <w:sz w:val="21"/>
                      <w:szCs w:val="24"/>
                      <w:lang w:val="en-US" w:eastAsia="zh-CN"/>
                    </w:rPr>
                  </w:pPr>
                  <w:r>
                    <w:rPr>
                      <w:rFonts w:hint="eastAsia" w:ascii="Times New Roman" w:hAnsi="Times New Roman" w:cs="Times New Roman"/>
                      <w:b w:val="0"/>
                      <w:bCs/>
                      <w:color w:val="auto"/>
                      <w:sz w:val="21"/>
                      <w:szCs w:val="24"/>
                      <w:lang w:val="en-US" w:eastAsia="zh-CN"/>
                    </w:rPr>
                    <w:t>1</w:t>
                  </w:r>
                  <w:r>
                    <w:rPr>
                      <w:rFonts w:hint="default" w:ascii="Times New Roman" w:hAnsi="Times New Roman" w:eastAsia="宋体" w:cs="Times New Roman"/>
                      <w:b w:val="0"/>
                      <w:bCs/>
                      <w:color w:val="auto"/>
                      <w:sz w:val="21"/>
                      <w:szCs w:val="24"/>
                      <w:lang w:val="en-US" w:eastAsia="zh-CN"/>
                    </w:rPr>
                    <w:t>2</w:t>
                  </w:r>
                </w:p>
              </w:tc>
              <w:tc>
                <w:tcPr>
                  <w:tcW w:w="2967" w:type="dxa"/>
                  <w:tcBorders>
                    <w:tl2br w:val="nil"/>
                    <w:tr2bl w:val="nil"/>
                  </w:tcBorders>
                  <w:noWrap w:val="0"/>
                  <w:vAlign w:val="center"/>
                </w:tcPr>
                <w:p w14:paraId="34FAC361">
                  <w:pPr>
                    <w:spacing w:beforeLines="0" w:afterLines="0"/>
                    <w:jc w:val="center"/>
                    <w:rPr>
                      <w:rFonts w:hint="default" w:ascii="Times New Roman" w:hAnsi="Times New Roman" w:cs="Times New Roman"/>
                      <w:color w:val="auto"/>
                      <w:sz w:val="24"/>
                      <w:szCs w:val="24"/>
                    </w:rPr>
                  </w:pPr>
                </w:p>
              </w:tc>
            </w:tr>
            <w:tr w14:paraId="3761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09" w:type="dxa"/>
                  <w:gridSpan w:val="2"/>
                  <w:tcBorders>
                    <w:tl2br w:val="nil"/>
                    <w:tr2bl w:val="nil"/>
                  </w:tcBorders>
                  <w:noWrap w:val="0"/>
                  <w:vAlign w:val="center"/>
                </w:tcPr>
                <w:p w14:paraId="35D0C1F4">
                  <w:pPr>
                    <w:spacing w:beforeLines="0" w:afterLine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合   计</w:t>
                  </w:r>
                </w:p>
              </w:tc>
              <w:tc>
                <w:tcPr>
                  <w:tcW w:w="1085" w:type="dxa"/>
                  <w:tcBorders>
                    <w:tl2br w:val="nil"/>
                    <w:tr2bl w:val="nil"/>
                  </w:tcBorders>
                  <w:noWrap w:val="0"/>
                  <w:vAlign w:val="center"/>
                </w:tcPr>
                <w:p w14:paraId="01B448C6">
                  <w:pPr>
                    <w:spacing w:beforeLines="0" w:afterLines="0"/>
                    <w:jc w:val="center"/>
                    <w:rPr>
                      <w:rFonts w:hint="default" w:ascii="Times New Roman" w:hAnsi="Times New Roman" w:eastAsia="宋体" w:cs="Times New Roman"/>
                      <w:b w:val="0"/>
                      <w:bCs/>
                      <w:color w:val="auto"/>
                      <w:sz w:val="21"/>
                      <w:szCs w:val="24"/>
                      <w:lang w:val="en-US" w:eastAsia="zh-CN"/>
                    </w:rPr>
                  </w:pPr>
                  <w:r>
                    <w:rPr>
                      <w:rFonts w:hint="eastAsia" w:ascii="Times New Roman" w:hAnsi="Times New Roman" w:cs="Times New Roman"/>
                      <w:b w:val="0"/>
                      <w:bCs/>
                      <w:color w:val="auto"/>
                      <w:sz w:val="21"/>
                      <w:szCs w:val="24"/>
                      <w:lang w:val="en-US" w:eastAsia="zh-CN"/>
                    </w:rPr>
                    <w:t>507</w:t>
                  </w:r>
                </w:p>
              </w:tc>
              <w:tc>
                <w:tcPr>
                  <w:tcW w:w="2967" w:type="dxa"/>
                  <w:tcBorders>
                    <w:tl2br w:val="nil"/>
                    <w:tr2bl w:val="nil"/>
                  </w:tcBorders>
                  <w:noWrap w:val="0"/>
                  <w:vAlign w:val="center"/>
                </w:tcPr>
                <w:p w14:paraId="4216A73E">
                  <w:pPr>
                    <w:spacing w:beforeLines="0" w:afterLines="0"/>
                    <w:jc w:val="center"/>
                    <w:rPr>
                      <w:rFonts w:hint="default" w:ascii="Times New Roman" w:hAnsi="Times New Roman" w:cs="Times New Roman"/>
                      <w:color w:val="auto"/>
                      <w:sz w:val="24"/>
                      <w:szCs w:val="24"/>
                    </w:rPr>
                  </w:pPr>
                </w:p>
              </w:tc>
            </w:tr>
          </w:tbl>
          <w:p w14:paraId="67F0069E">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0000FF"/>
                <w:sz w:val="24"/>
                <w:szCs w:val="24"/>
                <w:lang w:val="en-US" w:eastAsia="zh-CN"/>
              </w:rPr>
            </w:pPr>
          </w:p>
          <w:p w14:paraId="4F49AC6E">
            <w:pPr>
              <w:pStyle w:val="34"/>
              <w:rPr>
                <w:rFonts w:hint="default" w:ascii="Times New Roman" w:hAnsi="Times New Roman" w:eastAsia="宋体" w:cs="Times New Roman"/>
                <w:b/>
                <w:bCs/>
                <w:color w:val="0000FF"/>
                <w:sz w:val="24"/>
                <w:szCs w:val="24"/>
                <w:lang w:val="en-US" w:eastAsia="zh-CN"/>
              </w:rPr>
            </w:pPr>
          </w:p>
          <w:p w14:paraId="37E7BF05">
            <w:pPr>
              <w:pStyle w:val="34"/>
              <w:rPr>
                <w:rFonts w:hint="default" w:ascii="Times New Roman" w:hAnsi="Times New Roman" w:eastAsia="宋体" w:cs="Times New Roman"/>
                <w:b/>
                <w:bCs/>
                <w:color w:val="0000FF"/>
                <w:sz w:val="24"/>
                <w:szCs w:val="24"/>
                <w:lang w:val="en-US" w:eastAsia="zh-CN"/>
              </w:rPr>
            </w:pPr>
          </w:p>
          <w:p w14:paraId="0220674A">
            <w:pPr>
              <w:pStyle w:val="34"/>
              <w:rPr>
                <w:rFonts w:hint="default" w:ascii="Times New Roman" w:hAnsi="Times New Roman" w:eastAsia="宋体" w:cs="Times New Roman"/>
                <w:b/>
                <w:bCs/>
                <w:color w:val="0000FF"/>
                <w:sz w:val="24"/>
                <w:szCs w:val="24"/>
                <w:lang w:val="en-US" w:eastAsia="zh-CN"/>
              </w:rPr>
            </w:pPr>
          </w:p>
          <w:p w14:paraId="2A1E12E2">
            <w:pPr>
              <w:pStyle w:val="34"/>
              <w:rPr>
                <w:rFonts w:hint="default" w:ascii="Times New Roman" w:hAnsi="Times New Roman" w:eastAsia="宋体" w:cs="Times New Roman"/>
                <w:b/>
                <w:bCs/>
                <w:color w:val="0000FF"/>
                <w:sz w:val="24"/>
                <w:szCs w:val="24"/>
                <w:lang w:val="en-US" w:eastAsia="zh-CN"/>
              </w:rPr>
            </w:pPr>
          </w:p>
          <w:p w14:paraId="5FFCF5D8">
            <w:pPr>
              <w:pStyle w:val="34"/>
              <w:rPr>
                <w:rFonts w:hint="default" w:ascii="Times New Roman" w:hAnsi="Times New Roman" w:eastAsia="宋体" w:cs="Times New Roman"/>
                <w:b/>
                <w:bCs/>
                <w:color w:val="0000FF"/>
                <w:sz w:val="24"/>
                <w:szCs w:val="24"/>
                <w:lang w:val="en-US" w:eastAsia="zh-CN"/>
              </w:rPr>
            </w:pPr>
          </w:p>
          <w:p w14:paraId="2FD2C108">
            <w:pPr>
              <w:pStyle w:val="34"/>
              <w:rPr>
                <w:rFonts w:hint="default" w:ascii="Times New Roman" w:hAnsi="Times New Roman" w:eastAsia="宋体" w:cs="Times New Roman"/>
                <w:b/>
                <w:bCs/>
                <w:color w:val="0000FF"/>
                <w:sz w:val="24"/>
                <w:szCs w:val="24"/>
                <w:lang w:val="en-US" w:eastAsia="zh-CN"/>
              </w:rPr>
            </w:pPr>
          </w:p>
          <w:p w14:paraId="51F4E222">
            <w:pPr>
              <w:pStyle w:val="34"/>
              <w:rPr>
                <w:rFonts w:hint="default" w:ascii="Times New Roman" w:hAnsi="Times New Roman" w:eastAsia="宋体" w:cs="Times New Roman"/>
                <w:b/>
                <w:bCs/>
                <w:color w:val="0000FF"/>
                <w:sz w:val="24"/>
                <w:szCs w:val="24"/>
                <w:lang w:val="en-US" w:eastAsia="zh-CN"/>
              </w:rPr>
            </w:pPr>
          </w:p>
          <w:p w14:paraId="233B9C70">
            <w:pPr>
              <w:pStyle w:val="34"/>
              <w:rPr>
                <w:rFonts w:hint="default" w:ascii="Times New Roman" w:hAnsi="Times New Roman" w:eastAsia="宋体" w:cs="Times New Roman"/>
                <w:b/>
                <w:bCs/>
                <w:color w:val="0000FF"/>
                <w:sz w:val="24"/>
                <w:szCs w:val="24"/>
                <w:lang w:val="en-US" w:eastAsia="zh-CN"/>
              </w:rPr>
            </w:pPr>
          </w:p>
          <w:p w14:paraId="742006D3">
            <w:pPr>
              <w:pStyle w:val="34"/>
              <w:rPr>
                <w:rFonts w:hint="default" w:ascii="Times New Roman" w:hAnsi="Times New Roman" w:eastAsia="宋体" w:cs="Times New Roman"/>
                <w:b/>
                <w:bCs/>
                <w:color w:val="0000FF"/>
                <w:sz w:val="24"/>
                <w:szCs w:val="24"/>
                <w:lang w:val="en-US" w:eastAsia="zh-CN"/>
              </w:rPr>
            </w:pPr>
          </w:p>
          <w:p w14:paraId="628575CE">
            <w:pPr>
              <w:pStyle w:val="34"/>
              <w:rPr>
                <w:rFonts w:hint="default" w:ascii="Times New Roman" w:hAnsi="Times New Roman" w:eastAsia="宋体" w:cs="Times New Roman"/>
                <w:b/>
                <w:bCs/>
                <w:color w:val="0000FF"/>
                <w:sz w:val="24"/>
                <w:szCs w:val="24"/>
                <w:lang w:val="en-US" w:eastAsia="zh-CN"/>
              </w:rPr>
            </w:pPr>
          </w:p>
          <w:p w14:paraId="14D1F786">
            <w:pPr>
              <w:pStyle w:val="34"/>
              <w:rPr>
                <w:rFonts w:hint="default" w:ascii="Times New Roman" w:hAnsi="Times New Roman" w:eastAsia="宋体" w:cs="Times New Roman"/>
                <w:b/>
                <w:bCs/>
                <w:color w:val="0000FF"/>
                <w:sz w:val="24"/>
                <w:szCs w:val="24"/>
                <w:lang w:val="en-US" w:eastAsia="zh-CN"/>
              </w:rPr>
            </w:pPr>
          </w:p>
          <w:p w14:paraId="1B8A1C59">
            <w:pPr>
              <w:pStyle w:val="34"/>
              <w:rPr>
                <w:rFonts w:hint="default" w:ascii="Times New Roman" w:hAnsi="Times New Roman" w:eastAsia="宋体" w:cs="Times New Roman"/>
                <w:b/>
                <w:bCs/>
                <w:color w:val="0000FF"/>
                <w:sz w:val="24"/>
                <w:szCs w:val="24"/>
                <w:lang w:val="en-US" w:eastAsia="zh-CN"/>
              </w:rPr>
            </w:pPr>
          </w:p>
          <w:p w14:paraId="1FD44520">
            <w:pPr>
              <w:pStyle w:val="34"/>
              <w:rPr>
                <w:rFonts w:hint="default" w:ascii="Times New Roman" w:hAnsi="Times New Roman" w:eastAsia="宋体" w:cs="Times New Roman"/>
                <w:b/>
                <w:bCs/>
                <w:color w:val="0000FF"/>
                <w:sz w:val="24"/>
                <w:szCs w:val="24"/>
                <w:lang w:val="en-US" w:eastAsia="zh-CN"/>
              </w:rPr>
            </w:pPr>
          </w:p>
          <w:p w14:paraId="05D7C44C">
            <w:pPr>
              <w:pStyle w:val="34"/>
              <w:rPr>
                <w:rFonts w:hint="default" w:ascii="Times New Roman" w:hAnsi="Times New Roman" w:eastAsia="宋体" w:cs="Times New Roman"/>
                <w:b/>
                <w:bCs/>
                <w:color w:val="0000FF"/>
                <w:sz w:val="24"/>
                <w:szCs w:val="24"/>
                <w:lang w:val="en-US" w:eastAsia="zh-CN"/>
              </w:rPr>
            </w:pPr>
          </w:p>
          <w:p w14:paraId="74E5F786">
            <w:pPr>
              <w:pStyle w:val="34"/>
              <w:rPr>
                <w:rFonts w:hint="default" w:ascii="Times New Roman" w:hAnsi="Times New Roman" w:eastAsia="宋体" w:cs="Times New Roman"/>
                <w:b/>
                <w:bCs/>
                <w:color w:val="0000FF"/>
                <w:sz w:val="24"/>
                <w:szCs w:val="24"/>
                <w:lang w:val="en-US" w:eastAsia="zh-CN"/>
              </w:rPr>
            </w:pPr>
          </w:p>
          <w:p w14:paraId="2C07489E">
            <w:pPr>
              <w:pStyle w:val="34"/>
              <w:rPr>
                <w:rFonts w:hint="default" w:ascii="Times New Roman" w:hAnsi="Times New Roman" w:eastAsia="宋体" w:cs="Times New Roman"/>
                <w:b/>
                <w:bCs/>
                <w:color w:val="0000FF"/>
                <w:sz w:val="24"/>
                <w:szCs w:val="24"/>
                <w:lang w:val="en-US" w:eastAsia="zh-CN"/>
              </w:rPr>
            </w:pPr>
          </w:p>
          <w:p w14:paraId="0F428E3D">
            <w:pPr>
              <w:pStyle w:val="34"/>
              <w:rPr>
                <w:rFonts w:hint="default" w:ascii="Times New Roman" w:hAnsi="Times New Roman" w:eastAsia="宋体" w:cs="Times New Roman"/>
                <w:b/>
                <w:bCs/>
                <w:color w:val="0000FF"/>
                <w:sz w:val="24"/>
                <w:szCs w:val="24"/>
                <w:lang w:val="en-US" w:eastAsia="zh-CN"/>
              </w:rPr>
            </w:pPr>
          </w:p>
          <w:p w14:paraId="79EE7F56">
            <w:pPr>
              <w:pStyle w:val="34"/>
              <w:rPr>
                <w:rFonts w:hint="default" w:ascii="Times New Roman" w:hAnsi="Times New Roman" w:eastAsia="宋体" w:cs="Times New Roman"/>
                <w:b/>
                <w:bCs/>
                <w:color w:val="0000FF"/>
                <w:sz w:val="24"/>
                <w:szCs w:val="24"/>
                <w:lang w:val="en-US" w:eastAsia="zh-CN"/>
              </w:rPr>
            </w:pPr>
          </w:p>
          <w:p w14:paraId="78051B6A">
            <w:pPr>
              <w:pStyle w:val="34"/>
              <w:rPr>
                <w:rFonts w:hint="default" w:ascii="Times New Roman" w:hAnsi="Times New Roman" w:eastAsia="宋体" w:cs="Times New Roman"/>
                <w:b/>
                <w:bCs/>
                <w:color w:val="0000FF"/>
                <w:sz w:val="24"/>
                <w:szCs w:val="24"/>
                <w:lang w:val="en-US" w:eastAsia="zh-CN"/>
              </w:rPr>
            </w:pPr>
          </w:p>
          <w:p w14:paraId="4D2AAF34">
            <w:pPr>
              <w:pStyle w:val="34"/>
              <w:rPr>
                <w:rFonts w:hint="default" w:ascii="Times New Roman" w:hAnsi="Times New Roman" w:eastAsia="宋体" w:cs="Times New Roman"/>
                <w:b/>
                <w:bCs/>
                <w:color w:val="0000FF"/>
                <w:sz w:val="24"/>
                <w:szCs w:val="24"/>
                <w:lang w:val="en-US" w:eastAsia="zh-CN"/>
              </w:rPr>
            </w:pPr>
          </w:p>
          <w:p w14:paraId="576405FE">
            <w:pPr>
              <w:pStyle w:val="34"/>
              <w:rPr>
                <w:rFonts w:hint="default" w:ascii="Times New Roman" w:hAnsi="Times New Roman" w:eastAsia="宋体" w:cs="Times New Roman"/>
                <w:b/>
                <w:bCs/>
                <w:color w:val="0000FF"/>
                <w:sz w:val="24"/>
                <w:szCs w:val="24"/>
                <w:lang w:val="en-US" w:eastAsia="zh-CN"/>
              </w:rPr>
            </w:pPr>
          </w:p>
          <w:p w14:paraId="02574843">
            <w:pPr>
              <w:pStyle w:val="34"/>
              <w:rPr>
                <w:rFonts w:hint="default" w:ascii="Times New Roman" w:hAnsi="Times New Roman" w:eastAsia="宋体" w:cs="Times New Roman"/>
                <w:b/>
                <w:bCs/>
                <w:color w:val="0000FF"/>
                <w:sz w:val="24"/>
                <w:szCs w:val="24"/>
                <w:lang w:val="en-US" w:eastAsia="zh-CN"/>
              </w:rPr>
            </w:pPr>
          </w:p>
          <w:p w14:paraId="06B97121">
            <w:pPr>
              <w:pStyle w:val="34"/>
              <w:rPr>
                <w:rFonts w:hint="default" w:ascii="Times New Roman" w:hAnsi="Times New Roman" w:eastAsia="宋体" w:cs="Times New Roman"/>
                <w:b/>
                <w:bCs/>
                <w:color w:val="0000FF"/>
                <w:sz w:val="24"/>
                <w:szCs w:val="24"/>
                <w:lang w:val="en-US" w:eastAsia="zh-CN"/>
              </w:rPr>
            </w:pPr>
          </w:p>
          <w:p w14:paraId="6A4ABF44">
            <w:pPr>
              <w:pStyle w:val="34"/>
              <w:rPr>
                <w:rFonts w:hint="default" w:ascii="Times New Roman" w:hAnsi="Times New Roman" w:eastAsia="宋体" w:cs="Times New Roman"/>
                <w:b/>
                <w:bCs/>
                <w:color w:val="0000FF"/>
                <w:sz w:val="24"/>
                <w:szCs w:val="24"/>
                <w:lang w:val="en-US" w:eastAsia="zh-CN"/>
              </w:rPr>
            </w:pPr>
          </w:p>
          <w:p w14:paraId="3118D6AC">
            <w:pPr>
              <w:pStyle w:val="34"/>
              <w:rPr>
                <w:rFonts w:hint="default" w:ascii="Times New Roman" w:hAnsi="Times New Roman" w:eastAsia="宋体" w:cs="Times New Roman"/>
                <w:b/>
                <w:bCs/>
                <w:color w:val="0000FF"/>
                <w:sz w:val="24"/>
                <w:szCs w:val="24"/>
                <w:lang w:val="en-US" w:eastAsia="zh-CN"/>
              </w:rPr>
            </w:pPr>
          </w:p>
          <w:p w14:paraId="4AF9727E">
            <w:pPr>
              <w:pStyle w:val="34"/>
              <w:rPr>
                <w:rFonts w:hint="default" w:ascii="Times New Roman" w:hAnsi="Times New Roman" w:eastAsia="宋体" w:cs="Times New Roman"/>
                <w:b/>
                <w:bCs/>
                <w:color w:val="0000FF"/>
                <w:sz w:val="24"/>
                <w:szCs w:val="24"/>
                <w:lang w:val="en-US" w:eastAsia="zh-CN"/>
              </w:rPr>
            </w:pPr>
          </w:p>
          <w:p w14:paraId="7FCF4099">
            <w:pPr>
              <w:pStyle w:val="34"/>
              <w:rPr>
                <w:rFonts w:hint="default" w:ascii="Times New Roman" w:hAnsi="Times New Roman" w:eastAsia="宋体" w:cs="Times New Roman"/>
                <w:b/>
                <w:bCs/>
                <w:color w:val="0000FF"/>
                <w:sz w:val="24"/>
                <w:szCs w:val="24"/>
                <w:lang w:val="en-US" w:eastAsia="zh-CN"/>
              </w:rPr>
            </w:pPr>
          </w:p>
          <w:p w14:paraId="2F4B0E23">
            <w:pPr>
              <w:pStyle w:val="34"/>
              <w:rPr>
                <w:rFonts w:hint="default" w:ascii="Times New Roman" w:hAnsi="Times New Roman" w:eastAsia="宋体" w:cs="Times New Roman"/>
                <w:b/>
                <w:bCs/>
                <w:color w:val="0000FF"/>
                <w:sz w:val="24"/>
                <w:szCs w:val="24"/>
                <w:lang w:val="en-US" w:eastAsia="zh-CN"/>
              </w:rPr>
            </w:pPr>
          </w:p>
          <w:p w14:paraId="647303FC">
            <w:pPr>
              <w:pStyle w:val="34"/>
              <w:rPr>
                <w:rFonts w:hint="default" w:ascii="Times New Roman" w:hAnsi="Times New Roman" w:eastAsia="宋体" w:cs="Times New Roman"/>
                <w:b/>
                <w:bCs/>
                <w:color w:val="0000FF"/>
                <w:sz w:val="24"/>
                <w:szCs w:val="24"/>
                <w:lang w:val="en-US" w:eastAsia="zh-CN"/>
              </w:rPr>
            </w:pPr>
          </w:p>
          <w:p w14:paraId="43D6E2B9">
            <w:pPr>
              <w:pStyle w:val="34"/>
              <w:rPr>
                <w:rFonts w:hint="default" w:ascii="Times New Roman" w:hAnsi="Times New Roman" w:eastAsia="宋体" w:cs="Times New Roman"/>
                <w:b/>
                <w:bCs/>
                <w:color w:val="0000FF"/>
                <w:sz w:val="24"/>
                <w:szCs w:val="24"/>
                <w:lang w:val="en-US" w:eastAsia="zh-CN"/>
              </w:rPr>
            </w:pPr>
          </w:p>
          <w:p w14:paraId="481EC309">
            <w:pPr>
              <w:pStyle w:val="34"/>
              <w:rPr>
                <w:rFonts w:hint="default" w:ascii="Times New Roman" w:hAnsi="Times New Roman" w:eastAsia="宋体" w:cs="Times New Roman"/>
                <w:b/>
                <w:bCs/>
                <w:color w:val="0000FF"/>
                <w:sz w:val="24"/>
                <w:szCs w:val="24"/>
                <w:lang w:val="en-US" w:eastAsia="zh-CN"/>
              </w:rPr>
            </w:pPr>
          </w:p>
          <w:p w14:paraId="6AF83578">
            <w:pPr>
              <w:pStyle w:val="34"/>
              <w:rPr>
                <w:rFonts w:hint="default" w:ascii="Times New Roman" w:hAnsi="Times New Roman" w:eastAsia="宋体" w:cs="Times New Roman"/>
                <w:b/>
                <w:bCs/>
                <w:color w:val="0000FF"/>
                <w:sz w:val="24"/>
                <w:szCs w:val="24"/>
                <w:lang w:val="en-US" w:eastAsia="zh-CN"/>
              </w:rPr>
            </w:pPr>
          </w:p>
          <w:p w14:paraId="0465A6CF">
            <w:pPr>
              <w:pStyle w:val="34"/>
              <w:rPr>
                <w:rFonts w:hint="default" w:ascii="Times New Roman" w:hAnsi="Times New Roman" w:eastAsia="宋体" w:cs="Times New Roman"/>
                <w:b/>
                <w:bCs/>
                <w:color w:val="0000FF"/>
                <w:sz w:val="24"/>
                <w:szCs w:val="24"/>
                <w:lang w:val="en-US" w:eastAsia="zh-CN"/>
              </w:rPr>
            </w:pPr>
          </w:p>
          <w:p w14:paraId="114F6580">
            <w:pPr>
              <w:pStyle w:val="34"/>
              <w:rPr>
                <w:rFonts w:hint="default" w:ascii="Times New Roman" w:hAnsi="Times New Roman" w:eastAsia="宋体" w:cs="Times New Roman"/>
                <w:b/>
                <w:bCs/>
                <w:color w:val="0000FF"/>
                <w:sz w:val="24"/>
                <w:szCs w:val="24"/>
                <w:lang w:val="en-US" w:eastAsia="zh-CN"/>
              </w:rPr>
            </w:pPr>
          </w:p>
          <w:p w14:paraId="4FC926E9">
            <w:pPr>
              <w:pStyle w:val="34"/>
              <w:rPr>
                <w:rFonts w:hint="default" w:ascii="Times New Roman" w:hAnsi="Times New Roman" w:eastAsia="宋体" w:cs="Times New Roman"/>
                <w:b/>
                <w:bCs/>
                <w:color w:val="0000FF"/>
                <w:sz w:val="24"/>
                <w:szCs w:val="24"/>
                <w:lang w:val="en-US" w:eastAsia="zh-CN"/>
              </w:rPr>
            </w:pPr>
          </w:p>
          <w:p w14:paraId="0EDE085E">
            <w:pPr>
              <w:pStyle w:val="34"/>
              <w:rPr>
                <w:rFonts w:hint="default" w:ascii="Times New Roman" w:hAnsi="Times New Roman" w:eastAsia="宋体" w:cs="Times New Roman"/>
                <w:b/>
                <w:bCs/>
                <w:color w:val="0000FF"/>
                <w:sz w:val="24"/>
                <w:szCs w:val="24"/>
                <w:lang w:val="en-US" w:eastAsia="zh-CN"/>
              </w:rPr>
            </w:pPr>
          </w:p>
          <w:p w14:paraId="11E8F58A">
            <w:pPr>
              <w:pStyle w:val="34"/>
              <w:rPr>
                <w:rFonts w:hint="default" w:ascii="Times New Roman" w:hAnsi="Times New Roman" w:eastAsia="宋体" w:cs="Times New Roman"/>
                <w:b/>
                <w:bCs/>
                <w:color w:val="0000FF"/>
                <w:sz w:val="24"/>
                <w:szCs w:val="24"/>
                <w:lang w:val="en-US" w:eastAsia="zh-CN"/>
              </w:rPr>
            </w:pPr>
          </w:p>
          <w:p w14:paraId="37883D37">
            <w:pPr>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b/>
                <w:bCs/>
                <w:color w:val="0000FF"/>
                <w:sz w:val="24"/>
                <w:szCs w:val="24"/>
                <w:lang w:val="en-US" w:eastAsia="zh-CN"/>
              </w:rPr>
            </w:pPr>
          </w:p>
        </w:tc>
      </w:tr>
    </w:tbl>
    <w:p w14:paraId="6B5CF1D8">
      <w:pPr>
        <w:rPr>
          <w:rFonts w:hint="default" w:ascii="Times New Roman" w:hAnsi="Times New Roman" w:cs="Times New Roman"/>
          <w:color w:val="0000FF"/>
        </w:rPr>
        <w:sectPr>
          <w:pgSz w:w="11907" w:h="16840"/>
          <w:pgMar w:top="1304" w:right="1531" w:bottom="1417" w:left="1531" w:header="851" w:footer="850" w:gutter="0"/>
          <w:cols w:space="720" w:num="1"/>
          <w:docGrid w:linePitch="312" w:charSpace="0"/>
        </w:sectPr>
      </w:pPr>
    </w:p>
    <w:p w14:paraId="5C6ECBFF">
      <w:pPr>
        <w:pStyle w:val="21"/>
        <w:jc w:val="center"/>
        <w:outlineLvl w:val="0"/>
        <w:rPr>
          <w:rFonts w:hint="default" w:ascii="Times New Roman" w:hAnsi="Times New Roman" w:eastAsia="黑体" w:cs="Times New Roman"/>
          <w:snapToGrid w:val="0"/>
          <w:color w:val="auto"/>
          <w:sz w:val="30"/>
          <w:szCs w:val="30"/>
        </w:rPr>
      </w:pPr>
      <w:bookmarkStart w:id="16" w:name="_Toc29269"/>
      <w:r>
        <w:rPr>
          <w:rFonts w:hint="default" w:ascii="Times New Roman" w:hAnsi="Times New Roman" w:eastAsia="黑体" w:cs="Times New Roman"/>
          <w:snapToGrid w:val="0"/>
          <w:color w:val="auto"/>
          <w:sz w:val="30"/>
          <w:szCs w:val="30"/>
        </w:rPr>
        <w:t>六、生态环境保护措施监督检查清单</w:t>
      </w:r>
      <w:bookmarkEnd w:id="16"/>
    </w:p>
    <w:tbl>
      <w:tblPr>
        <w:tblStyle w:val="2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8"/>
        <w:gridCol w:w="6583"/>
        <w:gridCol w:w="2109"/>
        <w:gridCol w:w="2693"/>
        <w:gridCol w:w="1486"/>
      </w:tblGrid>
      <w:tr w14:paraId="491FAE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vMerge w:val="restart"/>
            <w:tcBorders>
              <w:tl2br w:val="single" w:color="auto" w:sz="4" w:space="0"/>
            </w:tcBorders>
            <w:noWrap w:val="0"/>
            <w:vAlign w:val="top"/>
          </w:tcPr>
          <w:p w14:paraId="39A7A7A9">
            <w:pPr>
              <w:pStyle w:val="21"/>
              <w:adjustRightInd w:val="0"/>
              <w:snapToGrid w:val="0"/>
              <w:spacing w:before="72" w:beforeLines="30" w:beforeAutospacing="0" w:after="0" w:afterAutospacing="0"/>
              <w:jc w:val="center"/>
              <w:outlineLvl w:val="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 xml:space="preserve">      </w:t>
            </w:r>
            <w:bookmarkStart w:id="17" w:name="_Toc17119"/>
            <w:r>
              <w:rPr>
                <w:rFonts w:hint="default" w:ascii="Times New Roman" w:hAnsi="Times New Roman" w:eastAsia="宋体" w:cs="Times New Roman"/>
                <w:color w:val="auto"/>
                <w:kern w:val="2"/>
                <w:sz w:val="21"/>
                <w:szCs w:val="21"/>
              </w:rPr>
              <w:t>内容</w:t>
            </w:r>
            <w:bookmarkEnd w:id="17"/>
          </w:p>
          <w:p w14:paraId="2A211688">
            <w:pPr>
              <w:pStyle w:val="21"/>
              <w:adjustRightInd w:val="0"/>
              <w:snapToGrid w:val="0"/>
              <w:spacing w:before="0" w:beforeAutospacing="0" w:after="0" w:afterAutospacing="0" w:line="14" w:lineRule="auto"/>
              <w:outlineLvl w:val="0"/>
              <w:rPr>
                <w:rFonts w:hint="default" w:ascii="Times New Roman" w:hAnsi="Times New Roman" w:eastAsia="宋体" w:cs="Times New Roman"/>
                <w:color w:val="auto"/>
                <w:kern w:val="2"/>
                <w:sz w:val="135"/>
                <w:szCs w:val="21"/>
              </w:rPr>
            </w:pPr>
            <w:r>
              <w:rPr>
                <w:rFonts w:hint="default" w:ascii="Times New Roman" w:hAnsi="Times New Roman" w:eastAsia="宋体" w:cs="Times New Roman"/>
                <w:color w:val="auto"/>
                <w:kern w:val="2"/>
                <w:sz w:val="21"/>
                <w:szCs w:val="21"/>
              </w:rPr>
              <w:t xml:space="preserve"> </w:t>
            </w:r>
            <w:r>
              <w:rPr>
                <w:rFonts w:hint="default" w:ascii="Times New Roman" w:hAnsi="Times New Roman" w:eastAsia="宋体" w:cs="Times New Roman"/>
                <w:color w:val="auto"/>
                <w:kern w:val="2"/>
                <w:sz w:val="135"/>
                <w:szCs w:val="21"/>
              </w:rPr>
              <w:t xml:space="preserve"> </w:t>
            </w:r>
          </w:p>
          <w:p w14:paraId="14D90049">
            <w:pPr>
              <w:pStyle w:val="21"/>
              <w:adjustRightInd w:val="0"/>
              <w:snapToGrid w:val="0"/>
              <w:spacing w:before="0" w:beforeAutospacing="0" w:after="0" w:afterAutospacing="0"/>
              <w:outlineLvl w:val="0"/>
              <w:rPr>
                <w:rFonts w:hint="default" w:ascii="Times New Roman" w:hAnsi="Times New Roman" w:eastAsia="宋体" w:cs="Times New Roman"/>
                <w:color w:val="auto"/>
                <w:kern w:val="2"/>
                <w:sz w:val="21"/>
                <w:szCs w:val="21"/>
              </w:rPr>
            </w:pPr>
            <w:bookmarkStart w:id="18" w:name="_Toc15503"/>
            <w:r>
              <w:rPr>
                <w:rFonts w:hint="default" w:ascii="Times New Roman" w:hAnsi="Times New Roman" w:eastAsia="宋体" w:cs="Times New Roman"/>
                <w:color w:val="auto"/>
                <w:kern w:val="2"/>
                <w:sz w:val="21"/>
                <w:szCs w:val="21"/>
              </w:rPr>
              <w:t>要素</w:t>
            </w:r>
            <w:bookmarkEnd w:id="18"/>
          </w:p>
        </w:tc>
        <w:tc>
          <w:tcPr>
            <w:tcW w:w="3056" w:type="pct"/>
            <w:gridSpan w:val="2"/>
            <w:noWrap w:val="0"/>
            <w:vAlign w:val="center"/>
          </w:tcPr>
          <w:p w14:paraId="275E8103">
            <w:pPr>
              <w:pStyle w:val="21"/>
              <w:adjustRightInd w:val="0"/>
              <w:snapToGrid w:val="0"/>
              <w:spacing w:before="0" w:beforeAutospacing="0" w:after="0" w:afterAutospacing="0"/>
              <w:jc w:val="center"/>
              <w:outlineLvl w:val="0"/>
              <w:rPr>
                <w:rFonts w:hint="default" w:ascii="Times New Roman" w:hAnsi="Times New Roman" w:eastAsia="宋体" w:cs="Times New Roman"/>
                <w:color w:val="auto"/>
                <w:kern w:val="2"/>
                <w:sz w:val="21"/>
                <w:szCs w:val="21"/>
              </w:rPr>
            </w:pPr>
            <w:bookmarkStart w:id="19" w:name="_Toc10438"/>
            <w:r>
              <w:rPr>
                <w:rFonts w:hint="default" w:ascii="Times New Roman" w:hAnsi="Times New Roman" w:eastAsia="宋体" w:cs="Times New Roman"/>
                <w:color w:val="auto"/>
                <w:kern w:val="2"/>
                <w:sz w:val="21"/>
                <w:szCs w:val="21"/>
              </w:rPr>
              <w:t>施工期</w:t>
            </w:r>
            <w:bookmarkEnd w:id="19"/>
          </w:p>
        </w:tc>
        <w:tc>
          <w:tcPr>
            <w:tcW w:w="1469" w:type="pct"/>
            <w:gridSpan w:val="2"/>
            <w:noWrap w:val="0"/>
            <w:vAlign w:val="center"/>
          </w:tcPr>
          <w:p w14:paraId="787BB06D">
            <w:pPr>
              <w:pStyle w:val="21"/>
              <w:adjustRightInd w:val="0"/>
              <w:snapToGrid w:val="0"/>
              <w:spacing w:before="0" w:beforeAutospacing="0" w:after="0" w:afterAutospacing="0"/>
              <w:jc w:val="center"/>
              <w:outlineLvl w:val="0"/>
              <w:rPr>
                <w:rFonts w:hint="default" w:ascii="Times New Roman" w:hAnsi="Times New Roman" w:eastAsia="宋体" w:cs="Times New Roman"/>
                <w:color w:val="auto"/>
                <w:kern w:val="2"/>
                <w:sz w:val="21"/>
                <w:szCs w:val="21"/>
              </w:rPr>
            </w:pPr>
            <w:bookmarkStart w:id="20" w:name="_Toc18103"/>
            <w:r>
              <w:rPr>
                <w:rFonts w:hint="default" w:ascii="Times New Roman" w:hAnsi="Times New Roman" w:eastAsia="宋体" w:cs="Times New Roman"/>
                <w:color w:val="auto"/>
                <w:kern w:val="2"/>
                <w:sz w:val="21"/>
                <w:szCs w:val="21"/>
              </w:rPr>
              <w:t>运营期</w:t>
            </w:r>
            <w:bookmarkEnd w:id="20"/>
          </w:p>
        </w:tc>
      </w:tr>
      <w:tr w14:paraId="2DC961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vMerge w:val="continue"/>
            <w:noWrap w:val="0"/>
            <w:vAlign w:val="top"/>
          </w:tcPr>
          <w:p w14:paraId="70C953D9">
            <w:pPr>
              <w:pStyle w:val="21"/>
              <w:adjustRightInd w:val="0"/>
              <w:snapToGrid w:val="0"/>
              <w:spacing w:before="0" w:beforeAutospacing="0" w:after="0" w:afterAutospacing="0"/>
              <w:ind w:firstLine="840"/>
              <w:jc w:val="center"/>
              <w:outlineLvl w:val="0"/>
              <w:rPr>
                <w:rFonts w:hint="default" w:ascii="Times New Roman" w:hAnsi="Times New Roman" w:eastAsia="宋体" w:cs="Times New Roman"/>
                <w:color w:val="auto"/>
                <w:kern w:val="2"/>
                <w:sz w:val="21"/>
                <w:szCs w:val="21"/>
              </w:rPr>
            </w:pPr>
          </w:p>
        </w:tc>
        <w:tc>
          <w:tcPr>
            <w:tcW w:w="2314" w:type="pct"/>
            <w:noWrap w:val="0"/>
            <w:vAlign w:val="center"/>
          </w:tcPr>
          <w:p w14:paraId="0D18E54E">
            <w:pPr>
              <w:pStyle w:val="21"/>
              <w:adjustRightInd w:val="0"/>
              <w:snapToGrid w:val="0"/>
              <w:spacing w:before="0" w:beforeAutospacing="0" w:after="0" w:afterAutospacing="0"/>
              <w:jc w:val="center"/>
              <w:outlineLvl w:val="0"/>
              <w:rPr>
                <w:rFonts w:hint="default" w:ascii="Times New Roman" w:hAnsi="Times New Roman" w:eastAsia="宋体" w:cs="Times New Roman"/>
                <w:color w:val="auto"/>
                <w:kern w:val="2"/>
                <w:sz w:val="21"/>
                <w:szCs w:val="21"/>
              </w:rPr>
            </w:pPr>
            <w:bookmarkStart w:id="21" w:name="_Toc14805"/>
            <w:r>
              <w:rPr>
                <w:rFonts w:hint="default" w:ascii="Times New Roman" w:hAnsi="Times New Roman" w:eastAsia="宋体" w:cs="Times New Roman"/>
                <w:color w:val="auto"/>
                <w:kern w:val="2"/>
                <w:sz w:val="21"/>
                <w:szCs w:val="21"/>
              </w:rPr>
              <w:t>环境保护措施</w:t>
            </w:r>
            <w:bookmarkEnd w:id="21"/>
          </w:p>
        </w:tc>
        <w:tc>
          <w:tcPr>
            <w:tcW w:w="741" w:type="pct"/>
            <w:noWrap w:val="0"/>
            <w:vAlign w:val="center"/>
          </w:tcPr>
          <w:p w14:paraId="1806E2CB">
            <w:pPr>
              <w:pStyle w:val="21"/>
              <w:adjustRightInd w:val="0"/>
              <w:snapToGrid w:val="0"/>
              <w:spacing w:before="0" w:beforeAutospacing="0" w:after="0" w:afterAutospacing="0"/>
              <w:jc w:val="center"/>
              <w:outlineLvl w:val="0"/>
              <w:rPr>
                <w:rFonts w:hint="default" w:ascii="Times New Roman" w:hAnsi="Times New Roman" w:eastAsia="宋体" w:cs="Times New Roman"/>
                <w:color w:val="auto"/>
                <w:kern w:val="2"/>
                <w:sz w:val="21"/>
                <w:szCs w:val="21"/>
              </w:rPr>
            </w:pPr>
            <w:bookmarkStart w:id="22" w:name="_Toc23452"/>
            <w:r>
              <w:rPr>
                <w:rFonts w:hint="default" w:ascii="Times New Roman" w:hAnsi="Times New Roman" w:eastAsia="宋体" w:cs="Times New Roman"/>
                <w:color w:val="auto"/>
                <w:kern w:val="2"/>
                <w:sz w:val="21"/>
                <w:szCs w:val="21"/>
              </w:rPr>
              <w:t>验收要求</w:t>
            </w:r>
            <w:bookmarkEnd w:id="22"/>
          </w:p>
        </w:tc>
        <w:tc>
          <w:tcPr>
            <w:tcW w:w="946" w:type="pct"/>
            <w:noWrap w:val="0"/>
            <w:vAlign w:val="center"/>
          </w:tcPr>
          <w:p w14:paraId="6A12EAF6">
            <w:pPr>
              <w:pStyle w:val="21"/>
              <w:adjustRightInd w:val="0"/>
              <w:snapToGrid w:val="0"/>
              <w:spacing w:before="0" w:beforeAutospacing="0" w:after="0" w:afterAutospacing="0"/>
              <w:jc w:val="center"/>
              <w:outlineLvl w:val="0"/>
              <w:rPr>
                <w:rFonts w:hint="default" w:ascii="Times New Roman" w:hAnsi="Times New Roman" w:eastAsia="宋体" w:cs="Times New Roman"/>
                <w:color w:val="auto"/>
                <w:kern w:val="2"/>
                <w:sz w:val="21"/>
                <w:szCs w:val="21"/>
              </w:rPr>
            </w:pPr>
            <w:bookmarkStart w:id="23" w:name="_Toc7956"/>
            <w:r>
              <w:rPr>
                <w:rFonts w:hint="default" w:ascii="Times New Roman" w:hAnsi="Times New Roman" w:eastAsia="宋体" w:cs="Times New Roman"/>
                <w:color w:val="auto"/>
                <w:kern w:val="2"/>
                <w:sz w:val="21"/>
                <w:szCs w:val="21"/>
              </w:rPr>
              <w:t>环境保护措施</w:t>
            </w:r>
            <w:bookmarkEnd w:id="23"/>
          </w:p>
        </w:tc>
        <w:tc>
          <w:tcPr>
            <w:tcW w:w="522" w:type="pct"/>
            <w:noWrap w:val="0"/>
            <w:vAlign w:val="center"/>
          </w:tcPr>
          <w:p w14:paraId="2DA6F688">
            <w:pPr>
              <w:pStyle w:val="21"/>
              <w:adjustRightInd w:val="0"/>
              <w:snapToGrid w:val="0"/>
              <w:spacing w:before="0" w:beforeAutospacing="0" w:after="0" w:afterAutospacing="0"/>
              <w:jc w:val="center"/>
              <w:outlineLvl w:val="0"/>
              <w:rPr>
                <w:rFonts w:hint="default" w:ascii="Times New Roman" w:hAnsi="Times New Roman" w:eastAsia="宋体" w:cs="Times New Roman"/>
                <w:color w:val="auto"/>
                <w:kern w:val="2"/>
                <w:sz w:val="21"/>
                <w:szCs w:val="21"/>
              </w:rPr>
            </w:pPr>
            <w:bookmarkStart w:id="24" w:name="_Toc19379"/>
            <w:r>
              <w:rPr>
                <w:rFonts w:hint="default" w:ascii="Times New Roman" w:hAnsi="Times New Roman" w:eastAsia="宋体" w:cs="Times New Roman"/>
                <w:color w:val="auto"/>
                <w:kern w:val="2"/>
                <w:sz w:val="21"/>
                <w:szCs w:val="21"/>
              </w:rPr>
              <w:t>验收要求</w:t>
            </w:r>
            <w:bookmarkEnd w:id="24"/>
          </w:p>
        </w:tc>
      </w:tr>
      <w:tr w14:paraId="3EBAD3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129A71BE">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陆生生态</w:t>
            </w:r>
          </w:p>
        </w:tc>
        <w:tc>
          <w:tcPr>
            <w:tcW w:w="2314" w:type="pct"/>
            <w:noWrap w:val="0"/>
            <w:vAlign w:val="center"/>
          </w:tcPr>
          <w:p w14:paraId="2651D00F">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1）严格按照划定的施工区范围和工程设计要求进行施工，提前做好有效的施工组织计划，不对施工范围以外区域造成破坏。</w:t>
            </w:r>
          </w:p>
          <w:p w14:paraId="7C1A820D">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2）施工区、施工生产区设立围挡，标明施工活动区域，设置自然保护方面的警示宣传牌，提醒施工人员依法保护自然环境。</w:t>
            </w:r>
          </w:p>
          <w:p w14:paraId="08AD3E8F">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3）建设单位必须遵照土地管理相关法律法规，在开工前办理占用相关手续。</w:t>
            </w:r>
          </w:p>
          <w:p w14:paraId="5201F249">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4）施工生产区设置截排水沟和沉淀池；堆存过程中严格按照水保要求加强临时堆场的日常管理，确保挡墙和截排水沟完好运行，减少水土流失。</w:t>
            </w:r>
          </w:p>
          <w:p w14:paraId="43830350">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5）施工结束后对施工生产区、施工区、施工便道等进行生态恢复，在植被恢复中，严禁引入外来入侵植物。</w:t>
            </w:r>
          </w:p>
          <w:p w14:paraId="279BD9C5">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6）在施工临时道路交叉路口处，设置生态保护宣传牌，禁止在工程区域</w:t>
            </w:r>
            <w:r>
              <w:rPr>
                <w:rFonts w:hint="eastAsia" w:cs="Times New Roman"/>
                <w:color w:val="auto"/>
                <w:sz w:val="21"/>
                <w:szCs w:val="24"/>
                <w:lang w:eastAsia="zh-CN"/>
              </w:rPr>
              <w:t>乱砍滥伐</w:t>
            </w:r>
            <w:r>
              <w:rPr>
                <w:rFonts w:hint="default" w:ascii="Times New Roman" w:hAnsi="Times New Roman" w:eastAsia="宋体" w:cs="Times New Roman"/>
                <w:color w:val="auto"/>
                <w:sz w:val="21"/>
                <w:szCs w:val="24"/>
              </w:rPr>
              <w:t>，并将保护生态环境列入施工单位的责任书，增强施工人员保护环境意识。</w:t>
            </w:r>
          </w:p>
          <w:p w14:paraId="4E393D59">
            <w:pPr>
              <w:spacing w:beforeLines="0" w:afterLines="0"/>
              <w:jc w:val="left"/>
              <w:rPr>
                <w:rFonts w:hint="default" w:ascii="Times New Roman" w:hAnsi="Times New Roman" w:eastAsia="宋体" w:cs="Times New Roman"/>
                <w:color w:val="auto"/>
                <w:szCs w:val="21"/>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lang w:val="en-US" w:eastAsia="zh-CN"/>
              </w:rPr>
              <w:t>7</w:t>
            </w:r>
            <w:r>
              <w:rPr>
                <w:rFonts w:hint="default" w:ascii="Times New Roman" w:hAnsi="Times New Roman" w:eastAsia="宋体" w:cs="Times New Roman"/>
                <w:color w:val="auto"/>
                <w:sz w:val="21"/>
                <w:szCs w:val="24"/>
                <w:lang w:eastAsia="zh-CN"/>
              </w:rPr>
              <w:t>）</w:t>
            </w:r>
            <w:r>
              <w:rPr>
                <w:rFonts w:hint="default" w:ascii="Times New Roman" w:hAnsi="Times New Roman" w:eastAsia="宋体" w:cs="Times New Roman"/>
                <w:color w:val="auto"/>
                <w:sz w:val="21"/>
                <w:szCs w:val="24"/>
              </w:rPr>
              <w:t>坚持“先防护、后开工”的原则，施工过程中尽量减少对动物栖息地生境的破坏，降低噪声对动物的影响。</w:t>
            </w:r>
          </w:p>
        </w:tc>
        <w:tc>
          <w:tcPr>
            <w:tcW w:w="741" w:type="pct"/>
            <w:noWrap w:val="0"/>
            <w:vAlign w:val="center"/>
          </w:tcPr>
          <w:p w14:paraId="0AED8047">
            <w:pPr>
              <w:spacing w:beforeLines="0" w:afterLines="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 w:val="21"/>
                <w:szCs w:val="24"/>
              </w:rPr>
              <w:t>施工生产区、施工区、施工临时道路占用的公共管理与公共服务用地恢复绿化，水土流失得到有效控制。</w:t>
            </w:r>
          </w:p>
        </w:tc>
        <w:tc>
          <w:tcPr>
            <w:tcW w:w="946" w:type="pct"/>
            <w:noWrap w:val="0"/>
            <w:vAlign w:val="center"/>
          </w:tcPr>
          <w:p w14:paraId="0FF51760">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522" w:type="pct"/>
            <w:noWrap w:val="0"/>
            <w:vAlign w:val="center"/>
          </w:tcPr>
          <w:p w14:paraId="7AF58118">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31F364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47F11ED7">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水生生态</w:t>
            </w:r>
          </w:p>
        </w:tc>
        <w:tc>
          <w:tcPr>
            <w:tcW w:w="2314" w:type="pct"/>
            <w:noWrap w:val="0"/>
            <w:vAlign w:val="center"/>
          </w:tcPr>
          <w:p w14:paraId="5559F7E9">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1）做好施工期“三废”管理，施工生产废水全部回用，不外排；施工固废应妥善处置，禁止排入河道内阻塞，影响鱼类生存。</w:t>
            </w:r>
          </w:p>
          <w:p w14:paraId="39B723D5">
            <w:pPr>
              <w:spacing w:beforeLines="0" w:afterLines="0"/>
              <w:jc w:val="left"/>
              <w:rPr>
                <w:rFonts w:hint="default" w:ascii="Times New Roman" w:hAnsi="Times New Roman" w:eastAsia="宋体" w:cs="Times New Roman"/>
                <w:color w:val="auto"/>
                <w:szCs w:val="21"/>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2）项目施工过程中保留河床原有形态，禁止开采河床。</w:t>
            </w:r>
          </w:p>
        </w:tc>
        <w:tc>
          <w:tcPr>
            <w:tcW w:w="741" w:type="pct"/>
            <w:noWrap w:val="0"/>
            <w:vAlign w:val="center"/>
          </w:tcPr>
          <w:p w14:paraId="447B3517">
            <w:pPr>
              <w:spacing w:beforeLines="0" w:afterLines="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 w:val="21"/>
                <w:szCs w:val="24"/>
              </w:rPr>
              <w:t>不降低环境功能</w:t>
            </w:r>
          </w:p>
        </w:tc>
        <w:tc>
          <w:tcPr>
            <w:tcW w:w="946" w:type="pct"/>
            <w:noWrap w:val="0"/>
            <w:vAlign w:val="center"/>
          </w:tcPr>
          <w:p w14:paraId="0DF890AE">
            <w:pPr>
              <w:spacing w:beforeLines="0" w:afterLines="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针对</w:t>
            </w:r>
            <w:r>
              <w:rPr>
                <w:rFonts w:hint="default" w:ascii="Times New Roman" w:hAnsi="Times New Roman" w:cs="Times New Roman"/>
                <w:b w:val="0"/>
                <w:bCs w:val="0"/>
                <w:color w:val="auto"/>
                <w:sz w:val="21"/>
                <w:szCs w:val="21"/>
                <w:highlight w:val="none"/>
              </w:rPr>
              <w:t>沙河水环境综合整治工程</w:t>
            </w:r>
            <w:r>
              <w:rPr>
                <w:rFonts w:hint="default" w:ascii="Times New Roman" w:hAnsi="Times New Roman" w:cs="Times New Roman"/>
                <w:b w:val="0"/>
                <w:bCs w:val="0"/>
                <w:color w:val="auto"/>
                <w:sz w:val="21"/>
                <w:szCs w:val="21"/>
                <w:highlight w:val="none"/>
                <w:lang w:eastAsia="zh-CN"/>
              </w:rPr>
              <w:t>：</w:t>
            </w:r>
            <w:r>
              <w:rPr>
                <w:rFonts w:hint="eastAsia" w:cs="Times New Roman"/>
                <w:color w:val="auto"/>
                <w:sz w:val="21"/>
                <w:szCs w:val="21"/>
                <w:lang w:eastAsia="zh-CN"/>
              </w:rPr>
              <w:t>（</w:t>
            </w:r>
            <w:r>
              <w:rPr>
                <w:rFonts w:hint="default" w:ascii="Times New Roman" w:hAnsi="Times New Roman" w:eastAsia="TimesNewRomanPSMT" w:cs="Times New Roman"/>
                <w:color w:val="auto"/>
                <w:sz w:val="21"/>
                <w:szCs w:val="21"/>
              </w:rPr>
              <w:t>1</w:t>
            </w:r>
            <w:r>
              <w:rPr>
                <w:rFonts w:hint="default" w:ascii="Times New Roman" w:hAnsi="Times New Roman" w:eastAsia="宋体" w:cs="Times New Roman"/>
                <w:color w:val="auto"/>
                <w:sz w:val="21"/>
                <w:szCs w:val="21"/>
              </w:rPr>
              <w:t>）定期巡查河道堤防，保证河道堤防的完好，河道内无大量砂石、泥土堵塞现象影响河道泄洪。</w:t>
            </w:r>
          </w:p>
          <w:p w14:paraId="69F4319A">
            <w:pPr>
              <w:spacing w:beforeLines="0" w:afterLines="0"/>
              <w:jc w:val="left"/>
              <w:rPr>
                <w:rFonts w:hint="default" w:ascii="Times New Roman" w:hAnsi="Times New Roman" w:eastAsia="宋体" w:cs="Times New Roman"/>
                <w:color w:val="auto"/>
                <w:sz w:val="21"/>
                <w:szCs w:val="21"/>
              </w:rPr>
            </w:pPr>
            <w:r>
              <w:rPr>
                <w:rFonts w:hint="eastAsia" w:cs="Times New Roman"/>
                <w:color w:val="auto"/>
                <w:sz w:val="21"/>
                <w:szCs w:val="21"/>
                <w:lang w:eastAsia="zh-CN"/>
              </w:rPr>
              <w:t>（</w:t>
            </w:r>
            <w:r>
              <w:rPr>
                <w:rFonts w:hint="default" w:ascii="Times New Roman" w:hAnsi="Times New Roman" w:eastAsia="TimesNewRomanPSMT" w:cs="Times New Roman"/>
                <w:color w:val="auto"/>
                <w:sz w:val="21"/>
                <w:szCs w:val="21"/>
              </w:rPr>
              <w:t>2</w:t>
            </w:r>
            <w:r>
              <w:rPr>
                <w:rFonts w:hint="default" w:ascii="Times New Roman" w:hAnsi="Times New Roman" w:eastAsia="宋体" w:cs="Times New Roman"/>
                <w:color w:val="auto"/>
                <w:sz w:val="21"/>
                <w:szCs w:val="21"/>
              </w:rPr>
              <w:t>）加强水政及环保法规宣传教育，严禁在工程所在河道内乱扔垃圾。</w:t>
            </w:r>
          </w:p>
        </w:tc>
        <w:tc>
          <w:tcPr>
            <w:tcW w:w="522" w:type="pct"/>
            <w:noWrap w:val="0"/>
            <w:vAlign w:val="center"/>
          </w:tcPr>
          <w:p w14:paraId="0F73301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r w14:paraId="22BF6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54D4116A">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地表水环境</w:t>
            </w:r>
          </w:p>
        </w:tc>
        <w:tc>
          <w:tcPr>
            <w:tcW w:w="2314" w:type="pct"/>
            <w:noWrap w:val="0"/>
            <w:vAlign w:val="center"/>
          </w:tcPr>
          <w:p w14:paraId="0B5E6963">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1）在施工场地设置临时截排水沟，并在总排水沟出口处设置临时沉砂池，用以收集和处理产生的泥沙废水，经沉淀处理后的废水可回用于施工现场的洒水降尘和混凝土保养，禁止将未进行沉淀处理的废水随意乱排。</w:t>
            </w:r>
          </w:p>
          <w:p w14:paraId="4B89447D">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2）施工期运输车辆及施工机具的冲洗废水，经施工场地内设置临时沉砂池沉淀处理后，全部回</w:t>
            </w:r>
            <w:r>
              <w:rPr>
                <w:rFonts w:hint="eastAsia" w:cs="Times New Roman"/>
                <w:color w:val="auto"/>
                <w:sz w:val="21"/>
                <w:szCs w:val="24"/>
                <w:lang w:eastAsia="zh-CN"/>
              </w:rPr>
              <w:t>用作</w:t>
            </w:r>
            <w:r>
              <w:rPr>
                <w:rFonts w:hint="default" w:ascii="Times New Roman" w:hAnsi="Times New Roman" w:eastAsia="宋体" w:cs="Times New Roman"/>
                <w:color w:val="auto"/>
                <w:sz w:val="21"/>
                <w:szCs w:val="24"/>
              </w:rPr>
              <w:t>项目区施工养护和洒水降尘，</w:t>
            </w:r>
          </w:p>
          <w:p w14:paraId="348E3381">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3）在修建车辆清洗池、沉沙池的时候必须注意进行防渗处理。</w:t>
            </w:r>
          </w:p>
          <w:p w14:paraId="5D0F13B8">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1"/>
                <w:highlight w:val="none"/>
                <w:lang w:val="en-US" w:eastAsia="zh-CN"/>
              </w:rPr>
              <w:t>管道采用清水试压，试压废水</w:t>
            </w:r>
            <w:r>
              <w:rPr>
                <w:rFonts w:hint="default" w:ascii="Times New Roman" w:hAnsi="Times New Roman" w:cs="Times New Roman"/>
                <w:color w:val="auto"/>
                <w:sz w:val="21"/>
                <w:szCs w:val="21"/>
                <w:highlight w:val="none"/>
                <w:lang w:val="en-US" w:eastAsia="zh-CN"/>
              </w:rPr>
              <w:t>经沉淀池沉淀处理后</w:t>
            </w:r>
            <w:r>
              <w:rPr>
                <w:rFonts w:hint="default" w:ascii="Times New Roman" w:hAnsi="Times New Roman" w:eastAsia="宋体" w:cs="Times New Roman"/>
                <w:color w:val="auto"/>
                <w:sz w:val="21"/>
                <w:szCs w:val="21"/>
                <w:highlight w:val="none"/>
                <w:lang w:val="en-US" w:eastAsia="zh-CN"/>
              </w:rPr>
              <w:t>就近排入附近</w:t>
            </w:r>
            <w:r>
              <w:rPr>
                <w:rFonts w:hint="default" w:ascii="Times New Roman" w:hAnsi="Times New Roman" w:cs="Times New Roman"/>
                <w:color w:val="auto"/>
                <w:sz w:val="21"/>
                <w:szCs w:val="21"/>
                <w:highlight w:val="none"/>
                <w:lang w:val="en-US" w:eastAsia="zh-CN"/>
              </w:rPr>
              <w:t>沟渠、</w:t>
            </w:r>
            <w:r>
              <w:rPr>
                <w:rFonts w:hint="default" w:ascii="Times New Roman" w:hAnsi="Times New Roman" w:eastAsia="宋体" w:cs="Times New Roman"/>
                <w:color w:val="auto"/>
                <w:sz w:val="21"/>
                <w:szCs w:val="21"/>
                <w:highlight w:val="none"/>
                <w:lang w:val="en-US" w:eastAsia="zh-CN"/>
              </w:rPr>
              <w:t>耕地</w:t>
            </w:r>
            <w:r>
              <w:rPr>
                <w:rFonts w:hint="eastAsia" w:ascii="Times New Roman" w:hAnsi="Times New Roman" w:eastAsia="宋体" w:cs="Times New Roman"/>
                <w:color w:val="auto"/>
                <w:sz w:val="21"/>
                <w:szCs w:val="21"/>
                <w:highlight w:val="none"/>
                <w:lang w:val="en-US" w:eastAsia="zh-CN"/>
              </w:rPr>
              <w:t>。</w:t>
            </w:r>
          </w:p>
        </w:tc>
        <w:tc>
          <w:tcPr>
            <w:tcW w:w="741" w:type="pct"/>
            <w:noWrap w:val="0"/>
            <w:vAlign w:val="center"/>
          </w:tcPr>
          <w:p w14:paraId="609D54B8">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 w:val="21"/>
                <w:szCs w:val="24"/>
                <w:lang w:val="en-US" w:eastAsia="zh-CN"/>
              </w:rPr>
              <w:t>不外排。</w:t>
            </w:r>
            <w:r>
              <w:rPr>
                <w:rFonts w:hint="default" w:ascii="Times New Roman" w:hAnsi="Times New Roman" w:eastAsia="宋体" w:cs="Times New Roman"/>
                <w:color w:val="auto"/>
                <w:sz w:val="21"/>
                <w:szCs w:val="24"/>
              </w:rPr>
              <w:t>不降低环境功能</w:t>
            </w:r>
          </w:p>
        </w:tc>
        <w:tc>
          <w:tcPr>
            <w:tcW w:w="946" w:type="pct"/>
            <w:noWrap w:val="0"/>
            <w:vAlign w:val="center"/>
          </w:tcPr>
          <w:p w14:paraId="1C815F59">
            <w:pPr>
              <w:spacing w:beforeLines="0" w:afterLines="0"/>
              <w:jc w:val="left"/>
              <w:rPr>
                <w:rFonts w:hint="default" w:ascii="Times New Roman" w:hAnsi="Times New Roman" w:eastAsia="宋体" w:cs="Times New Roman"/>
                <w:color w:val="auto"/>
                <w:sz w:val="21"/>
                <w:szCs w:val="24"/>
                <w:lang w:val="en-US" w:eastAsia="zh-CN"/>
              </w:rPr>
            </w:pPr>
            <w:r>
              <w:rPr>
                <w:rFonts w:hint="eastAsia" w:cs="Times New Roman"/>
                <w:b w:val="0"/>
                <w:bCs w:val="0"/>
                <w:color w:val="auto"/>
                <w:spacing w:val="0"/>
                <w:sz w:val="21"/>
                <w:szCs w:val="21"/>
                <w:lang w:val="en-US" w:eastAsia="zh-CN"/>
              </w:rPr>
              <w:t>正常运行过程中无废水外排；事故及检修情况下废水直接就近排入附近地表水体</w:t>
            </w:r>
            <w:r>
              <w:rPr>
                <w:rFonts w:hint="default" w:ascii="Times New Roman" w:hAnsi="Times New Roman" w:eastAsia="宋体" w:cs="Times New Roman"/>
                <w:color w:val="auto"/>
                <w:sz w:val="21"/>
                <w:szCs w:val="24"/>
                <w:lang w:val="en-US" w:eastAsia="zh-CN"/>
              </w:rPr>
              <w:t>。</w:t>
            </w:r>
          </w:p>
        </w:tc>
        <w:tc>
          <w:tcPr>
            <w:tcW w:w="522" w:type="pct"/>
            <w:noWrap w:val="0"/>
            <w:vAlign w:val="center"/>
          </w:tcPr>
          <w:p w14:paraId="51531343">
            <w:pPr>
              <w:spacing w:beforeLines="0" w:afterLines="0"/>
              <w:jc w:val="left"/>
              <w:rPr>
                <w:rFonts w:hint="default" w:ascii="Times New Roman" w:hAnsi="Times New Roman" w:eastAsia="宋体" w:cs="Times New Roman"/>
                <w:color w:val="auto"/>
                <w:sz w:val="21"/>
                <w:szCs w:val="24"/>
                <w:lang w:val="en-US" w:eastAsia="zh-CN"/>
              </w:rPr>
            </w:pPr>
            <w:r>
              <w:rPr>
                <w:rFonts w:hint="eastAsia" w:cs="Times New Roman"/>
                <w:color w:val="auto"/>
                <w:sz w:val="21"/>
                <w:szCs w:val="24"/>
                <w:lang w:val="en-US" w:eastAsia="zh-CN"/>
              </w:rPr>
              <w:t>/</w:t>
            </w:r>
          </w:p>
        </w:tc>
      </w:tr>
      <w:tr w14:paraId="59E061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1E95EFD8">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地下水及土壤环境</w:t>
            </w:r>
          </w:p>
        </w:tc>
        <w:tc>
          <w:tcPr>
            <w:tcW w:w="2314" w:type="pct"/>
            <w:noWrap w:val="0"/>
            <w:vAlign w:val="center"/>
          </w:tcPr>
          <w:p w14:paraId="343E658C">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741" w:type="pct"/>
            <w:noWrap w:val="0"/>
            <w:vAlign w:val="center"/>
          </w:tcPr>
          <w:p w14:paraId="286B86FB">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946" w:type="pct"/>
            <w:noWrap w:val="0"/>
            <w:vAlign w:val="center"/>
          </w:tcPr>
          <w:p w14:paraId="76A42CFD">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522" w:type="pct"/>
            <w:noWrap w:val="0"/>
            <w:vAlign w:val="center"/>
          </w:tcPr>
          <w:p w14:paraId="289DB6F2">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076908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4CCA7C1A">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声环境</w:t>
            </w:r>
          </w:p>
        </w:tc>
        <w:tc>
          <w:tcPr>
            <w:tcW w:w="2314" w:type="pct"/>
            <w:noWrap w:val="0"/>
            <w:vAlign w:val="center"/>
          </w:tcPr>
          <w:p w14:paraId="54ECF9A8">
            <w:pPr>
              <w:spacing w:beforeLines="0" w:afterLines="0"/>
              <w:jc w:val="left"/>
              <w:rPr>
                <w:rFonts w:hint="default" w:ascii="Times New Roman" w:hAnsi="Times New Roman" w:eastAsia="宋体" w:cs="Times New Roman"/>
                <w:color w:val="auto"/>
                <w:sz w:val="21"/>
                <w:szCs w:val="24"/>
                <w:highlight w:val="none"/>
              </w:rPr>
            </w:pPr>
            <w:r>
              <w:rPr>
                <w:rFonts w:hint="eastAsia" w:cs="Times New Roman"/>
                <w:color w:val="auto"/>
                <w:sz w:val="21"/>
                <w:szCs w:val="24"/>
                <w:highlight w:val="none"/>
                <w:lang w:eastAsia="zh-CN"/>
              </w:rPr>
              <w:t>（</w:t>
            </w:r>
            <w:r>
              <w:rPr>
                <w:rFonts w:hint="default" w:ascii="Times New Roman" w:hAnsi="Times New Roman" w:eastAsia="宋体" w:cs="Times New Roman"/>
                <w:color w:val="auto"/>
                <w:sz w:val="21"/>
                <w:szCs w:val="24"/>
                <w:highlight w:val="none"/>
              </w:rPr>
              <w:t>1）合理安排施工时间，禁止夜间施工。</w:t>
            </w:r>
          </w:p>
          <w:p w14:paraId="32B5C49D">
            <w:pPr>
              <w:spacing w:beforeLines="0" w:afterLines="0"/>
              <w:jc w:val="left"/>
              <w:rPr>
                <w:rFonts w:hint="default" w:ascii="Times New Roman" w:hAnsi="Times New Roman" w:eastAsia="宋体" w:cs="Times New Roman"/>
                <w:color w:val="auto"/>
                <w:sz w:val="21"/>
                <w:szCs w:val="24"/>
                <w:highlight w:val="none"/>
              </w:rPr>
            </w:pPr>
            <w:r>
              <w:rPr>
                <w:rFonts w:hint="eastAsia" w:cs="Times New Roman"/>
                <w:color w:val="auto"/>
                <w:sz w:val="21"/>
                <w:szCs w:val="24"/>
                <w:highlight w:val="none"/>
                <w:lang w:eastAsia="zh-CN"/>
              </w:rPr>
              <w:t>（</w:t>
            </w:r>
            <w:r>
              <w:rPr>
                <w:rFonts w:hint="default" w:ascii="Times New Roman" w:hAnsi="Times New Roman" w:eastAsia="宋体" w:cs="Times New Roman"/>
                <w:color w:val="auto"/>
                <w:sz w:val="21"/>
                <w:szCs w:val="24"/>
                <w:highlight w:val="none"/>
              </w:rPr>
              <w:t>2）在</w:t>
            </w:r>
            <w:r>
              <w:rPr>
                <w:rFonts w:hint="default" w:ascii="Times New Roman" w:hAnsi="Times New Roman" w:eastAsia="宋体" w:cs="Times New Roman"/>
                <w:color w:val="auto"/>
                <w:sz w:val="21"/>
                <w:szCs w:val="24"/>
                <w:highlight w:val="none"/>
                <w:lang w:val="en-US" w:eastAsia="zh-CN"/>
              </w:rPr>
              <w:t>施工区域</w:t>
            </w:r>
            <w:r>
              <w:rPr>
                <w:rFonts w:hint="default" w:ascii="Times New Roman" w:hAnsi="Times New Roman" w:eastAsia="宋体" w:cs="Times New Roman"/>
                <w:color w:val="auto"/>
                <w:sz w:val="21"/>
                <w:szCs w:val="24"/>
                <w:highlight w:val="none"/>
              </w:rPr>
              <w:t>临近敏感点一侧</w:t>
            </w:r>
            <w:r>
              <w:rPr>
                <w:rFonts w:hint="eastAsia" w:cs="Times New Roman"/>
                <w:color w:val="auto"/>
                <w:sz w:val="21"/>
                <w:szCs w:val="24"/>
                <w:highlight w:val="none"/>
                <w:lang w:eastAsia="zh-CN"/>
              </w:rPr>
              <w:t>厂</w:t>
            </w:r>
            <w:r>
              <w:rPr>
                <w:rFonts w:hint="default" w:ascii="Times New Roman" w:hAnsi="Times New Roman" w:eastAsia="宋体" w:cs="Times New Roman"/>
                <w:color w:val="auto"/>
                <w:sz w:val="21"/>
                <w:szCs w:val="24"/>
                <w:highlight w:val="none"/>
              </w:rPr>
              <w:t>界设置临时围挡作为隔声降噪措施。</w:t>
            </w:r>
          </w:p>
          <w:p w14:paraId="6C0E612E">
            <w:pPr>
              <w:spacing w:beforeLines="0" w:afterLines="0"/>
              <w:jc w:val="left"/>
              <w:rPr>
                <w:rFonts w:hint="default" w:ascii="Times New Roman" w:hAnsi="Times New Roman" w:eastAsia="宋体" w:cs="Times New Roman"/>
                <w:color w:val="auto"/>
                <w:sz w:val="21"/>
                <w:szCs w:val="24"/>
                <w:highlight w:val="none"/>
              </w:rPr>
            </w:pPr>
            <w:r>
              <w:rPr>
                <w:rFonts w:hint="eastAsia" w:cs="Times New Roman"/>
                <w:color w:val="auto"/>
                <w:sz w:val="21"/>
                <w:szCs w:val="24"/>
                <w:highlight w:val="none"/>
                <w:lang w:eastAsia="zh-CN"/>
              </w:rPr>
              <w:t>（</w:t>
            </w:r>
            <w:r>
              <w:rPr>
                <w:rFonts w:hint="default" w:ascii="Times New Roman" w:hAnsi="Times New Roman" w:eastAsia="宋体" w:cs="Times New Roman"/>
                <w:color w:val="auto"/>
                <w:sz w:val="21"/>
                <w:szCs w:val="24"/>
                <w:highlight w:val="none"/>
              </w:rPr>
              <w:t>3）对施工机械进行维护，减小施工机械的施工噪声，同时施工单位应设专人对设备进行定期保养和维护。</w:t>
            </w:r>
          </w:p>
          <w:p w14:paraId="29585BF6">
            <w:pPr>
              <w:spacing w:beforeLines="0" w:afterLines="0"/>
              <w:jc w:val="left"/>
              <w:rPr>
                <w:rFonts w:hint="default" w:ascii="Times New Roman" w:hAnsi="Times New Roman" w:eastAsia="宋体" w:cs="Times New Roman"/>
                <w:color w:val="auto"/>
                <w:szCs w:val="21"/>
                <w:highlight w:val="none"/>
              </w:rPr>
            </w:pPr>
            <w:r>
              <w:rPr>
                <w:rFonts w:hint="eastAsia" w:cs="Times New Roman"/>
                <w:color w:val="auto"/>
                <w:sz w:val="21"/>
                <w:szCs w:val="24"/>
                <w:highlight w:val="none"/>
                <w:lang w:eastAsia="zh-CN"/>
              </w:rPr>
              <w:t>（</w:t>
            </w:r>
            <w:r>
              <w:rPr>
                <w:rFonts w:hint="default" w:ascii="Times New Roman" w:hAnsi="Times New Roman" w:eastAsia="宋体" w:cs="Times New Roman"/>
                <w:color w:val="auto"/>
                <w:sz w:val="21"/>
                <w:szCs w:val="24"/>
                <w:highlight w:val="none"/>
              </w:rPr>
              <w:t>4）运输过程中的车辆应尽量避免在夜间运输，限制车速，经过居民点时严禁鸣笛，做到文明行车。</w:t>
            </w:r>
          </w:p>
        </w:tc>
        <w:tc>
          <w:tcPr>
            <w:tcW w:w="741" w:type="pct"/>
            <w:noWrap w:val="0"/>
            <w:vAlign w:val="center"/>
          </w:tcPr>
          <w:p w14:paraId="65E2AFF4">
            <w:pPr>
              <w:spacing w:beforeLines="0" w:afterLines="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4"/>
                <w:highlight w:val="none"/>
              </w:rPr>
              <w:t>达到</w:t>
            </w:r>
            <w:r>
              <w:rPr>
                <w:rFonts w:hint="eastAsia" w:cs="Times New Roman"/>
                <w:color w:val="auto"/>
                <w:sz w:val="21"/>
                <w:szCs w:val="24"/>
                <w:highlight w:val="none"/>
                <w:lang w:eastAsia="zh-CN"/>
              </w:rPr>
              <w:t>GB12523-2025</w:t>
            </w:r>
            <w:r>
              <w:rPr>
                <w:rFonts w:hint="default" w:ascii="Times New Roman" w:hAnsi="Times New Roman" w:eastAsia="宋体" w:cs="Times New Roman"/>
                <w:color w:val="auto"/>
                <w:sz w:val="21"/>
                <w:szCs w:val="24"/>
                <w:highlight w:val="none"/>
              </w:rPr>
              <w:t>《</w:t>
            </w:r>
            <w:r>
              <w:rPr>
                <w:rFonts w:hint="eastAsia" w:cs="Times New Roman"/>
                <w:color w:val="auto"/>
                <w:sz w:val="21"/>
                <w:szCs w:val="24"/>
                <w:highlight w:val="none"/>
                <w:lang w:eastAsia="zh-CN"/>
              </w:rPr>
              <w:t>建筑施工噪声排放标准</w:t>
            </w:r>
            <w:r>
              <w:rPr>
                <w:rFonts w:hint="default" w:ascii="Times New Roman" w:hAnsi="Times New Roman" w:eastAsia="宋体" w:cs="Times New Roman"/>
                <w:color w:val="auto"/>
                <w:sz w:val="21"/>
                <w:szCs w:val="24"/>
                <w:highlight w:val="none"/>
              </w:rPr>
              <w:t>》限值</w:t>
            </w:r>
          </w:p>
        </w:tc>
        <w:tc>
          <w:tcPr>
            <w:tcW w:w="946" w:type="pct"/>
            <w:noWrap w:val="0"/>
            <w:vAlign w:val="center"/>
          </w:tcPr>
          <w:p w14:paraId="4EE5F214">
            <w:pPr>
              <w:spacing w:beforeLines="0" w:afterLines="0"/>
              <w:jc w:val="left"/>
              <w:rPr>
                <w:rFonts w:hint="default" w:ascii="Times New Roman" w:hAnsi="Times New Roman" w:eastAsia="宋体" w:cs="Times New Roman"/>
                <w:color w:val="auto"/>
                <w:sz w:val="21"/>
                <w:szCs w:val="24"/>
                <w:lang w:val="en-US" w:eastAsia="zh-CN"/>
              </w:rPr>
            </w:pPr>
            <w:r>
              <w:rPr>
                <w:rFonts w:hint="eastAsia" w:cs="Times New Roman"/>
                <w:color w:val="auto"/>
                <w:sz w:val="21"/>
                <w:szCs w:val="24"/>
                <w:lang w:val="en-US" w:eastAsia="zh-CN"/>
              </w:rPr>
              <w:t>泵站</w:t>
            </w:r>
            <w:r>
              <w:rPr>
                <w:rFonts w:hint="default" w:ascii="Times New Roman" w:hAnsi="Times New Roman" w:eastAsia="宋体" w:cs="Times New Roman"/>
                <w:color w:val="auto"/>
                <w:sz w:val="21"/>
                <w:szCs w:val="24"/>
                <w:lang w:val="en-US" w:eastAsia="zh-CN"/>
              </w:rPr>
              <w:t>：加强设备维护、管理，确保正常运行，使厂界噪声达标排放</w:t>
            </w:r>
          </w:p>
        </w:tc>
        <w:tc>
          <w:tcPr>
            <w:tcW w:w="522" w:type="pct"/>
            <w:noWrap w:val="0"/>
            <w:vAlign w:val="center"/>
          </w:tcPr>
          <w:p w14:paraId="53A5E470">
            <w:pPr>
              <w:spacing w:beforeLines="0" w:afterLines="0"/>
              <w:jc w:val="left"/>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《工业企业厂界环境噪声排放标准》</w:t>
            </w:r>
            <w:r>
              <w:rPr>
                <w:rFonts w:hint="eastAsia" w:cs="Times New Roman"/>
                <w:color w:val="auto"/>
                <w:sz w:val="21"/>
                <w:szCs w:val="24"/>
                <w:lang w:val="en-US" w:eastAsia="zh-CN"/>
              </w:rPr>
              <w:t>（</w:t>
            </w:r>
            <w:r>
              <w:rPr>
                <w:rFonts w:hint="default" w:ascii="Times New Roman" w:hAnsi="Times New Roman" w:eastAsia="宋体" w:cs="Times New Roman"/>
                <w:color w:val="auto"/>
                <w:sz w:val="21"/>
                <w:szCs w:val="24"/>
                <w:lang w:val="en-US" w:eastAsia="zh-CN"/>
              </w:rPr>
              <w:t>GB12348-2008）中2类标准</w:t>
            </w:r>
          </w:p>
        </w:tc>
      </w:tr>
      <w:tr w14:paraId="4B033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7C01B496">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振动</w:t>
            </w:r>
          </w:p>
        </w:tc>
        <w:tc>
          <w:tcPr>
            <w:tcW w:w="2314" w:type="pct"/>
            <w:noWrap w:val="0"/>
            <w:vAlign w:val="center"/>
          </w:tcPr>
          <w:p w14:paraId="280A8E3B">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741" w:type="pct"/>
            <w:noWrap w:val="0"/>
            <w:vAlign w:val="center"/>
          </w:tcPr>
          <w:p w14:paraId="664FEE29">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946" w:type="pct"/>
            <w:noWrap w:val="0"/>
            <w:vAlign w:val="center"/>
          </w:tcPr>
          <w:p w14:paraId="7EB93933">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522" w:type="pct"/>
            <w:noWrap w:val="0"/>
            <w:vAlign w:val="center"/>
          </w:tcPr>
          <w:p w14:paraId="290CAB3F">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23135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087E169D">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大气环境</w:t>
            </w:r>
          </w:p>
        </w:tc>
        <w:tc>
          <w:tcPr>
            <w:tcW w:w="2314" w:type="pct"/>
            <w:noWrap w:val="0"/>
            <w:vAlign w:val="center"/>
          </w:tcPr>
          <w:p w14:paraId="226E4599">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1）在施工过程中，在施工区临近道路一侧设置施工临时围挡。</w:t>
            </w:r>
          </w:p>
          <w:p w14:paraId="67869738">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2）施工生产区工地进出口处地面进行硬化处理。</w:t>
            </w:r>
          </w:p>
          <w:p w14:paraId="052CC797">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3）加强施工现场运输车辆管理。运输的车辆必须车身整洁，装载车厢完好，装载货物堆码整齐，运输建筑材料及建筑垃圾的车辆加盖篷布以减少洒落，不得污染道路。</w:t>
            </w:r>
          </w:p>
          <w:p w14:paraId="65DD3EC2">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4）本项目施工期施工临时道路及通道、作业区采取洒水降尘措施，100%洒水降尘。基坑周边必须采取洒水降尘措施；土方开挖区域，采取湿作业法取土并洒水降尘。</w:t>
            </w:r>
          </w:p>
          <w:p w14:paraId="1C74AF9F">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5）施工过程中粉尘逸散性的工程材料、砂石或废弃物，应当集中堆置于区域避风处，覆盖篷布，定期洒水降尘并及时清运至合法的处置场处置。</w:t>
            </w:r>
          </w:p>
          <w:p w14:paraId="7D82873A">
            <w:pPr>
              <w:spacing w:beforeLines="0" w:afterLines="0"/>
              <w:jc w:val="left"/>
              <w:rPr>
                <w:rFonts w:hint="default" w:ascii="Times New Roman" w:hAnsi="Times New Roman" w:eastAsia="宋体" w:cs="Times New Roman"/>
                <w:color w:val="auto"/>
                <w:sz w:val="21"/>
                <w:szCs w:val="24"/>
              </w:rPr>
            </w:pPr>
            <w:r>
              <w:rPr>
                <w:rFonts w:hint="eastAsia" w:cs="Times New Roman"/>
                <w:color w:val="auto"/>
                <w:sz w:val="21"/>
                <w:szCs w:val="24"/>
                <w:lang w:eastAsia="zh-CN"/>
              </w:rPr>
              <w:t>（</w:t>
            </w:r>
            <w:r>
              <w:rPr>
                <w:rFonts w:hint="default" w:ascii="Times New Roman" w:hAnsi="Times New Roman" w:eastAsia="宋体" w:cs="Times New Roman"/>
                <w:color w:val="auto"/>
                <w:sz w:val="21"/>
                <w:szCs w:val="24"/>
              </w:rPr>
              <w:t>6）推行绿色文明施工管理模式，建设单位、施工单位在合同中依法明确扬尘污染治理实施方案和责任，并将防治费用列入工程成本，单独列支，专款专用。实施扬尘污染防治保证金制度。切实履行工地门前三包责任制，保持出入口及周边道路的清洁。置。</w:t>
            </w:r>
          </w:p>
          <w:p w14:paraId="09F96C67">
            <w:pPr>
              <w:spacing w:beforeLines="0" w:afterLines="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 w:val="21"/>
                <w:szCs w:val="24"/>
              </w:rPr>
              <w:t>⑥推行绿色文明施工管理模式，建设单位、施工单位在合同中依法明确扬尘污染治理实施方案和责任，并将防治费用列入工程成本，单独列支，专款专用。实施扬尘污染防治保证金制度。切实履行工地门前三包责任制，保持出入口及周边道路的清洁。</w:t>
            </w:r>
          </w:p>
        </w:tc>
        <w:tc>
          <w:tcPr>
            <w:tcW w:w="741" w:type="pct"/>
            <w:noWrap w:val="0"/>
            <w:vAlign w:val="center"/>
          </w:tcPr>
          <w:p w14:paraId="4A0113AC">
            <w:pPr>
              <w:spacing w:beforeLines="0" w:afterLines="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 w:val="21"/>
                <w:szCs w:val="24"/>
              </w:rPr>
              <w:t>无组织粉尘排放执行：《大气污染物综合排放标准》</w:t>
            </w:r>
            <w:r>
              <w:rPr>
                <w:rFonts w:hint="eastAsia" w:cs="Times New Roman"/>
                <w:color w:val="auto"/>
                <w:sz w:val="21"/>
                <w:szCs w:val="24"/>
                <w:lang w:eastAsia="zh-CN"/>
              </w:rPr>
              <w:t>（</w:t>
            </w:r>
            <w:r>
              <w:rPr>
                <w:rFonts w:hint="default" w:ascii="Times New Roman" w:hAnsi="Times New Roman" w:eastAsia="宋体" w:cs="Times New Roman"/>
                <w:color w:val="auto"/>
                <w:sz w:val="21"/>
                <w:szCs w:val="24"/>
              </w:rPr>
              <w:t>GB16297-1996）表2无组织排放浓度限值。</w:t>
            </w:r>
          </w:p>
        </w:tc>
        <w:tc>
          <w:tcPr>
            <w:tcW w:w="946" w:type="pct"/>
            <w:noWrap w:val="0"/>
            <w:vAlign w:val="center"/>
          </w:tcPr>
          <w:p w14:paraId="1DB86B4B">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522" w:type="pct"/>
            <w:noWrap w:val="0"/>
            <w:vAlign w:val="center"/>
          </w:tcPr>
          <w:p w14:paraId="522A979E">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638B12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45FF7310">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固体废物</w:t>
            </w:r>
          </w:p>
        </w:tc>
        <w:tc>
          <w:tcPr>
            <w:tcW w:w="2314" w:type="pct"/>
            <w:noWrap w:val="0"/>
            <w:vAlign w:val="center"/>
          </w:tcPr>
          <w:p w14:paraId="4831029F">
            <w:pPr>
              <w:spacing w:beforeLines="0" w:afterLines="0"/>
              <w:jc w:val="left"/>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①生活垃圾委托环卫部门定期清运处置；</w:t>
            </w:r>
          </w:p>
          <w:p w14:paraId="5D0C41A3">
            <w:pPr>
              <w:spacing w:beforeLines="0" w:afterLines="0"/>
              <w:jc w:val="left"/>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②废弃的土石方运至合法的弃土消纳场；</w:t>
            </w:r>
          </w:p>
          <w:p w14:paraId="37E07139">
            <w:pPr>
              <w:spacing w:beforeLines="0" w:afterLines="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 w:val="21"/>
                <w:szCs w:val="24"/>
              </w:rPr>
              <w:t>③施工垃圾能回收的回收利用，不能回收利用的收集后按照《关于转发昆明市城市建筑垃圾管理实施办法实施细则的通知》</w:t>
            </w:r>
            <w:r>
              <w:rPr>
                <w:rFonts w:hint="eastAsia" w:cs="Times New Roman"/>
                <w:color w:val="auto"/>
                <w:sz w:val="21"/>
                <w:szCs w:val="24"/>
                <w:lang w:eastAsia="zh-CN"/>
              </w:rPr>
              <w:t>（</w:t>
            </w:r>
            <w:r>
              <w:rPr>
                <w:rFonts w:hint="default" w:ascii="Times New Roman" w:hAnsi="Times New Roman" w:eastAsia="宋体" w:cs="Times New Roman"/>
                <w:color w:val="auto"/>
                <w:sz w:val="21"/>
                <w:szCs w:val="24"/>
              </w:rPr>
              <w:t>昆政办〔2011〕88 号）中要求委托有资质单位清运处置</w:t>
            </w:r>
          </w:p>
        </w:tc>
        <w:tc>
          <w:tcPr>
            <w:tcW w:w="741" w:type="pct"/>
            <w:noWrap w:val="0"/>
            <w:vAlign w:val="center"/>
          </w:tcPr>
          <w:p w14:paraId="123CF3DB">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 w:val="21"/>
                <w:szCs w:val="24"/>
              </w:rPr>
              <w:t>处置率100%</w:t>
            </w:r>
          </w:p>
        </w:tc>
        <w:tc>
          <w:tcPr>
            <w:tcW w:w="946" w:type="pct"/>
            <w:noWrap w:val="0"/>
            <w:vAlign w:val="center"/>
          </w:tcPr>
          <w:p w14:paraId="55913B46">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cs="Times New Roman"/>
                <w:b w:val="0"/>
                <w:bCs w:val="0"/>
                <w:color w:val="auto"/>
                <w:spacing w:val="0"/>
                <w:sz w:val="21"/>
                <w:szCs w:val="21"/>
                <w:lang w:val="en-US" w:eastAsia="zh-CN"/>
              </w:rPr>
            </w:pPr>
            <w:r>
              <w:rPr>
                <w:rFonts w:hint="eastAsia" w:cs="Times New Roman"/>
                <w:b w:val="0"/>
                <w:bCs w:val="0"/>
                <w:color w:val="auto"/>
                <w:spacing w:val="0"/>
                <w:sz w:val="21"/>
                <w:szCs w:val="21"/>
                <w:lang w:val="en-US" w:eastAsia="zh-CN"/>
              </w:rPr>
              <w:t>排泥水做一般固废交</w:t>
            </w:r>
            <w:r>
              <w:rPr>
                <w:rFonts w:hint="default" w:ascii="Times New Roman" w:hAnsi="Times New Roman" w:eastAsia="宋体" w:cs="Times New Roman"/>
                <w:b w:val="0"/>
                <w:bCs w:val="0"/>
                <w:color w:val="auto"/>
                <w:spacing w:val="0"/>
                <w:sz w:val="21"/>
                <w:szCs w:val="21"/>
              </w:rPr>
              <w:t>环卫部门统一收集处置</w:t>
            </w:r>
            <w:r>
              <w:rPr>
                <w:rFonts w:hint="eastAsia" w:cs="Times New Roman"/>
                <w:b w:val="0"/>
                <w:bCs w:val="0"/>
                <w:color w:val="auto"/>
                <w:spacing w:val="0"/>
                <w:sz w:val="21"/>
                <w:szCs w:val="21"/>
                <w:lang w:eastAsia="zh-CN"/>
              </w:rPr>
              <w:t>，</w:t>
            </w:r>
            <w:r>
              <w:rPr>
                <w:rFonts w:hint="eastAsia" w:cs="Times New Roman"/>
                <w:b w:val="0"/>
                <w:bCs w:val="0"/>
                <w:color w:val="auto"/>
                <w:spacing w:val="0"/>
                <w:sz w:val="21"/>
                <w:szCs w:val="21"/>
                <w:lang w:val="en-US" w:eastAsia="zh-CN"/>
              </w:rPr>
              <w:t>具有一定周期性；</w:t>
            </w:r>
          </w:p>
          <w:p w14:paraId="5F6018FF">
            <w:pPr>
              <w:spacing w:beforeLines="0" w:afterLines="0"/>
              <w:jc w:val="left"/>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1"/>
                <w:highlight w:val="none"/>
                <w:lang w:val="en-US" w:eastAsia="zh-CN"/>
              </w:rPr>
              <w:t>管线、闸站等检修过程中可能产生少量更换零件等固废，经统一收集后做一般固废处理，不外排</w:t>
            </w:r>
            <w:r>
              <w:rPr>
                <w:rFonts w:hint="default" w:ascii="Times New Roman" w:hAnsi="Times New Roman" w:eastAsia="宋体" w:cs="Times New Roman"/>
                <w:color w:val="auto"/>
                <w:sz w:val="21"/>
                <w:szCs w:val="24"/>
                <w:lang w:val="en-US" w:eastAsia="zh-CN"/>
              </w:rPr>
              <w:t>。</w:t>
            </w:r>
          </w:p>
        </w:tc>
        <w:tc>
          <w:tcPr>
            <w:tcW w:w="522" w:type="pct"/>
            <w:noWrap w:val="0"/>
            <w:vAlign w:val="center"/>
          </w:tcPr>
          <w:p w14:paraId="65424E15">
            <w:pPr>
              <w:spacing w:beforeLines="0" w:afterLines="0"/>
              <w:jc w:val="left"/>
              <w:rPr>
                <w:rFonts w:hint="default" w:ascii="Times New Roman" w:hAnsi="Times New Roman" w:eastAsia="宋体" w:cs="Times New Roman"/>
                <w:color w:val="auto"/>
                <w:sz w:val="21"/>
                <w:szCs w:val="24"/>
              </w:rPr>
            </w:pPr>
            <w:r>
              <w:rPr>
                <w:rFonts w:hint="default" w:ascii="Times New Roman" w:hAnsi="Times New Roman" w:eastAsia="宋体" w:cs="Times New Roman"/>
                <w:color w:val="auto"/>
                <w:sz w:val="21"/>
                <w:szCs w:val="24"/>
              </w:rPr>
              <w:t>处置率100%</w:t>
            </w:r>
          </w:p>
        </w:tc>
      </w:tr>
      <w:tr w14:paraId="3A0F91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3BF42234">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电磁环境</w:t>
            </w:r>
          </w:p>
        </w:tc>
        <w:tc>
          <w:tcPr>
            <w:tcW w:w="2314" w:type="pct"/>
            <w:noWrap w:val="0"/>
            <w:vAlign w:val="center"/>
          </w:tcPr>
          <w:p w14:paraId="2AC153AD">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741" w:type="pct"/>
            <w:noWrap w:val="0"/>
            <w:vAlign w:val="center"/>
          </w:tcPr>
          <w:p w14:paraId="6F4CFC5A">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946" w:type="pct"/>
            <w:noWrap w:val="0"/>
            <w:vAlign w:val="center"/>
          </w:tcPr>
          <w:p w14:paraId="43551237">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522" w:type="pct"/>
            <w:noWrap w:val="0"/>
            <w:vAlign w:val="center"/>
          </w:tcPr>
          <w:p w14:paraId="73A959AE">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7AD0A4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7F9797A0">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环境风险</w:t>
            </w:r>
          </w:p>
        </w:tc>
        <w:tc>
          <w:tcPr>
            <w:tcW w:w="2314" w:type="pct"/>
            <w:noWrap w:val="0"/>
            <w:vAlign w:val="center"/>
          </w:tcPr>
          <w:p w14:paraId="32B29770">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741" w:type="pct"/>
            <w:noWrap w:val="0"/>
            <w:vAlign w:val="center"/>
          </w:tcPr>
          <w:p w14:paraId="7517C413">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946" w:type="pct"/>
            <w:noWrap w:val="0"/>
            <w:vAlign w:val="center"/>
          </w:tcPr>
          <w:p w14:paraId="7ECF3F23">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522" w:type="pct"/>
            <w:noWrap w:val="0"/>
            <w:vAlign w:val="center"/>
          </w:tcPr>
          <w:p w14:paraId="185DFC50">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74420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3A78F985">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环境监测</w:t>
            </w:r>
          </w:p>
        </w:tc>
        <w:tc>
          <w:tcPr>
            <w:tcW w:w="2314" w:type="pct"/>
            <w:noWrap w:val="0"/>
            <w:vAlign w:val="center"/>
          </w:tcPr>
          <w:p w14:paraId="75763646">
            <w:pPr>
              <w:spacing w:beforeLines="0" w:afterLines="0"/>
              <w:jc w:val="left"/>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rPr>
              <w:t>①噪声：检测频次按照施工期1 次，每次2 天，昼夜各一次</w:t>
            </w:r>
            <w:r>
              <w:rPr>
                <w:rFonts w:hint="eastAsia" w:cs="Times New Roman"/>
                <w:color w:val="auto"/>
                <w:sz w:val="21"/>
                <w:szCs w:val="24"/>
                <w:lang w:eastAsia="zh-CN"/>
              </w:rPr>
              <w:t>；</w:t>
            </w:r>
            <w:r>
              <w:rPr>
                <w:rFonts w:hint="eastAsia" w:cs="Times New Roman"/>
                <w:color w:val="auto"/>
                <w:sz w:val="21"/>
                <w:szCs w:val="24"/>
                <w:lang w:val="en-US" w:eastAsia="zh-CN"/>
              </w:rPr>
              <w:t>点位：</w:t>
            </w:r>
            <w:r>
              <w:rPr>
                <w:rFonts w:hint="default" w:ascii="Times New Roman" w:hAnsi="Times New Roman" w:eastAsia="宋体" w:cs="Times New Roman"/>
                <w:color w:val="auto"/>
                <w:sz w:val="21"/>
                <w:szCs w:val="24"/>
                <w:lang w:val="en-US" w:eastAsia="zh-CN"/>
              </w:rPr>
              <w:t>施工区域</w:t>
            </w:r>
            <w:r>
              <w:rPr>
                <w:rFonts w:hint="eastAsia" w:ascii="Times New Roman" w:hAnsi="Times New Roman" w:eastAsia="宋体" w:cs="Times New Roman"/>
                <w:color w:val="auto"/>
                <w:sz w:val="21"/>
                <w:szCs w:val="24"/>
                <w:lang w:val="en-US" w:eastAsia="zh-CN"/>
              </w:rPr>
              <w:t>（</w:t>
            </w:r>
            <w:r>
              <w:rPr>
                <w:rFonts w:hint="default" w:ascii="Times New Roman" w:hAnsi="Times New Roman" w:eastAsia="宋体" w:cs="Times New Roman"/>
                <w:color w:val="auto"/>
                <w:sz w:val="21"/>
                <w:szCs w:val="24"/>
                <w:lang w:val="en-US" w:eastAsia="zh-CN"/>
              </w:rPr>
              <w:t>沿线）</w:t>
            </w:r>
            <w:r>
              <w:rPr>
                <w:rFonts w:hint="default" w:ascii="Times New Roman" w:hAnsi="Times New Roman" w:eastAsia="Times New Roman" w:cs="Times New Roman"/>
                <w:color w:val="auto"/>
                <w:sz w:val="21"/>
                <w:szCs w:val="24"/>
              </w:rPr>
              <w:t>50m</w:t>
            </w:r>
            <w:r>
              <w:rPr>
                <w:rFonts w:hint="default" w:ascii="Times New Roman" w:hAnsi="Times New Roman" w:eastAsia="宋体" w:cs="Times New Roman"/>
                <w:color w:val="auto"/>
                <w:sz w:val="21"/>
                <w:szCs w:val="24"/>
              </w:rPr>
              <w:t>范围内分布的声环境敏感点</w:t>
            </w:r>
          </w:p>
          <w:p w14:paraId="264F6E1C">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4"/>
              </w:rPr>
              <w:t>②环境空气</w:t>
            </w:r>
            <w:r>
              <w:rPr>
                <w:rFonts w:hint="eastAsia" w:cs="Times New Roman"/>
                <w:color w:val="auto"/>
                <w:sz w:val="21"/>
                <w:szCs w:val="24"/>
                <w:lang w:eastAsia="zh-CN"/>
              </w:rPr>
              <w:t>（</w:t>
            </w:r>
            <w:r>
              <w:rPr>
                <w:rFonts w:hint="default" w:ascii="Times New Roman" w:hAnsi="Times New Roman" w:eastAsia="宋体" w:cs="Times New Roman"/>
                <w:color w:val="auto"/>
                <w:sz w:val="21"/>
                <w:szCs w:val="24"/>
              </w:rPr>
              <w:t>TSP）：施工集中时</w:t>
            </w:r>
            <w:r>
              <w:rPr>
                <w:rFonts w:hint="default" w:ascii="Times New Roman" w:hAnsi="Times New Roman" w:eastAsia="宋体" w:cs="Times New Roman"/>
                <w:color w:val="auto"/>
                <w:sz w:val="21"/>
                <w:szCs w:val="24"/>
                <w:lang w:eastAsia="zh-CN"/>
              </w:rPr>
              <w:t>、</w:t>
            </w:r>
            <w:r>
              <w:rPr>
                <w:rFonts w:hint="default" w:ascii="Times New Roman" w:hAnsi="Times New Roman" w:eastAsia="宋体" w:cs="Times New Roman"/>
                <w:color w:val="auto"/>
                <w:sz w:val="21"/>
                <w:szCs w:val="24"/>
                <w:lang w:val="en-US" w:eastAsia="zh-CN"/>
              </w:rPr>
              <w:t>可能有影响的情况下</w:t>
            </w:r>
            <w:r>
              <w:rPr>
                <w:rFonts w:hint="eastAsia" w:ascii="Times New Roman" w:hAnsi="Times New Roman" w:eastAsia="宋体" w:cs="Times New Roman"/>
                <w:color w:val="auto"/>
                <w:sz w:val="21"/>
                <w:szCs w:val="24"/>
                <w:lang w:val="en-US" w:eastAsia="zh-CN"/>
              </w:rPr>
              <w:t>，</w:t>
            </w:r>
            <w:r>
              <w:rPr>
                <w:rFonts w:hint="default" w:ascii="Times New Roman" w:hAnsi="Times New Roman" w:eastAsia="宋体" w:cs="Times New Roman"/>
                <w:color w:val="auto"/>
                <w:sz w:val="21"/>
                <w:szCs w:val="24"/>
              </w:rPr>
              <w:t>施工期1 次，每次2 天</w:t>
            </w:r>
            <w:r>
              <w:rPr>
                <w:rFonts w:hint="eastAsia" w:cs="Times New Roman"/>
                <w:color w:val="auto"/>
                <w:sz w:val="21"/>
                <w:szCs w:val="24"/>
                <w:lang w:eastAsia="zh-CN"/>
              </w:rPr>
              <w:t>；</w:t>
            </w:r>
            <w:r>
              <w:rPr>
                <w:rFonts w:hint="eastAsia" w:cs="Times New Roman"/>
                <w:color w:val="auto"/>
                <w:sz w:val="21"/>
                <w:szCs w:val="24"/>
                <w:lang w:val="en-US" w:eastAsia="zh-CN"/>
              </w:rPr>
              <w:t>点位：</w:t>
            </w:r>
            <w:r>
              <w:rPr>
                <w:rFonts w:hint="default" w:ascii="Times New Roman" w:hAnsi="Times New Roman" w:eastAsia="宋体" w:cs="Times New Roman"/>
                <w:color w:val="auto"/>
                <w:sz w:val="21"/>
                <w:szCs w:val="24"/>
              </w:rPr>
              <w:t>临时施工生产区上风向、下风向</w:t>
            </w:r>
          </w:p>
        </w:tc>
        <w:tc>
          <w:tcPr>
            <w:tcW w:w="741" w:type="pct"/>
            <w:noWrap w:val="0"/>
            <w:vAlign w:val="center"/>
          </w:tcPr>
          <w:p w14:paraId="779FC733">
            <w:pPr>
              <w:spacing w:beforeLines="0" w:afterLines="0"/>
              <w:jc w:val="left"/>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达标/不扰民</w:t>
            </w:r>
          </w:p>
        </w:tc>
        <w:tc>
          <w:tcPr>
            <w:tcW w:w="946" w:type="pct"/>
            <w:noWrap w:val="0"/>
            <w:vAlign w:val="center"/>
          </w:tcPr>
          <w:p w14:paraId="21B7D2E2">
            <w:pPr>
              <w:spacing w:beforeLines="0" w:afterLines="0"/>
              <w:jc w:val="left"/>
              <w:rPr>
                <w:rFonts w:hint="default" w:ascii="Times New Roman" w:hAnsi="Times New Roman" w:eastAsia="宋体" w:cs="Times New Roman"/>
                <w:color w:val="auto"/>
                <w:sz w:val="21"/>
                <w:szCs w:val="24"/>
                <w:lang w:val="en-US" w:eastAsia="zh-CN"/>
              </w:rPr>
            </w:pPr>
            <w:r>
              <w:rPr>
                <w:rFonts w:hint="eastAsia" w:cs="Times New Roman"/>
                <w:color w:val="auto"/>
                <w:sz w:val="21"/>
                <w:szCs w:val="24"/>
                <w:lang w:val="en-US" w:eastAsia="zh-CN"/>
              </w:rPr>
              <w:t>加压泵站</w:t>
            </w:r>
            <w:r>
              <w:rPr>
                <w:rFonts w:hint="default" w:ascii="Times New Roman" w:hAnsi="Times New Roman" w:eastAsia="宋体" w:cs="Times New Roman"/>
                <w:color w:val="auto"/>
                <w:sz w:val="21"/>
                <w:szCs w:val="24"/>
                <w:lang w:val="en-US" w:eastAsia="zh-CN"/>
              </w:rPr>
              <w:t>厂界噪声，监测2 天；验收后纳入日常管理</w:t>
            </w:r>
          </w:p>
        </w:tc>
        <w:tc>
          <w:tcPr>
            <w:tcW w:w="522" w:type="pct"/>
            <w:noWrap w:val="0"/>
            <w:vAlign w:val="center"/>
          </w:tcPr>
          <w:p w14:paraId="13D7CA04">
            <w:pPr>
              <w:spacing w:beforeLines="0" w:afterLines="0"/>
              <w:jc w:val="left"/>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1"/>
                <w:szCs w:val="24"/>
                <w:lang w:val="en-US" w:eastAsia="zh-CN"/>
              </w:rPr>
              <w:t>《工业企业厂界环境噪声排放标准》</w:t>
            </w:r>
            <w:r>
              <w:rPr>
                <w:rFonts w:hint="eastAsia" w:ascii="Times New Roman" w:hAnsi="Times New Roman" w:eastAsia="宋体" w:cs="Times New Roman"/>
                <w:color w:val="auto"/>
                <w:sz w:val="21"/>
                <w:szCs w:val="24"/>
                <w:lang w:val="en-US" w:eastAsia="zh-CN"/>
              </w:rPr>
              <w:t>（</w:t>
            </w:r>
            <w:r>
              <w:rPr>
                <w:rFonts w:hint="default" w:ascii="Times New Roman" w:hAnsi="Times New Roman" w:eastAsia="宋体" w:cs="Times New Roman"/>
                <w:color w:val="auto"/>
                <w:sz w:val="21"/>
                <w:szCs w:val="24"/>
                <w:lang w:val="en-US" w:eastAsia="zh-CN"/>
              </w:rPr>
              <w:t>GB12348-2008）中2类标准</w:t>
            </w:r>
          </w:p>
        </w:tc>
      </w:tr>
      <w:tr w14:paraId="24FC6C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noWrap w:val="0"/>
            <w:vAlign w:val="center"/>
          </w:tcPr>
          <w:p w14:paraId="64AEA02D">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其他</w:t>
            </w:r>
          </w:p>
        </w:tc>
        <w:tc>
          <w:tcPr>
            <w:tcW w:w="2314" w:type="pct"/>
            <w:noWrap w:val="0"/>
            <w:vAlign w:val="center"/>
          </w:tcPr>
          <w:p w14:paraId="62BC97E4">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w:t>
            </w:r>
          </w:p>
        </w:tc>
        <w:tc>
          <w:tcPr>
            <w:tcW w:w="741" w:type="pct"/>
            <w:noWrap w:val="0"/>
            <w:vAlign w:val="center"/>
          </w:tcPr>
          <w:p w14:paraId="0121EB4B">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w:t>
            </w:r>
          </w:p>
        </w:tc>
        <w:tc>
          <w:tcPr>
            <w:tcW w:w="946" w:type="pct"/>
            <w:noWrap w:val="0"/>
            <w:vAlign w:val="center"/>
          </w:tcPr>
          <w:p w14:paraId="6744CBE3">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w:t>
            </w:r>
          </w:p>
        </w:tc>
        <w:tc>
          <w:tcPr>
            <w:tcW w:w="522" w:type="pct"/>
            <w:noWrap w:val="0"/>
            <w:vAlign w:val="center"/>
          </w:tcPr>
          <w:p w14:paraId="10E084B8">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w:t>
            </w:r>
          </w:p>
        </w:tc>
      </w:tr>
      <w:tr w14:paraId="3C2AB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noWrap w:val="0"/>
            <w:vAlign w:val="center"/>
          </w:tcPr>
          <w:p w14:paraId="744F0B38">
            <w:pPr>
              <w:adjustRightInd w:val="0"/>
              <w:snapToGrid w:val="0"/>
              <w:jc w:val="both"/>
              <w:rPr>
                <w:rFonts w:hint="default" w:ascii="Times New Roman" w:hAnsi="Times New Roman" w:eastAsia="宋体" w:cs="Times New Roman"/>
                <w:color w:val="0000FF"/>
                <w:szCs w:val="21"/>
                <w:lang w:val="en-US" w:eastAsia="zh-CN"/>
              </w:rPr>
            </w:pPr>
          </w:p>
          <w:p w14:paraId="7DB5E0E5">
            <w:pPr>
              <w:adjustRightInd w:val="0"/>
              <w:snapToGrid w:val="0"/>
              <w:jc w:val="both"/>
              <w:rPr>
                <w:rFonts w:hint="default" w:ascii="Times New Roman" w:hAnsi="Times New Roman" w:eastAsia="宋体" w:cs="Times New Roman"/>
                <w:color w:val="0000FF"/>
                <w:szCs w:val="21"/>
                <w:lang w:val="en-US" w:eastAsia="zh-CN"/>
              </w:rPr>
            </w:pPr>
          </w:p>
          <w:p w14:paraId="41368FC9">
            <w:pPr>
              <w:adjustRightInd w:val="0"/>
              <w:snapToGrid w:val="0"/>
              <w:jc w:val="both"/>
              <w:rPr>
                <w:rFonts w:hint="default" w:ascii="Times New Roman" w:hAnsi="Times New Roman" w:eastAsia="宋体" w:cs="Times New Roman"/>
                <w:color w:val="0000FF"/>
                <w:szCs w:val="21"/>
                <w:lang w:val="en-US" w:eastAsia="zh-CN"/>
              </w:rPr>
            </w:pPr>
          </w:p>
        </w:tc>
      </w:tr>
    </w:tbl>
    <w:p w14:paraId="57FB72C4">
      <w:pPr>
        <w:pStyle w:val="21"/>
        <w:jc w:val="center"/>
        <w:outlineLvl w:val="0"/>
        <w:rPr>
          <w:rFonts w:hint="default" w:ascii="Times New Roman" w:hAnsi="Times New Roman" w:eastAsia="黑体" w:cs="Times New Roman"/>
          <w:snapToGrid w:val="0"/>
          <w:color w:val="0000FF"/>
          <w:sz w:val="30"/>
          <w:szCs w:val="30"/>
        </w:rPr>
        <w:sectPr>
          <w:pgSz w:w="16838" w:h="11906" w:orient="landscape"/>
          <w:pgMar w:top="1417" w:right="1417" w:bottom="1417" w:left="1417" w:header="851" w:footer="850" w:gutter="0"/>
          <w:cols w:space="720" w:num="1"/>
          <w:docGrid w:linePitch="312" w:charSpace="0"/>
        </w:sectPr>
      </w:pPr>
    </w:p>
    <w:p w14:paraId="51CF0BFB">
      <w:pPr>
        <w:pStyle w:val="21"/>
        <w:spacing w:before="0" w:beforeAutospacing="0" w:line="14" w:lineRule="auto"/>
        <w:jc w:val="center"/>
        <w:outlineLvl w:val="0"/>
        <w:rPr>
          <w:rFonts w:hint="default" w:ascii="Times New Roman" w:hAnsi="Times New Roman" w:eastAsia="黑体" w:cs="Times New Roman"/>
          <w:snapToGrid w:val="0"/>
          <w:color w:val="0000FF"/>
          <w:sz w:val="30"/>
          <w:szCs w:val="30"/>
        </w:rPr>
      </w:pPr>
    </w:p>
    <w:p w14:paraId="365B496A">
      <w:pPr>
        <w:pStyle w:val="21"/>
        <w:spacing w:before="192" w:beforeLines="80" w:beforeAutospacing="0"/>
        <w:jc w:val="center"/>
        <w:outlineLvl w:val="0"/>
        <w:rPr>
          <w:rFonts w:hint="default" w:ascii="Times New Roman" w:hAnsi="Times New Roman" w:eastAsia="黑体" w:cs="Times New Roman"/>
          <w:snapToGrid w:val="0"/>
          <w:color w:val="auto"/>
          <w:sz w:val="30"/>
          <w:szCs w:val="30"/>
        </w:rPr>
      </w:pPr>
      <w:bookmarkStart w:id="25" w:name="_Toc19567"/>
      <w:r>
        <w:rPr>
          <w:rFonts w:hint="default" w:ascii="Times New Roman" w:hAnsi="Times New Roman" w:eastAsia="黑体" w:cs="Times New Roman"/>
          <w:snapToGrid w:val="0"/>
          <w:color w:val="auto"/>
          <w:sz w:val="30"/>
          <w:szCs w:val="30"/>
        </w:rPr>
        <w:t>七、结论</w:t>
      </w:r>
      <w:bookmarkEnd w:id="25"/>
    </w:p>
    <w:tbl>
      <w:tblPr>
        <w:tblStyle w:val="2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E93A4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49" w:hRule="atLeast"/>
          <w:jc w:val="center"/>
        </w:trPr>
        <w:tc>
          <w:tcPr>
            <w:tcW w:w="5000" w:type="pct"/>
            <w:noWrap w:val="0"/>
            <w:vAlign w:val="center"/>
          </w:tcPr>
          <w:p w14:paraId="23A5E2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b w:val="0"/>
                <w:bCs w:val="0"/>
                <w:color w:val="auto"/>
                <w:sz w:val="24"/>
                <w:szCs w:val="24"/>
                <w:lang w:val="en-US" w:eastAsia="zh-CN"/>
              </w:rPr>
            </w:pPr>
            <w:r>
              <w:rPr>
                <w:rFonts w:hint="default" w:ascii="Times New Roman" w:hAnsi="Times New Roman" w:eastAsia="宋体" w:cs="Times New Roman"/>
                <w:color w:val="auto"/>
                <w:sz w:val="24"/>
                <w:szCs w:val="24"/>
              </w:rPr>
              <w:t>本项目</w:t>
            </w:r>
            <w:r>
              <w:rPr>
                <w:rFonts w:hint="default" w:ascii="Times New Roman" w:hAnsi="Times New Roman" w:eastAsia="宋体" w:cs="Times New Roman"/>
                <w:color w:val="auto"/>
                <w:sz w:val="24"/>
                <w:szCs w:val="24"/>
                <w:lang w:val="en-US" w:eastAsia="zh-CN"/>
              </w:rPr>
              <w:t>主要建设内容分为</w:t>
            </w:r>
            <w:r>
              <w:rPr>
                <w:rFonts w:hint="default" w:ascii="Times New Roman" w:hAnsi="Times New Roman" w:cs="Times New Roman"/>
                <w:b w:val="0"/>
                <w:bCs w:val="0"/>
                <w:color w:val="auto"/>
                <w:sz w:val="24"/>
                <w:szCs w:val="24"/>
                <w:lang w:val="en-US" w:eastAsia="zh-CN"/>
              </w:rPr>
              <w:t>分为</w:t>
            </w:r>
            <w:r>
              <w:rPr>
                <w:rFonts w:hint="eastAsia" w:cs="Times New Roman"/>
                <w:b w:val="0"/>
                <w:bCs w:val="0"/>
                <w:color w:val="auto"/>
                <w:sz w:val="24"/>
                <w:szCs w:val="24"/>
                <w:lang w:val="en-US" w:eastAsia="zh-CN"/>
              </w:rPr>
              <w:t>3部分，分别为</w:t>
            </w:r>
            <w:r>
              <w:rPr>
                <w:rFonts w:hint="default" w:ascii="Times New Roman" w:hAnsi="Times New Roman" w:eastAsia="宋体" w:cs="Times New Roman"/>
                <w:b w:val="0"/>
                <w:bCs w:val="0"/>
                <w:color w:val="auto"/>
                <w:sz w:val="24"/>
                <w:szCs w:val="24"/>
                <w:highlight w:val="none"/>
                <w:lang w:val="en-US" w:eastAsia="zh-CN"/>
              </w:rPr>
              <w:t>新建DN1400输水管道11.74km</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新建 DN400输水管道</w:t>
            </w:r>
            <w:r>
              <w:rPr>
                <w:rFonts w:hint="eastAsia" w:ascii="Times New Roman" w:hAnsi="Times New Roman" w:eastAsia="宋体" w:cs="Times New Roman"/>
                <w:b w:val="0"/>
                <w:bCs w:val="0"/>
                <w:color w:val="auto"/>
                <w:sz w:val="24"/>
                <w:szCs w:val="24"/>
                <w:highlight w:val="none"/>
                <w:lang w:val="en-US" w:eastAsia="zh-CN"/>
              </w:rPr>
              <w:t>6.6km，并配套建设检修阀（井）、排气阀（井）、</w:t>
            </w:r>
            <w:r>
              <w:rPr>
                <w:rFonts w:hint="default" w:ascii="Times New Roman" w:hAnsi="Times New Roman" w:eastAsia="宋体" w:cs="Times New Roman"/>
                <w:b w:val="0"/>
                <w:bCs w:val="0"/>
                <w:color w:val="auto"/>
                <w:sz w:val="24"/>
                <w:szCs w:val="24"/>
                <w:highlight w:val="none"/>
                <w:lang w:val="en-US" w:eastAsia="zh-CN"/>
              </w:rPr>
              <w:t>排泥阀</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井）及其他管道附属设施</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新建1座一体化加压泵站</w:t>
            </w:r>
            <w:r>
              <w:rPr>
                <w:rFonts w:hint="eastAsia" w:ascii="Times New Roman" w:hAnsi="Times New Roman" w:eastAsia="宋体" w:cs="Times New Roman"/>
                <w:b w:val="0"/>
                <w:bCs w:val="0"/>
                <w:color w:val="auto"/>
                <w:sz w:val="24"/>
                <w:szCs w:val="24"/>
                <w:highlight w:val="none"/>
                <w:lang w:val="en-US" w:eastAsia="zh-CN"/>
              </w:rPr>
              <w:t>。</w:t>
            </w:r>
          </w:p>
          <w:p w14:paraId="04DC7F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根据分析，项目内各工程</w:t>
            </w:r>
            <w:r>
              <w:rPr>
                <w:rFonts w:hint="default" w:ascii="Times New Roman" w:hAnsi="Times New Roman" w:eastAsia="宋体" w:cs="Times New Roman"/>
                <w:color w:val="auto"/>
                <w:sz w:val="24"/>
                <w:szCs w:val="24"/>
              </w:rPr>
              <w:t>符合国家产业政策，选址合理可行，项目按照环评及技术规范要求对各污染因素采取相应的防治措施后能保证污染物得到合理处置，不会对选址区域环境造成大的污染，不会降低和改变该区域的环境质量和环境功能，排放的污染物对周围环境影响较小。从环境保护</w:t>
            </w:r>
            <w:r>
              <w:rPr>
                <w:rFonts w:hint="eastAsia" w:cs="Times New Roman"/>
                <w:color w:val="auto"/>
                <w:sz w:val="24"/>
                <w:szCs w:val="24"/>
                <w:lang w:val="en-US" w:eastAsia="zh-CN"/>
              </w:rPr>
              <w:t>及保护生态环境</w:t>
            </w:r>
            <w:r>
              <w:rPr>
                <w:rFonts w:hint="default" w:ascii="Times New Roman" w:hAnsi="Times New Roman" w:eastAsia="宋体" w:cs="Times New Roman"/>
                <w:color w:val="auto"/>
                <w:sz w:val="24"/>
                <w:szCs w:val="24"/>
              </w:rPr>
              <w:t>的角度来讲，该项目</w:t>
            </w:r>
            <w:r>
              <w:rPr>
                <w:rFonts w:hint="eastAsia" w:cs="Times New Roman"/>
                <w:color w:val="auto"/>
                <w:sz w:val="24"/>
                <w:szCs w:val="24"/>
                <w:lang w:val="en-US" w:eastAsia="zh-CN"/>
              </w:rPr>
              <w:t>的建设</w:t>
            </w:r>
            <w:r>
              <w:rPr>
                <w:rFonts w:hint="default" w:ascii="Times New Roman" w:hAnsi="Times New Roman" w:eastAsia="宋体" w:cs="Times New Roman"/>
                <w:color w:val="auto"/>
                <w:sz w:val="24"/>
                <w:szCs w:val="24"/>
              </w:rPr>
              <w:t>是可行的。</w:t>
            </w:r>
          </w:p>
          <w:p w14:paraId="3D17C5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5845C9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244C4C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5505085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271774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5E4F11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45E9F9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2B5867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51910B81">
            <w:pPr>
              <w:keepNext w:val="0"/>
              <w:keepLines w:val="0"/>
              <w:pageBreakBefore w:val="0"/>
              <w:widowControl w:val="0"/>
              <w:tabs>
                <w:tab w:val="left" w:pos="1804"/>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lang w:eastAsia="zh-CN"/>
              </w:rPr>
            </w:pPr>
            <w:r>
              <w:rPr>
                <w:rFonts w:hint="default" w:ascii="Times New Roman" w:hAnsi="Times New Roman" w:eastAsia="宋体" w:cs="Times New Roman"/>
                <w:color w:val="0000FF"/>
                <w:sz w:val="24"/>
                <w:szCs w:val="24"/>
                <w:lang w:eastAsia="zh-CN"/>
              </w:rPr>
              <w:tab/>
            </w:r>
          </w:p>
          <w:p w14:paraId="51802F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5090790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60C908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45FA1E3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291B02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1AB6B3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07D1C847">
            <w:pPr>
              <w:pStyle w:val="34"/>
              <w:rPr>
                <w:rFonts w:hint="default" w:ascii="Times New Roman" w:hAnsi="Times New Roman" w:eastAsia="宋体" w:cs="Times New Roman"/>
                <w:color w:val="0000FF"/>
                <w:sz w:val="24"/>
                <w:szCs w:val="24"/>
              </w:rPr>
            </w:pPr>
          </w:p>
          <w:p w14:paraId="1CB2FA3B">
            <w:pPr>
              <w:pStyle w:val="34"/>
              <w:rPr>
                <w:rFonts w:hint="default" w:ascii="Times New Roman" w:hAnsi="Times New Roman" w:eastAsia="宋体" w:cs="Times New Roman"/>
                <w:color w:val="0000FF"/>
                <w:sz w:val="24"/>
                <w:szCs w:val="24"/>
              </w:rPr>
            </w:pPr>
          </w:p>
          <w:p w14:paraId="22747D15">
            <w:pPr>
              <w:pStyle w:val="34"/>
              <w:rPr>
                <w:rFonts w:hint="default" w:ascii="Times New Roman" w:hAnsi="Times New Roman" w:eastAsia="宋体" w:cs="Times New Roman"/>
                <w:color w:val="0000FF"/>
                <w:sz w:val="24"/>
                <w:szCs w:val="24"/>
              </w:rPr>
            </w:pPr>
          </w:p>
          <w:p w14:paraId="29C344F9">
            <w:pPr>
              <w:pStyle w:val="34"/>
              <w:rPr>
                <w:rFonts w:hint="default" w:ascii="Times New Roman" w:hAnsi="Times New Roman" w:eastAsia="宋体" w:cs="Times New Roman"/>
                <w:color w:val="0000FF"/>
                <w:sz w:val="24"/>
                <w:szCs w:val="24"/>
              </w:rPr>
            </w:pPr>
          </w:p>
          <w:p w14:paraId="420915E0">
            <w:pPr>
              <w:pStyle w:val="34"/>
              <w:rPr>
                <w:rFonts w:hint="default" w:ascii="Times New Roman" w:hAnsi="Times New Roman" w:eastAsia="宋体" w:cs="Times New Roman"/>
                <w:color w:val="0000FF"/>
                <w:sz w:val="24"/>
                <w:szCs w:val="24"/>
              </w:rPr>
            </w:pPr>
          </w:p>
          <w:p w14:paraId="74889E9C">
            <w:pPr>
              <w:pStyle w:val="34"/>
              <w:rPr>
                <w:rFonts w:hint="default" w:ascii="Times New Roman" w:hAnsi="Times New Roman" w:eastAsia="宋体" w:cs="Times New Roman"/>
                <w:color w:val="0000FF"/>
                <w:sz w:val="24"/>
                <w:szCs w:val="24"/>
              </w:rPr>
            </w:pPr>
          </w:p>
          <w:p w14:paraId="351F01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5C5397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p w14:paraId="5E74DB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FF"/>
                <w:sz w:val="24"/>
                <w:szCs w:val="24"/>
              </w:rPr>
            </w:pPr>
          </w:p>
        </w:tc>
      </w:tr>
    </w:tbl>
    <w:p w14:paraId="413A8600">
      <w:pPr>
        <w:keepNext w:val="0"/>
        <w:keepLines w:val="0"/>
        <w:pageBreakBefore w:val="0"/>
        <w:widowControl/>
        <w:kinsoku/>
        <w:wordWrap/>
        <w:overflowPunct/>
        <w:topLinePunct w:val="0"/>
        <w:autoSpaceDE/>
        <w:autoSpaceDN/>
        <w:bidi w:val="0"/>
        <w:adjustRightInd w:val="0"/>
        <w:snapToGrid w:val="0"/>
        <w:jc w:val="left"/>
        <w:textAlignment w:val="auto"/>
        <w:rPr>
          <w:rFonts w:hint="default" w:ascii="Times New Roman" w:hAnsi="Times New Roman" w:cs="Times New Roman"/>
          <w:color w:val="0000FF"/>
        </w:rPr>
      </w:pPr>
    </w:p>
    <w:bookmarkEnd w:id="26"/>
    <w:sectPr>
      <w:pgSz w:w="11906" w:h="16838"/>
      <w:pgMar w:top="1304" w:right="1531" w:bottom="1417" w:left="1531" w:header="851" w:footer="8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7C70F2-85D5-4D97-B050-52EE9A9680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0495469-A34A-4659-BF71-CD3494CAF6B5}"/>
  </w:font>
  <w:font w:name="仿宋">
    <w:panose1 w:val="02010609060101010101"/>
    <w:charset w:val="86"/>
    <w:family w:val="auto"/>
    <w:pitch w:val="default"/>
    <w:sig w:usb0="800002BF" w:usb1="38CF7CFA" w:usb2="00000016" w:usb3="00000000" w:csb0="00040001" w:csb1="00000000"/>
    <w:embedRegular r:id="rId3" w:fontKey="{7E589617-E06E-44DF-84D3-68F50915A5B8}"/>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4" w:fontKey="{1D91FC6B-7909-40D0-8EFE-84E34335E603}"/>
  </w:font>
  <w:font w:name="华文仿宋">
    <w:panose1 w:val="02010600040101010101"/>
    <w:charset w:val="86"/>
    <w:family w:val="auto"/>
    <w:pitch w:val="default"/>
    <w:sig w:usb0="00000287" w:usb1="080F0000" w:usb2="00000000" w:usb3="00000000" w:csb0="0004009F" w:csb1="DFD70000"/>
    <w:embedRegular r:id="rId5" w:fontKey="{8F0188F0-0F8E-4F9E-8DC4-BF120AC34191}"/>
  </w:font>
  <w:font w:name="TimesNewRomanPS-BoldMT">
    <w:altName w:val="宋体"/>
    <w:panose1 w:val="00000000000000000000"/>
    <w:charset w:val="86"/>
    <w:family w:val="auto"/>
    <w:pitch w:val="default"/>
    <w:sig w:usb0="00000000" w:usb1="00000000" w:usb2="00000000" w:usb3="00000000" w:csb0="00040000" w:csb1="00000000"/>
    <w:embedRegular r:id="rId6" w:fontKey="{894C6CDB-0342-4C3E-BE9E-D65477A0A94A}"/>
  </w:font>
  <w:font w:name="TimesNewRomanPSMT">
    <w:altName w:val="Times New Roman"/>
    <w:panose1 w:val="00000000000000000000"/>
    <w:charset w:val="80"/>
    <w:family w:val="auto"/>
    <w:pitch w:val="default"/>
    <w:sig w:usb0="00000000" w:usb1="00000000" w:usb2="00000000" w:usb3="00000000" w:csb0="00020000" w:csb1="00000000"/>
    <w:embedRegular r:id="rId7" w:fontKey="{813D337B-ACE5-434E-B11E-DBAFC6BF1212}"/>
  </w:font>
  <w:font w:name="Segoe UI">
    <w:panose1 w:val="020B0502040204020203"/>
    <w:charset w:val="00"/>
    <w:family w:val="auto"/>
    <w:pitch w:val="default"/>
    <w:sig w:usb0="E4002EFF" w:usb1="C000E47F" w:usb2="00000009" w:usb3="00000000" w:csb0="200001FF" w:csb1="00000000"/>
    <w:embedRegular r:id="rId8" w:fontKey="{42DC5A69-C5A0-436C-8896-DD8AB305C92D}"/>
  </w:font>
  <w:font w:name="CIDFont">
    <w:altName w:val="Segoe Print"/>
    <w:panose1 w:val="00000000000000000000"/>
    <w:charset w:val="00"/>
    <w:family w:val="auto"/>
    <w:pitch w:val="default"/>
    <w:sig w:usb0="00000000" w:usb1="00000000" w:usb2="00000000" w:usb3="00000000" w:csb0="00000000" w:csb1="00000000"/>
    <w:embedRegular r:id="rId9" w:fontKey="{4F5C20C7-96BA-40EE-8DD3-80908FE3BD5D}"/>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auto"/>
    <w:pitch w:val="default"/>
    <w:sig w:usb0="E00006FF" w:usb1="420024FF" w:usb2="02000000" w:usb3="00000000" w:csb0="2000019F" w:csb1="00000000"/>
    <w:embedRegular r:id="rId10" w:fontKey="{9302385E-BE3E-4B6C-8EB3-887CB7493285}"/>
  </w:font>
  <w:font w:name="微软雅黑">
    <w:panose1 w:val="020B0503020204020204"/>
    <w:charset w:val="86"/>
    <w:family w:val="swiss"/>
    <w:pitch w:val="default"/>
    <w:sig w:usb0="80000287" w:usb1="2ACF3C50" w:usb2="00000016" w:usb3="00000000" w:csb0="0004001F" w:csb1="00000000"/>
    <w:embedRegular r:id="rId11" w:fontKey="{F31C0EAD-EC9D-4DAB-AA04-76AE65A295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A2788">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DC0DF">
    <w:pPr>
      <w:pStyle w:val="18"/>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54873">
                          <w:pPr>
                            <w:pStyle w:val="18"/>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1054873">
                    <w:pPr>
                      <w:pStyle w:val="18"/>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9BDA9">
    <w:pPr>
      <w:pStyle w:val="18"/>
      <w:framePr w:wrap="around" w:vAnchor="text" w:hAnchor="margin" w:xAlign="outside" w:y="1"/>
      <w:rPr>
        <w:rStyle w:val="30"/>
        <w:rFonts w:ascii="宋体" w:hAnsi="宋体"/>
        <w:sz w:val="21"/>
        <w:szCs w:val="21"/>
      </w:rPr>
    </w:pPr>
    <w:r>
      <w:rPr>
        <w:rStyle w:val="30"/>
        <w:rFonts w:hint="eastAsia" w:ascii="宋体" w:hAnsi="宋体"/>
        <w:sz w:val="21"/>
        <w:szCs w:val="21"/>
      </w:rPr>
      <w:t xml:space="preserve">—  </w:t>
    </w:r>
    <w:r>
      <w:rPr>
        <w:rStyle w:val="30"/>
        <w:rFonts w:ascii="宋体" w:hAnsi="宋体"/>
        <w:sz w:val="21"/>
        <w:szCs w:val="21"/>
      </w:rPr>
      <w:fldChar w:fldCharType="begin"/>
    </w:r>
    <w:r>
      <w:rPr>
        <w:rStyle w:val="30"/>
        <w:rFonts w:ascii="宋体" w:hAnsi="宋体"/>
        <w:sz w:val="21"/>
        <w:szCs w:val="21"/>
      </w:rPr>
      <w:instrText xml:space="preserve">PAGE  </w:instrText>
    </w:r>
    <w:r>
      <w:rPr>
        <w:rStyle w:val="30"/>
        <w:rFonts w:ascii="宋体" w:hAnsi="宋体"/>
        <w:sz w:val="21"/>
        <w:szCs w:val="21"/>
      </w:rPr>
      <w:fldChar w:fldCharType="separate"/>
    </w:r>
    <w:r>
      <w:rPr>
        <w:rStyle w:val="30"/>
        <w:rFonts w:ascii="宋体" w:hAnsi="宋体"/>
        <w:sz w:val="21"/>
        <w:szCs w:val="21"/>
      </w:rPr>
      <w:t>22</w:t>
    </w:r>
    <w:r>
      <w:rPr>
        <w:rStyle w:val="30"/>
        <w:rFonts w:ascii="宋体" w:hAnsi="宋体"/>
        <w:sz w:val="21"/>
        <w:szCs w:val="21"/>
      </w:rPr>
      <w:fldChar w:fldCharType="end"/>
    </w:r>
    <w:r>
      <w:rPr>
        <w:rStyle w:val="30"/>
        <w:rFonts w:hint="eastAsia" w:ascii="宋体" w:hAnsi="宋体"/>
        <w:sz w:val="21"/>
        <w:szCs w:val="21"/>
      </w:rPr>
      <w:t xml:space="preserve">  —</w:t>
    </w:r>
  </w:p>
  <w:p w14:paraId="0A62A517">
    <w:pPr>
      <w:pStyle w:val="18"/>
      <w:ind w:right="360" w:firstLine="360"/>
      <w:jc w:val="center"/>
      <w:rPr>
        <w:sz w:val="21"/>
        <w:szCs w:val="2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D465C"/>
    <w:multiLevelType w:val="singleLevel"/>
    <w:tmpl w:val="823D465C"/>
    <w:lvl w:ilvl="0" w:tentative="0">
      <w:start w:val="1"/>
      <w:numFmt w:val="decimal"/>
      <w:suff w:val="nothing"/>
      <w:lvlText w:val="%1）"/>
      <w:lvlJc w:val="left"/>
    </w:lvl>
  </w:abstractNum>
  <w:abstractNum w:abstractNumId="1">
    <w:nsid w:val="9402C168"/>
    <w:multiLevelType w:val="singleLevel"/>
    <w:tmpl w:val="9402C168"/>
    <w:lvl w:ilvl="0" w:tentative="0">
      <w:start w:val="1"/>
      <w:numFmt w:val="decimal"/>
      <w:suff w:val="nothing"/>
      <w:lvlText w:val="%1）"/>
      <w:lvlJc w:val="left"/>
    </w:lvl>
  </w:abstractNum>
  <w:abstractNum w:abstractNumId="2">
    <w:nsid w:val="9A479F43"/>
    <w:multiLevelType w:val="multilevel"/>
    <w:tmpl w:val="9A479F43"/>
    <w:lvl w:ilvl="0" w:tentative="0">
      <w:start w:val="1"/>
      <w:numFmt w:val="decimal"/>
      <w:suff w:val="space"/>
      <w:lvlText w:val="%1"/>
      <w:lvlJc w:val="left"/>
      <w:pPr>
        <w:tabs>
          <w:tab w:val="left" w:pos="420"/>
        </w:tabs>
        <w:ind w:left="0" w:firstLine="0"/>
      </w:pPr>
      <w:rPr>
        <w:rFonts w:hint="default" w:ascii="宋体" w:hAnsi="宋体" w:eastAsia="宋体" w:cs="宋体"/>
      </w:rPr>
    </w:lvl>
    <w:lvl w:ilvl="1" w:tentative="0">
      <w:start w:val="1"/>
      <w:numFmt w:val="decimal"/>
      <w:suff w:val="space"/>
      <w:lvlText w:val="%1.%2"/>
      <w:lvlJc w:val="left"/>
      <w:pPr>
        <w:tabs>
          <w:tab w:val="left" w:pos="0"/>
        </w:tabs>
        <w:ind w:left="0" w:firstLine="0"/>
      </w:pPr>
      <w:rPr>
        <w:rFonts w:hint="default" w:ascii="Times New Roman" w:hAnsi="Times New Roman" w:eastAsia="宋体" w:cs="Times New Roman"/>
      </w:rPr>
    </w:lvl>
    <w:lvl w:ilvl="2" w:tentative="0">
      <w:start w:val="1"/>
      <w:numFmt w:val="decimal"/>
      <w:suff w:val="space"/>
      <w:lvlText w:val="%1.%2.%3"/>
      <w:lvlJc w:val="left"/>
      <w:pPr>
        <w:tabs>
          <w:tab w:val="left" w:pos="0"/>
        </w:tabs>
        <w:ind w:left="0" w:firstLine="0"/>
      </w:pPr>
      <w:rPr>
        <w:rFonts w:hint="default" w:ascii="Times New Roman" w:hAnsi="Times New Roman" w:eastAsia="宋体" w:cs="Times New Roman"/>
      </w:rPr>
    </w:lvl>
    <w:lvl w:ilvl="3" w:tentative="0">
      <w:start w:val="1"/>
      <w:numFmt w:val="decimal"/>
      <w:pStyle w:val="5"/>
      <w:suff w:val="space"/>
      <w:lvlText w:val="%1.%2.%3.%4"/>
      <w:lvlJc w:val="left"/>
      <w:pPr>
        <w:tabs>
          <w:tab w:val="left" w:pos="0"/>
        </w:tabs>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9D03780B"/>
    <w:multiLevelType w:val="multilevel"/>
    <w:tmpl w:val="9D03780B"/>
    <w:lvl w:ilvl="0" w:tentative="0">
      <w:start w:val="1"/>
      <w:numFmt w:val="decimal"/>
      <w:suff w:val="space"/>
      <w:lvlText w:val="%1"/>
      <w:lvlJc w:val="left"/>
      <w:pPr>
        <w:tabs>
          <w:tab w:val="left" w:pos="420"/>
        </w:tabs>
        <w:ind w:left="432" w:hanging="432"/>
      </w:pPr>
      <w:rPr>
        <w:rFonts w:hint="default" w:ascii="Times New Roman" w:hAnsi="Times New Roman" w:eastAsia="宋体" w:cs="Times New Roman"/>
      </w:rPr>
    </w:lvl>
    <w:lvl w:ilvl="1" w:tentative="0">
      <w:start w:val="1"/>
      <w:numFmt w:val="decimal"/>
      <w:suff w:val="space"/>
      <w:lvlText w:val="%1.%2"/>
      <w:lvlJc w:val="left"/>
      <w:pPr>
        <w:tabs>
          <w:tab w:val="left" w:pos="420"/>
        </w:tabs>
        <w:ind w:left="575" w:hanging="575"/>
      </w:pPr>
      <w:rPr>
        <w:rFonts w:hint="default" w:ascii="Times New Roman" w:hAnsi="Times New Roman" w:eastAsia="宋体" w:cs="Times New Roman"/>
      </w:rPr>
    </w:lvl>
    <w:lvl w:ilvl="2" w:tentative="0">
      <w:start w:val="1"/>
      <w:numFmt w:val="decimal"/>
      <w:suff w:val="space"/>
      <w:lvlText w:val="%1.%2.%3"/>
      <w:lvlJc w:val="left"/>
      <w:pPr>
        <w:tabs>
          <w:tab w:val="left" w:pos="420"/>
        </w:tabs>
        <w:ind w:left="720" w:hanging="720"/>
      </w:pPr>
      <w:rPr>
        <w:rFonts w:hint="default" w:ascii="Times New Roman" w:hAnsi="Times New Roman" w:eastAsia="宋体" w:cs="Times New Roman"/>
      </w:rPr>
    </w:lvl>
    <w:lvl w:ilvl="3" w:tentative="0">
      <w:start w:val="1"/>
      <w:numFmt w:val="decimal"/>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4">
    <w:nsid w:val="B5FC4290"/>
    <w:multiLevelType w:val="singleLevel"/>
    <w:tmpl w:val="B5FC4290"/>
    <w:lvl w:ilvl="0" w:tentative="0">
      <w:start w:val="1"/>
      <w:numFmt w:val="decimal"/>
      <w:suff w:val="nothing"/>
      <w:lvlText w:val="%1、"/>
      <w:lvlJc w:val="left"/>
    </w:lvl>
  </w:abstractNum>
  <w:abstractNum w:abstractNumId="5">
    <w:nsid w:val="D20195D7"/>
    <w:multiLevelType w:val="singleLevel"/>
    <w:tmpl w:val="D20195D7"/>
    <w:lvl w:ilvl="0" w:tentative="0">
      <w:start w:val="1"/>
      <w:numFmt w:val="decimal"/>
      <w:suff w:val="nothing"/>
      <w:lvlText w:val="（%1）"/>
      <w:lvlJc w:val="left"/>
    </w:lvl>
  </w:abstractNum>
  <w:abstractNum w:abstractNumId="6">
    <w:nsid w:val="DC1781B0"/>
    <w:multiLevelType w:val="singleLevel"/>
    <w:tmpl w:val="DC1781B0"/>
    <w:lvl w:ilvl="0" w:tentative="0">
      <w:start w:val="3"/>
      <w:numFmt w:val="decimal"/>
      <w:suff w:val="nothing"/>
      <w:lvlText w:val="%1、"/>
      <w:lvlJc w:val="left"/>
    </w:lvl>
  </w:abstractNum>
  <w:abstractNum w:abstractNumId="7">
    <w:nsid w:val="F0668757"/>
    <w:multiLevelType w:val="multilevel"/>
    <w:tmpl w:val="F0668757"/>
    <w:lvl w:ilvl="0" w:tentative="0">
      <w:start w:val="1"/>
      <w:numFmt w:val="decimal"/>
      <w:lvlText w:val="%1."/>
      <w:lvlJc w:val="left"/>
      <w:pPr>
        <w:tabs>
          <w:tab w:val="left" w:pos="0"/>
        </w:tabs>
        <w:ind w:left="0" w:firstLine="0"/>
      </w:pPr>
      <w:rPr>
        <w:rFonts w:hint="eastAsia"/>
      </w:rPr>
    </w:lvl>
    <w:lvl w:ilvl="1" w:tentative="0">
      <w:start w:val="1"/>
      <w:numFmt w:val="decimal"/>
      <w:lvlText w:val="%1.%2"/>
      <w:lvlJc w:val="left"/>
      <w:pPr>
        <w:tabs>
          <w:tab w:val="left" w:pos="0"/>
        </w:tabs>
        <w:ind w:left="0" w:firstLine="0"/>
      </w:pPr>
      <w:rPr>
        <w:rFonts w:hint="eastAsia"/>
      </w:rPr>
    </w:lvl>
    <w:lvl w:ilvl="2" w:tentative="0">
      <w:start w:val="1"/>
      <w:numFmt w:val="decimal"/>
      <w:pStyle w:val="4"/>
      <w:lvlText w:val="%1.%2.%3"/>
      <w:lvlJc w:val="left"/>
      <w:pPr>
        <w:tabs>
          <w:tab w:val="left" w:pos="0"/>
        </w:tabs>
        <w:ind w:left="0" w:firstLine="0"/>
      </w:pPr>
      <w:rPr>
        <w:rFonts w:hint="eastAsia"/>
      </w:rPr>
    </w:lvl>
    <w:lvl w:ilvl="3" w:tentative="0">
      <w:start w:val="1"/>
      <w:numFmt w:val="decimal"/>
      <w:lvlText w:val="%1.%2.%3.%4"/>
      <w:lvlJc w:val="left"/>
      <w:pPr>
        <w:tabs>
          <w:tab w:val="left" w:pos="1080"/>
        </w:tabs>
        <w:ind w:left="0" w:firstLine="0"/>
      </w:pPr>
      <w:rPr>
        <w:rFonts w:hint="default" w:ascii="Times New Roman" w:hAnsi="Times New Roman"/>
      </w:rPr>
    </w:lvl>
    <w:lvl w:ilvl="4" w:tentative="0">
      <w:start w:val="1"/>
      <w:numFmt w:val="decimal"/>
      <w:lvlText w:val="%1.%2.%3.%4.%5"/>
      <w:lvlJc w:val="left"/>
      <w:pPr>
        <w:tabs>
          <w:tab w:val="left" w:pos="0"/>
        </w:tabs>
        <w:ind w:left="0" w:firstLine="0"/>
      </w:pPr>
      <w:rPr>
        <w:rFonts w:hint="eastAsia"/>
      </w:rPr>
    </w:lvl>
    <w:lvl w:ilvl="5" w:tentative="0">
      <w:start w:val="1"/>
      <w:numFmt w:val="decimal"/>
      <w:lvlText w:val="%1.%2.%3.%4.%5.%6"/>
      <w:lvlJc w:val="left"/>
      <w:pPr>
        <w:tabs>
          <w:tab w:val="left" w:pos="0"/>
        </w:tabs>
        <w:ind w:left="0" w:firstLine="0"/>
      </w:pPr>
      <w:rPr>
        <w:rFonts w:hint="eastAsia"/>
      </w:rPr>
    </w:lvl>
    <w:lvl w:ilvl="6" w:tentative="0">
      <w:start w:val="1"/>
      <w:numFmt w:val="decimal"/>
      <w:lvlText w:val="%1.%2.%3.%4.%5.%6.%7"/>
      <w:lvlJc w:val="left"/>
      <w:pPr>
        <w:tabs>
          <w:tab w:val="left" w:pos="0"/>
        </w:tabs>
        <w:ind w:left="0" w:firstLine="0"/>
      </w:pPr>
      <w:rPr>
        <w:rFonts w:hint="eastAsia"/>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0"/>
        </w:tabs>
        <w:ind w:left="0" w:firstLine="0"/>
      </w:pPr>
      <w:rPr>
        <w:rFonts w:hint="eastAsia"/>
      </w:rPr>
    </w:lvl>
  </w:abstractNum>
  <w:abstractNum w:abstractNumId="8">
    <w:nsid w:val="034C5502"/>
    <w:multiLevelType w:val="singleLevel"/>
    <w:tmpl w:val="034C5502"/>
    <w:lvl w:ilvl="0" w:tentative="0">
      <w:start w:val="1"/>
      <w:numFmt w:val="decimal"/>
      <w:suff w:val="nothing"/>
      <w:lvlText w:val="（%1）"/>
      <w:lvlJc w:val="left"/>
    </w:lvl>
  </w:abstractNum>
  <w:abstractNum w:abstractNumId="9">
    <w:nsid w:val="169B729B"/>
    <w:multiLevelType w:val="singleLevel"/>
    <w:tmpl w:val="169B729B"/>
    <w:lvl w:ilvl="0" w:tentative="0">
      <w:start w:val="1"/>
      <w:numFmt w:val="decimal"/>
      <w:lvlText w:val="%1)"/>
      <w:lvlJc w:val="left"/>
      <w:pPr>
        <w:ind w:left="425" w:hanging="425"/>
      </w:pPr>
      <w:rPr>
        <w:rFonts w:hint="default"/>
      </w:rPr>
    </w:lvl>
  </w:abstractNum>
  <w:abstractNum w:abstractNumId="10">
    <w:nsid w:val="1955D626"/>
    <w:multiLevelType w:val="singleLevel"/>
    <w:tmpl w:val="1955D626"/>
    <w:lvl w:ilvl="0" w:tentative="0">
      <w:start w:val="2"/>
      <w:numFmt w:val="chineseCounting"/>
      <w:suff w:val="nothing"/>
      <w:lvlText w:val="%1、"/>
      <w:lvlJc w:val="left"/>
      <w:rPr>
        <w:rFonts w:hint="eastAsia"/>
      </w:rPr>
    </w:lvl>
  </w:abstractNum>
  <w:abstractNum w:abstractNumId="11">
    <w:nsid w:val="30F8E967"/>
    <w:multiLevelType w:val="multilevel"/>
    <w:tmpl w:val="30F8E967"/>
    <w:lvl w:ilvl="0" w:tentative="0">
      <w:start w:val="1"/>
      <w:numFmt w:val="decimal"/>
      <w:lvlText w:val="%1"/>
      <w:lvlJc w:val="left"/>
      <w:pPr>
        <w:ind w:left="432" w:hanging="432"/>
      </w:pPr>
      <w:rPr>
        <w:rFonts w:hint="default" w:ascii="Times New Roman" w:hAnsi="Times New Roman" w:eastAsia="宋体" w:cs="宋体"/>
      </w:rPr>
    </w:lvl>
    <w:lvl w:ilvl="1" w:tentative="0">
      <w:start w:val="1"/>
      <w:numFmt w:val="decimal"/>
      <w:pStyle w:val="3"/>
      <w:lvlText w:val="%1.%2"/>
      <w:lvlJc w:val="left"/>
      <w:pPr>
        <w:ind w:left="575" w:hanging="575"/>
      </w:pPr>
      <w:rPr>
        <w:rFonts w:hint="default" w:ascii="Times New Roman" w:hAnsi="Times New Roman" w:eastAsia="宋体" w:cs="宋体"/>
      </w:rPr>
    </w:lvl>
    <w:lvl w:ilvl="2" w:tentative="0">
      <w:start w:val="1"/>
      <w:numFmt w:val="decimal"/>
      <w:lvlText w:val="%1.%2.%3"/>
      <w:lvlJc w:val="left"/>
      <w:pPr>
        <w:ind w:left="720" w:hanging="720"/>
      </w:pPr>
      <w:rPr>
        <w:rFonts w:hint="default" w:ascii="Times New Roman" w:hAnsi="Times New Roman" w:eastAsia="宋体" w:cs="宋体"/>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2">
    <w:nsid w:val="47DFD2C9"/>
    <w:multiLevelType w:val="singleLevel"/>
    <w:tmpl w:val="47DFD2C9"/>
    <w:lvl w:ilvl="0" w:tentative="0">
      <w:start w:val="1"/>
      <w:numFmt w:val="decimal"/>
      <w:suff w:val="nothing"/>
      <w:lvlText w:val="（%1）"/>
      <w:lvlJc w:val="left"/>
    </w:lvl>
  </w:abstractNum>
  <w:abstractNum w:abstractNumId="13">
    <w:nsid w:val="53D058E1"/>
    <w:multiLevelType w:val="singleLevel"/>
    <w:tmpl w:val="53D058E1"/>
    <w:lvl w:ilvl="0" w:tentative="0">
      <w:start w:val="1"/>
      <w:numFmt w:val="decimal"/>
      <w:suff w:val="nothing"/>
      <w:lvlText w:val="%1、"/>
      <w:lvlJc w:val="left"/>
    </w:lvl>
  </w:abstractNum>
  <w:abstractNum w:abstractNumId="14">
    <w:nsid w:val="56589F71"/>
    <w:multiLevelType w:val="singleLevel"/>
    <w:tmpl w:val="56589F71"/>
    <w:lvl w:ilvl="0" w:tentative="0">
      <w:start w:val="1"/>
      <w:numFmt w:val="decimal"/>
      <w:lvlText w:val="(%1)"/>
      <w:lvlJc w:val="left"/>
      <w:pPr>
        <w:ind w:left="425" w:hanging="425"/>
      </w:pPr>
      <w:rPr>
        <w:rFonts w:hint="default"/>
      </w:rPr>
    </w:lvl>
  </w:abstractNum>
  <w:abstractNum w:abstractNumId="15">
    <w:nsid w:val="5B1245C9"/>
    <w:multiLevelType w:val="singleLevel"/>
    <w:tmpl w:val="5B1245C9"/>
    <w:lvl w:ilvl="0" w:tentative="0">
      <w:start w:val="1"/>
      <w:numFmt w:val="decimal"/>
      <w:suff w:val="nothing"/>
      <w:lvlText w:val="（%1）"/>
      <w:lvlJc w:val="left"/>
    </w:lvl>
  </w:abstractNum>
  <w:abstractNum w:abstractNumId="16">
    <w:nsid w:val="7ECAE72D"/>
    <w:multiLevelType w:val="singleLevel"/>
    <w:tmpl w:val="7ECAE72D"/>
    <w:lvl w:ilvl="0" w:tentative="0">
      <w:start w:val="1"/>
      <w:numFmt w:val="decimal"/>
      <w:suff w:val="nothing"/>
      <w:lvlText w:val="（%1）"/>
      <w:lvlJc w:val="left"/>
    </w:lvl>
  </w:abstractNum>
  <w:num w:numId="1">
    <w:abstractNumId w:val="11"/>
  </w:num>
  <w:num w:numId="2">
    <w:abstractNumId w:val="7"/>
  </w:num>
  <w:num w:numId="3">
    <w:abstractNumId w:val="2"/>
  </w:num>
  <w:num w:numId="4">
    <w:abstractNumId w:val="3"/>
  </w:num>
  <w:num w:numId="5">
    <w:abstractNumId w:val="4"/>
  </w:num>
  <w:num w:numId="6">
    <w:abstractNumId w:val="13"/>
  </w:num>
  <w:num w:numId="7">
    <w:abstractNumId w:val="5"/>
  </w:num>
  <w:num w:numId="8">
    <w:abstractNumId w:val="0"/>
  </w:num>
  <w:num w:numId="9">
    <w:abstractNumId w:val="16"/>
  </w:num>
  <w:num w:numId="10">
    <w:abstractNumId w:val="15"/>
  </w:num>
  <w:num w:numId="11">
    <w:abstractNumId w:val="8"/>
  </w:num>
  <w:num w:numId="12">
    <w:abstractNumId w:val="12"/>
  </w:num>
  <w:num w:numId="13">
    <w:abstractNumId w:val="6"/>
  </w:num>
  <w:num w:numId="14">
    <w:abstractNumId w:val="10"/>
  </w:num>
  <w:num w:numId="15">
    <w:abstractNumId w:val="9"/>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NTEzNGQyODE3ZGI1MmYzM2Y1NTY2MDg2YTYwNzMifQ=="/>
  </w:docVars>
  <w:rsids>
    <w:rsidRoot w:val="00172A2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4452"/>
    <w:rsid w:val="000F6DA1"/>
    <w:rsid w:val="000F701B"/>
    <w:rsid w:val="001056A0"/>
    <w:rsid w:val="00115279"/>
    <w:rsid w:val="00117459"/>
    <w:rsid w:val="0011749A"/>
    <w:rsid w:val="00127A68"/>
    <w:rsid w:val="001354CE"/>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931EC"/>
    <w:rsid w:val="002A168C"/>
    <w:rsid w:val="002A2C48"/>
    <w:rsid w:val="002A3EED"/>
    <w:rsid w:val="002A4A39"/>
    <w:rsid w:val="002A5A17"/>
    <w:rsid w:val="002A6425"/>
    <w:rsid w:val="002B49E2"/>
    <w:rsid w:val="002B7B00"/>
    <w:rsid w:val="002B7C44"/>
    <w:rsid w:val="002C0B06"/>
    <w:rsid w:val="002C1388"/>
    <w:rsid w:val="002C3C6A"/>
    <w:rsid w:val="002D42DB"/>
    <w:rsid w:val="002D6736"/>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040"/>
    <w:rsid w:val="00381A72"/>
    <w:rsid w:val="003A1948"/>
    <w:rsid w:val="003B152A"/>
    <w:rsid w:val="003B545B"/>
    <w:rsid w:val="003D3EE9"/>
    <w:rsid w:val="003E7681"/>
    <w:rsid w:val="003F0809"/>
    <w:rsid w:val="003F611C"/>
    <w:rsid w:val="003F755C"/>
    <w:rsid w:val="00406F01"/>
    <w:rsid w:val="00411B36"/>
    <w:rsid w:val="00411CA3"/>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8523E"/>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0899"/>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5D67"/>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347E"/>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708D"/>
    <w:rsid w:val="00AA2C17"/>
    <w:rsid w:val="00AA4172"/>
    <w:rsid w:val="00AB1914"/>
    <w:rsid w:val="00AB5330"/>
    <w:rsid w:val="00AB7747"/>
    <w:rsid w:val="00AC2532"/>
    <w:rsid w:val="00AD1507"/>
    <w:rsid w:val="00AD5A70"/>
    <w:rsid w:val="00AD738B"/>
    <w:rsid w:val="00AE1BF4"/>
    <w:rsid w:val="00AE5D97"/>
    <w:rsid w:val="00AE6794"/>
    <w:rsid w:val="00AF0790"/>
    <w:rsid w:val="00B01110"/>
    <w:rsid w:val="00B02262"/>
    <w:rsid w:val="00B03CEC"/>
    <w:rsid w:val="00B1209F"/>
    <w:rsid w:val="00B12AD0"/>
    <w:rsid w:val="00B24F30"/>
    <w:rsid w:val="00B31ABF"/>
    <w:rsid w:val="00B335AE"/>
    <w:rsid w:val="00B37CE1"/>
    <w:rsid w:val="00B40ACF"/>
    <w:rsid w:val="00B46BAA"/>
    <w:rsid w:val="00B50B5F"/>
    <w:rsid w:val="00B51FA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1EF4"/>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D0072E"/>
    <w:rsid w:val="00D15727"/>
    <w:rsid w:val="00D16332"/>
    <w:rsid w:val="00D24972"/>
    <w:rsid w:val="00D2515E"/>
    <w:rsid w:val="00D308ED"/>
    <w:rsid w:val="00D30F45"/>
    <w:rsid w:val="00D56178"/>
    <w:rsid w:val="00D56CF0"/>
    <w:rsid w:val="00D56F5C"/>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B304E"/>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04E9"/>
    <w:rsid w:val="00F82589"/>
    <w:rsid w:val="00F82B19"/>
    <w:rsid w:val="00F90AA7"/>
    <w:rsid w:val="00F9212D"/>
    <w:rsid w:val="00FA301A"/>
    <w:rsid w:val="00FA406A"/>
    <w:rsid w:val="00FA5CB6"/>
    <w:rsid w:val="00FC66AC"/>
    <w:rsid w:val="00FD18F4"/>
    <w:rsid w:val="00FD74B4"/>
    <w:rsid w:val="00FF6FCE"/>
    <w:rsid w:val="00FF7518"/>
    <w:rsid w:val="00FF7FD8"/>
    <w:rsid w:val="010D6029"/>
    <w:rsid w:val="013625FC"/>
    <w:rsid w:val="01376C2D"/>
    <w:rsid w:val="01422176"/>
    <w:rsid w:val="015B3238"/>
    <w:rsid w:val="015E0632"/>
    <w:rsid w:val="016814B1"/>
    <w:rsid w:val="016B5CEE"/>
    <w:rsid w:val="019A3B56"/>
    <w:rsid w:val="019D55FE"/>
    <w:rsid w:val="01A73D87"/>
    <w:rsid w:val="01A87AFF"/>
    <w:rsid w:val="01B34E22"/>
    <w:rsid w:val="01B634E0"/>
    <w:rsid w:val="01C42B8B"/>
    <w:rsid w:val="01D3250C"/>
    <w:rsid w:val="01E46073"/>
    <w:rsid w:val="01E66FA5"/>
    <w:rsid w:val="01F86CD9"/>
    <w:rsid w:val="021F1B1D"/>
    <w:rsid w:val="022A3B3B"/>
    <w:rsid w:val="023A2E4D"/>
    <w:rsid w:val="026410D3"/>
    <w:rsid w:val="02652E74"/>
    <w:rsid w:val="02750329"/>
    <w:rsid w:val="027E0DC2"/>
    <w:rsid w:val="0282283E"/>
    <w:rsid w:val="029A38EC"/>
    <w:rsid w:val="02AC4167"/>
    <w:rsid w:val="02AD5926"/>
    <w:rsid w:val="02B97A9C"/>
    <w:rsid w:val="02BC7D06"/>
    <w:rsid w:val="02BC7D09"/>
    <w:rsid w:val="02C906E7"/>
    <w:rsid w:val="02CD6BF8"/>
    <w:rsid w:val="02CE63C5"/>
    <w:rsid w:val="02D6682E"/>
    <w:rsid w:val="02F32FFC"/>
    <w:rsid w:val="02FB5CDA"/>
    <w:rsid w:val="030703EB"/>
    <w:rsid w:val="031C2553"/>
    <w:rsid w:val="03272EB3"/>
    <w:rsid w:val="032A1414"/>
    <w:rsid w:val="03546191"/>
    <w:rsid w:val="03575C81"/>
    <w:rsid w:val="035B6E9D"/>
    <w:rsid w:val="038033D7"/>
    <w:rsid w:val="038F71C9"/>
    <w:rsid w:val="039E6D5A"/>
    <w:rsid w:val="03B94246"/>
    <w:rsid w:val="03BC7892"/>
    <w:rsid w:val="03BD55AE"/>
    <w:rsid w:val="03DF0413"/>
    <w:rsid w:val="03E50F70"/>
    <w:rsid w:val="03E9450C"/>
    <w:rsid w:val="03EA08A3"/>
    <w:rsid w:val="04090D29"/>
    <w:rsid w:val="040C7BA3"/>
    <w:rsid w:val="040E4592"/>
    <w:rsid w:val="041C23B2"/>
    <w:rsid w:val="041F6A66"/>
    <w:rsid w:val="04234A26"/>
    <w:rsid w:val="04273BA4"/>
    <w:rsid w:val="0440200F"/>
    <w:rsid w:val="044E772E"/>
    <w:rsid w:val="04551A32"/>
    <w:rsid w:val="047141C3"/>
    <w:rsid w:val="048B3E34"/>
    <w:rsid w:val="048B7990"/>
    <w:rsid w:val="0490144A"/>
    <w:rsid w:val="04B769D7"/>
    <w:rsid w:val="04BB7034"/>
    <w:rsid w:val="04CD34EE"/>
    <w:rsid w:val="04E9115C"/>
    <w:rsid w:val="04E95C95"/>
    <w:rsid w:val="04FF037E"/>
    <w:rsid w:val="051756C8"/>
    <w:rsid w:val="051E1933"/>
    <w:rsid w:val="051E4A78"/>
    <w:rsid w:val="05451103"/>
    <w:rsid w:val="054716CB"/>
    <w:rsid w:val="054D711D"/>
    <w:rsid w:val="054F4E62"/>
    <w:rsid w:val="05742AC8"/>
    <w:rsid w:val="057C458C"/>
    <w:rsid w:val="05832D5D"/>
    <w:rsid w:val="058A6B03"/>
    <w:rsid w:val="059565ED"/>
    <w:rsid w:val="05A045D0"/>
    <w:rsid w:val="05B94DC8"/>
    <w:rsid w:val="05D5356B"/>
    <w:rsid w:val="05E1062D"/>
    <w:rsid w:val="05EA727F"/>
    <w:rsid w:val="05F1113A"/>
    <w:rsid w:val="06182F75"/>
    <w:rsid w:val="061F6062"/>
    <w:rsid w:val="062500E4"/>
    <w:rsid w:val="06265752"/>
    <w:rsid w:val="062F07EF"/>
    <w:rsid w:val="06352F05"/>
    <w:rsid w:val="06357858"/>
    <w:rsid w:val="063E7D85"/>
    <w:rsid w:val="064321EB"/>
    <w:rsid w:val="064A5DA7"/>
    <w:rsid w:val="064F49ED"/>
    <w:rsid w:val="06532730"/>
    <w:rsid w:val="065D535C"/>
    <w:rsid w:val="0662564C"/>
    <w:rsid w:val="066E1666"/>
    <w:rsid w:val="06720DD3"/>
    <w:rsid w:val="06843705"/>
    <w:rsid w:val="0696389B"/>
    <w:rsid w:val="06CB0518"/>
    <w:rsid w:val="06F05925"/>
    <w:rsid w:val="06F118E3"/>
    <w:rsid w:val="06F776A3"/>
    <w:rsid w:val="06FF0296"/>
    <w:rsid w:val="070875E0"/>
    <w:rsid w:val="070E6657"/>
    <w:rsid w:val="0713685A"/>
    <w:rsid w:val="071C6FC5"/>
    <w:rsid w:val="071E49FF"/>
    <w:rsid w:val="07293586"/>
    <w:rsid w:val="07295285"/>
    <w:rsid w:val="072C0818"/>
    <w:rsid w:val="073A689E"/>
    <w:rsid w:val="074107DA"/>
    <w:rsid w:val="074E5313"/>
    <w:rsid w:val="075C55D2"/>
    <w:rsid w:val="0761370E"/>
    <w:rsid w:val="07634108"/>
    <w:rsid w:val="0766035D"/>
    <w:rsid w:val="076808B4"/>
    <w:rsid w:val="076A5F83"/>
    <w:rsid w:val="07770C56"/>
    <w:rsid w:val="07862691"/>
    <w:rsid w:val="07871169"/>
    <w:rsid w:val="079B1D7A"/>
    <w:rsid w:val="079B438E"/>
    <w:rsid w:val="07B86BE9"/>
    <w:rsid w:val="07B96D33"/>
    <w:rsid w:val="07C03EE1"/>
    <w:rsid w:val="07C83CFE"/>
    <w:rsid w:val="07F26BD3"/>
    <w:rsid w:val="07FF55FE"/>
    <w:rsid w:val="08013E26"/>
    <w:rsid w:val="0802440D"/>
    <w:rsid w:val="080C703A"/>
    <w:rsid w:val="08144141"/>
    <w:rsid w:val="081A758A"/>
    <w:rsid w:val="084104D8"/>
    <w:rsid w:val="084D2832"/>
    <w:rsid w:val="08531E89"/>
    <w:rsid w:val="08691E8F"/>
    <w:rsid w:val="086D0494"/>
    <w:rsid w:val="087B6CA5"/>
    <w:rsid w:val="087F7A0D"/>
    <w:rsid w:val="08907C6B"/>
    <w:rsid w:val="08964B56"/>
    <w:rsid w:val="08AB0B44"/>
    <w:rsid w:val="08B5685D"/>
    <w:rsid w:val="08BC5D6B"/>
    <w:rsid w:val="08E16062"/>
    <w:rsid w:val="08E21B49"/>
    <w:rsid w:val="08F0125B"/>
    <w:rsid w:val="08FC70AE"/>
    <w:rsid w:val="090137FA"/>
    <w:rsid w:val="090D12BC"/>
    <w:rsid w:val="09212671"/>
    <w:rsid w:val="092217DD"/>
    <w:rsid w:val="09265ED9"/>
    <w:rsid w:val="093A7294"/>
    <w:rsid w:val="09461434"/>
    <w:rsid w:val="09491BC8"/>
    <w:rsid w:val="09550FD0"/>
    <w:rsid w:val="095D5673"/>
    <w:rsid w:val="095E38C5"/>
    <w:rsid w:val="0960675B"/>
    <w:rsid w:val="097562C3"/>
    <w:rsid w:val="09772BD9"/>
    <w:rsid w:val="09934AA0"/>
    <w:rsid w:val="099C2AD0"/>
    <w:rsid w:val="09A03EDE"/>
    <w:rsid w:val="09B83CC0"/>
    <w:rsid w:val="09B90AFC"/>
    <w:rsid w:val="09C05496"/>
    <w:rsid w:val="09E07D73"/>
    <w:rsid w:val="09F9539C"/>
    <w:rsid w:val="0A082BB8"/>
    <w:rsid w:val="0A0B7BCC"/>
    <w:rsid w:val="0A140ABB"/>
    <w:rsid w:val="0A182E62"/>
    <w:rsid w:val="0A1A1480"/>
    <w:rsid w:val="0A28343F"/>
    <w:rsid w:val="0A325501"/>
    <w:rsid w:val="0A4725AB"/>
    <w:rsid w:val="0A7E7141"/>
    <w:rsid w:val="0A8C7FBE"/>
    <w:rsid w:val="0AB6328D"/>
    <w:rsid w:val="0ABF697D"/>
    <w:rsid w:val="0AED7401"/>
    <w:rsid w:val="0AFD710E"/>
    <w:rsid w:val="0B093D9B"/>
    <w:rsid w:val="0B1A1C0D"/>
    <w:rsid w:val="0B1A7B41"/>
    <w:rsid w:val="0B300F0F"/>
    <w:rsid w:val="0B4D59AF"/>
    <w:rsid w:val="0B507BF3"/>
    <w:rsid w:val="0B515189"/>
    <w:rsid w:val="0B523588"/>
    <w:rsid w:val="0B5842E1"/>
    <w:rsid w:val="0B6B7431"/>
    <w:rsid w:val="0B6D4AAC"/>
    <w:rsid w:val="0B97468A"/>
    <w:rsid w:val="0B9768BC"/>
    <w:rsid w:val="0B9D3B66"/>
    <w:rsid w:val="0BBB195F"/>
    <w:rsid w:val="0BC96FF0"/>
    <w:rsid w:val="0BD27BF6"/>
    <w:rsid w:val="0BDF2167"/>
    <w:rsid w:val="0BE43E2A"/>
    <w:rsid w:val="0BF26547"/>
    <w:rsid w:val="0C272694"/>
    <w:rsid w:val="0C321039"/>
    <w:rsid w:val="0C3338D5"/>
    <w:rsid w:val="0C346D68"/>
    <w:rsid w:val="0C44295F"/>
    <w:rsid w:val="0C5A24F4"/>
    <w:rsid w:val="0C5A2708"/>
    <w:rsid w:val="0C711B61"/>
    <w:rsid w:val="0C790A16"/>
    <w:rsid w:val="0C83379A"/>
    <w:rsid w:val="0C910F3D"/>
    <w:rsid w:val="0CA912FB"/>
    <w:rsid w:val="0CBD02ED"/>
    <w:rsid w:val="0CC23281"/>
    <w:rsid w:val="0CD106A8"/>
    <w:rsid w:val="0CF76427"/>
    <w:rsid w:val="0D05452B"/>
    <w:rsid w:val="0D067E3D"/>
    <w:rsid w:val="0D0E01E4"/>
    <w:rsid w:val="0D10137A"/>
    <w:rsid w:val="0D212DEA"/>
    <w:rsid w:val="0D236044"/>
    <w:rsid w:val="0D4E23F9"/>
    <w:rsid w:val="0D644A30"/>
    <w:rsid w:val="0D8853B5"/>
    <w:rsid w:val="0D8E7657"/>
    <w:rsid w:val="0DA76B8C"/>
    <w:rsid w:val="0DAE2941"/>
    <w:rsid w:val="0DAF7866"/>
    <w:rsid w:val="0DBE47CB"/>
    <w:rsid w:val="0DD00B0A"/>
    <w:rsid w:val="0DEA1F26"/>
    <w:rsid w:val="0DEC7CC8"/>
    <w:rsid w:val="0DF021C5"/>
    <w:rsid w:val="0E0F1CCC"/>
    <w:rsid w:val="0E10335D"/>
    <w:rsid w:val="0E110D06"/>
    <w:rsid w:val="0E3015A8"/>
    <w:rsid w:val="0E497933"/>
    <w:rsid w:val="0E674290"/>
    <w:rsid w:val="0E722F76"/>
    <w:rsid w:val="0E72571D"/>
    <w:rsid w:val="0E7C56D3"/>
    <w:rsid w:val="0E956D7D"/>
    <w:rsid w:val="0EA13EAB"/>
    <w:rsid w:val="0EAA6659"/>
    <w:rsid w:val="0EC873C5"/>
    <w:rsid w:val="0ECB733C"/>
    <w:rsid w:val="0ECE5049"/>
    <w:rsid w:val="0EEA79A9"/>
    <w:rsid w:val="0F13775A"/>
    <w:rsid w:val="0F1467D4"/>
    <w:rsid w:val="0F193842"/>
    <w:rsid w:val="0F1A028E"/>
    <w:rsid w:val="0F285911"/>
    <w:rsid w:val="0F317386"/>
    <w:rsid w:val="0F4D1352"/>
    <w:rsid w:val="0F4D1398"/>
    <w:rsid w:val="0F8F3F26"/>
    <w:rsid w:val="0F977B31"/>
    <w:rsid w:val="0F9A112B"/>
    <w:rsid w:val="0F9F0ED5"/>
    <w:rsid w:val="0FCB3337"/>
    <w:rsid w:val="0FDC3796"/>
    <w:rsid w:val="0FED02E8"/>
    <w:rsid w:val="100B7ABF"/>
    <w:rsid w:val="10135B48"/>
    <w:rsid w:val="101B0567"/>
    <w:rsid w:val="102852E9"/>
    <w:rsid w:val="10305890"/>
    <w:rsid w:val="1041549F"/>
    <w:rsid w:val="10496E27"/>
    <w:rsid w:val="104A4BA3"/>
    <w:rsid w:val="104E5D16"/>
    <w:rsid w:val="10572E1C"/>
    <w:rsid w:val="10577187"/>
    <w:rsid w:val="106D2F64"/>
    <w:rsid w:val="106F0166"/>
    <w:rsid w:val="1081177B"/>
    <w:rsid w:val="1088747A"/>
    <w:rsid w:val="108F6A5A"/>
    <w:rsid w:val="10AB771F"/>
    <w:rsid w:val="10AC30D2"/>
    <w:rsid w:val="10AD5364"/>
    <w:rsid w:val="10B63710"/>
    <w:rsid w:val="10E01DD0"/>
    <w:rsid w:val="10F36FE9"/>
    <w:rsid w:val="10F44B0F"/>
    <w:rsid w:val="10F663EF"/>
    <w:rsid w:val="11145148"/>
    <w:rsid w:val="111C2F7A"/>
    <w:rsid w:val="112278CE"/>
    <w:rsid w:val="11262612"/>
    <w:rsid w:val="11300007"/>
    <w:rsid w:val="113013DE"/>
    <w:rsid w:val="1155307D"/>
    <w:rsid w:val="1177228A"/>
    <w:rsid w:val="11902D76"/>
    <w:rsid w:val="11CE5360"/>
    <w:rsid w:val="11D35D74"/>
    <w:rsid w:val="11D72467"/>
    <w:rsid w:val="11E179DF"/>
    <w:rsid w:val="11E65755"/>
    <w:rsid w:val="11ED1B1E"/>
    <w:rsid w:val="11FC3C7B"/>
    <w:rsid w:val="122B06C2"/>
    <w:rsid w:val="126A2A21"/>
    <w:rsid w:val="1270628F"/>
    <w:rsid w:val="12791770"/>
    <w:rsid w:val="127F5AC2"/>
    <w:rsid w:val="129778C9"/>
    <w:rsid w:val="12986F2D"/>
    <w:rsid w:val="12A12A75"/>
    <w:rsid w:val="12BD1C3B"/>
    <w:rsid w:val="12C01A69"/>
    <w:rsid w:val="12C0693F"/>
    <w:rsid w:val="12C155A7"/>
    <w:rsid w:val="12C30517"/>
    <w:rsid w:val="12C85F8D"/>
    <w:rsid w:val="130224A8"/>
    <w:rsid w:val="130D3C66"/>
    <w:rsid w:val="13144FF5"/>
    <w:rsid w:val="131863C4"/>
    <w:rsid w:val="132D0659"/>
    <w:rsid w:val="1340228E"/>
    <w:rsid w:val="13460473"/>
    <w:rsid w:val="135E44C2"/>
    <w:rsid w:val="136001A9"/>
    <w:rsid w:val="13623FB2"/>
    <w:rsid w:val="13680B50"/>
    <w:rsid w:val="137168CF"/>
    <w:rsid w:val="13893D26"/>
    <w:rsid w:val="138F16CD"/>
    <w:rsid w:val="13951726"/>
    <w:rsid w:val="13994B3B"/>
    <w:rsid w:val="139D431D"/>
    <w:rsid w:val="13A50343"/>
    <w:rsid w:val="13A61B00"/>
    <w:rsid w:val="13B81E24"/>
    <w:rsid w:val="13C309DC"/>
    <w:rsid w:val="13C364F9"/>
    <w:rsid w:val="13CB6CFC"/>
    <w:rsid w:val="13DE487B"/>
    <w:rsid w:val="13F07810"/>
    <w:rsid w:val="13FA3E44"/>
    <w:rsid w:val="14396509"/>
    <w:rsid w:val="143D5CE2"/>
    <w:rsid w:val="1447165C"/>
    <w:rsid w:val="14471A86"/>
    <w:rsid w:val="145376F2"/>
    <w:rsid w:val="145B59A5"/>
    <w:rsid w:val="14824041"/>
    <w:rsid w:val="149503B7"/>
    <w:rsid w:val="149A6190"/>
    <w:rsid w:val="149D6AD6"/>
    <w:rsid w:val="149F06A6"/>
    <w:rsid w:val="14AF76CB"/>
    <w:rsid w:val="14E32ED1"/>
    <w:rsid w:val="14E915D2"/>
    <w:rsid w:val="14F74BCE"/>
    <w:rsid w:val="15185829"/>
    <w:rsid w:val="152E4A94"/>
    <w:rsid w:val="153C44C8"/>
    <w:rsid w:val="1547367D"/>
    <w:rsid w:val="154F47FE"/>
    <w:rsid w:val="15556E75"/>
    <w:rsid w:val="15720D0F"/>
    <w:rsid w:val="157D3325"/>
    <w:rsid w:val="158D64C6"/>
    <w:rsid w:val="15915022"/>
    <w:rsid w:val="159468C1"/>
    <w:rsid w:val="15985B02"/>
    <w:rsid w:val="15A703DD"/>
    <w:rsid w:val="15B905DD"/>
    <w:rsid w:val="15E30001"/>
    <w:rsid w:val="15E862C7"/>
    <w:rsid w:val="160327CE"/>
    <w:rsid w:val="160457F4"/>
    <w:rsid w:val="16072422"/>
    <w:rsid w:val="160844ED"/>
    <w:rsid w:val="161A200D"/>
    <w:rsid w:val="162367BE"/>
    <w:rsid w:val="162A4659"/>
    <w:rsid w:val="163163E6"/>
    <w:rsid w:val="168652D2"/>
    <w:rsid w:val="16A071E2"/>
    <w:rsid w:val="16A14DF1"/>
    <w:rsid w:val="16C11CDD"/>
    <w:rsid w:val="16CB4E96"/>
    <w:rsid w:val="16D231BD"/>
    <w:rsid w:val="16D849B0"/>
    <w:rsid w:val="16E24447"/>
    <w:rsid w:val="16EA0ADA"/>
    <w:rsid w:val="16EB0762"/>
    <w:rsid w:val="175956CC"/>
    <w:rsid w:val="175D7148"/>
    <w:rsid w:val="17617B1B"/>
    <w:rsid w:val="176D1177"/>
    <w:rsid w:val="17733708"/>
    <w:rsid w:val="17735226"/>
    <w:rsid w:val="177928F2"/>
    <w:rsid w:val="17930970"/>
    <w:rsid w:val="17A76437"/>
    <w:rsid w:val="17A776A1"/>
    <w:rsid w:val="17AF79E2"/>
    <w:rsid w:val="17B03A0D"/>
    <w:rsid w:val="17BD4979"/>
    <w:rsid w:val="17BF5E77"/>
    <w:rsid w:val="17C57205"/>
    <w:rsid w:val="17D1569D"/>
    <w:rsid w:val="181212FB"/>
    <w:rsid w:val="18302C42"/>
    <w:rsid w:val="18320A84"/>
    <w:rsid w:val="183C74C7"/>
    <w:rsid w:val="184276BE"/>
    <w:rsid w:val="18553D10"/>
    <w:rsid w:val="187F73B4"/>
    <w:rsid w:val="1898470F"/>
    <w:rsid w:val="18AC2047"/>
    <w:rsid w:val="18B5797C"/>
    <w:rsid w:val="18BC442C"/>
    <w:rsid w:val="18DE232D"/>
    <w:rsid w:val="18E719D0"/>
    <w:rsid w:val="18ED63C3"/>
    <w:rsid w:val="18FB77B3"/>
    <w:rsid w:val="18FF22A3"/>
    <w:rsid w:val="19037FE5"/>
    <w:rsid w:val="19053D5D"/>
    <w:rsid w:val="19424C18"/>
    <w:rsid w:val="19453A0C"/>
    <w:rsid w:val="194A259F"/>
    <w:rsid w:val="194A79C2"/>
    <w:rsid w:val="194C3497"/>
    <w:rsid w:val="194D2CE1"/>
    <w:rsid w:val="1964322B"/>
    <w:rsid w:val="196F11D7"/>
    <w:rsid w:val="197264EE"/>
    <w:rsid w:val="19971F22"/>
    <w:rsid w:val="19A5109C"/>
    <w:rsid w:val="19B66E06"/>
    <w:rsid w:val="19B7492C"/>
    <w:rsid w:val="19BB6BB3"/>
    <w:rsid w:val="19E775B5"/>
    <w:rsid w:val="19F011BB"/>
    <w:rsid w:val="19F93196"/>
    <w:rsid w:val="1A0864B2"/>
    <w:rsid w:val="1A0923C9"/>
    <w:rsid w:val="1A18361C"/>
    <w:rsid w:val="1A1C66C0"/>
    <w:rsid w:val="1A304E0A"/>
    <w:rsid w:val="1A324E27"/>
    <w:rsid w:val="1A38012B"/>
    <w:rsid w:val="1A42393B"/>
    <w:rsid w:val="1A4D6772"/>
    <w:rsid w:val="1A500266"/>
    <w:rsid w:val="1A641AD5"/>
    <w:rsid w:val="1A7635DB"/>
    <w:rsid w:val="1A7D3DC7"/>
    <w:rsid w:val="1AA92705"/>
    <w:rsid w:val="1AAC566E"/>
    <w:rsid w:val="1AB54652"/>
    <w:rsid w:val="1ABF00CF"/>
    <w:rsid w:val="1ADD7FFC"/>
    <w:rsid w:val="1AFB02EF"/>
    <w:rsid w:val="1B046EC1"/>
    <w:rsid w:val="1B046F80"/>
    <w:rsid w:val="1B0F0EC3"/>
    <w:rsid w:val="1B105000"/>
    <w:rsid w:val="1B1A0A15"/>
    <w:rsid w:val="1B291859"/>
    <w:rsid w:val="1B320675"/>
    <w:rsid w:val="1B3267B5"/>
    <w:rsid w:val="1B3E5305"/>
    <w:rsid w:val="1B5763C6"/>
    <w:rsid w:val="1B590390"/>
    <w:rsid w:val="1B5B65A0"/>
    <w:rsid w:val="1B6F7443"/>
    <w:rsid w:val="1B787B8E"/>
    <w:rsid w:val="1B800F9B"/>
    <w:rsid w:val="1BA07D6D"/>
    <w:rsid w:val="1BA15893"/>
    <w:rsid w:val="1BBE4FD1"/>
    <w:rsid w:val="1BC25DC8"/>
    <w:rsid w:val="1BD712B5"/>
    <w:rsid w:val="1BDD5CC2"/>
    <w:rsid w:val="1BE27765"/>
    <w:rsid w:val="1BE40706"/>
    <w:rsid w:val="1BF70DEF"/>
    <w:rsid w:val="1C226145"/>
    <w:rsid w:val="1C2527A7"/>
    <w:rsid w:val="1C2961CB"/>
    <w:rsid w:val="1C39799C"/>
    <w:rsid w:val="1C5E7925"/>
    <w:rsid w:val="1C660D08"/>
    <w:rsid w:val="1C782A98"/>
    <w:rsid w:val="1C7A435D"/>
    <w:rsid w:val="1C887FC8"/>
    <w:rsid w:val="1C8D0AC7"/>
    <w:rsid w:val="1C8E7BC6"/>
    <w:rsid w:val="1C916898"/>
    <w:rsid w:val="1CA52AC7"/>
    <w:rsid w:val="1CAE0268"/>
    <w:rsid w:val="1CC76C91"/>
    <w:rsid w:val="1CC97B5F"/>
    <w:rsid w:val="1CCE26B8"/>
    <w:rsid w:val="1CD1109A"/>
    <w:rsid w:val="1CD557F5"/>
    <w:rsid w:val="1CE01F37"/>
    <w:rsid w:val="1CE123EB"/>
    <w:rsid w:val="1CF0262F"/>
    <w:rsid w:val="1CF02DD4"/>
    <w:rsid w:val="1D03782A"/>
    <w:rsid w:val="1D0C4B86"/>
    <w:rsid w:val="1D2D73DF"/>
    <w:rsid w:val="1D2E7BDB"/>
    <w:rsid w:val="1D376B2D"/>
    <w:rsid w:val="1D5F6196"/>
    <w:rsid w:val="1D6132A5"/>
    <w:rsid w:val="1D664F3F"/>
    <w:rsid w:val="1D897729"/>
    <w:rsid w:val="1D8C1FE2"/>
    <w:rsid w:val="1D8E56D5"/>
    <w:rsid w:val="1DAA52B4"/>
    <w:rsid w:val="1DB056D7"/>
    <w:rsid w:val="1DB22F9C"/>
    <w:rsid w:val="1DC7321F"/>
    <w:rsid w:val="1DED6D5F"/>
    <w:rsid w:val="1DF47EFC"/>
    <w:rsid w:val="1DFD3AB5"/>
    <w:rsid w:val="1E0F3C19"/>
    <w:rsid w:val="1E37428D"/>
    <w:rsid w:val="1E392382"/>
    <w:rsid w:val="1E3F5A47"/>
    <w:rsid w:val="1E605592"/>
    <w:rsid w:val="1E6435D7"/>
    <w:rsid w:val="1E6E71AD"/>
    <w:rsid w:val="1E7A43DA"/>
    <w:rsid w:val="1E817D33"/>
    <w:rsid w:val="1E8219AC"/>
    <w:rsid w:val="1E9C5F1F"/>
    <w:rsid w:val="1EA90CE7"/>
    <w:rsid w:val="1EB277FE"/>
    <w:rsid w:val="1EDF7816"/>
    <w:rsid w:val="1EEE7042"/>
    <w:rsid w:val="1EF81C6E"/>
    <w:rsid w:val="1EFC175F"/>
    <w:rsid w:val="1F0625DD"/>
    <w:rsid w:val="1F0D366E"/>
    <w:rsid w:val="1F122276"/>
    <w:rsid w:val="1F1C595D"/>
    <w:rsid w:val="1F2C72E7"/>
    <w:rsid w:val="1F301408"/>
    <w:rsid w:val="1F443106"/>
    <w:rsid w:val="1F4924CA"/>
    <w:rsid w:val="1F4F0DFF"/>
    <w:rsid w:val="1F681A89"/>
    <w:rsid w:val="1F707A57"/>
    <w:rsid w:val="1F817EB6"/>
    <w:rsid w:val="1FA94D17"/>
    <w:rsid w:val="1FB71E2E"/>
    <w:rsid w:val="1FDE7ED9"/>
    <w:rsid w:val="1FE7539E"/>
    <w:rsid w:val="1FF22B62"/>
    <w:rsid w:val="1FF856E9"/>
    <w:rsid w:val="20027E8A"/>
    <w:rsid w:val="202076CF"/>
    <w:rsid w:val="202F2B3B"/>
    <w:rsid w:val="203B5FCA"/>
    <w:rsid w:val="20694BCD"/>
    <w:rsid w:val="20701D33"/>
    <w:rsid w:val="2080518F"/>
    <w:rsid w:val="20963CB8"/>
    <w:rsid w:val="209F6845"/>
    <w:rsid w:val="20A00D07"/>
    <w:rsid w:val="20A0611A"/>
    <w:rsid w:val="20A51982"/>
    <w:rsid w:val="20AD0837"/>
    <w:rsid w:val="20AE7BD2"/>
    <w:rsid w:val="20B07FB6"/>
    <w:rsid w:val="20B92A3B"/>
    <w:rsid w:val="20C938C2"/>
    <w:rsid w:val="20D83B05"/>
    <w:rsid w:val="20E06E5E"/>
    <w:rsid w:val="20E51A10"/>
    <w:rsid w:val="20ED5979"/>
    <w:rsid w:val="20F962F8"/>
    <w:rsid w:val="211A2370"/>
    <w:rsid w:val="21286E86"/>
    <w:rsid w:val="213827F6"/>
    <w:rsid w:val="213845A4"/>
    <w:rsid w:val="213B74B1"/>
    <w:rsid w:val="214557F9"/>
    <w:rsid w:val="21480F7E"/>
    <w:rsid w:val="215A2310"/>
    <w:rsid w:val="217A696B"/>
    <w:rsid w:val="21852A84"/>
    <w:rsid w:val="21AD461A"/>
    <w:rsid w:val="21B627AD"/>
    <w:rsid w:val="21B72DE5"/>
    <w:rsid w:val="21BF4CC5"/>
    <w:rsid w:val="21C36564"/>
    <w:rsid w:val="21D50045"/>
    <w:rsid w:val="21DE318A"/>
    <w:rsid w:val="21E52DAF"/>
    <w:rsid w:val="21EF5B80"/>
    <w:rsid w:val="21F9443D"/>
    <w:rsid w:val="221E7997"/>
    <w:rsid w:val="2224381A"/>
    <w:rsid w:val="22376C83"/>
    <w:rsid w:val="223E2636"/>
    <w:rsid w:val="22576990"/>
    <w:rsid w:val="22675C42"/>
    <w:rsid w:val="2293089C"/>
    <w:rsid w:val="22965A26"/>
    <w:rsid w:val="229C4EAB"/>
    <w:rsid w:val="22A129AD"/>
    <w:rsid w:val="22B8599C"/>
    <w:rsid w:val="22BC4178"/>
    <w:rsid w:val="22BD2FB3"/>
    <w:rsid w:val="22D84291"/>
    <w:rsid w:val="22E84915"/>
    <w:rsid w:val="22EF0C95"/>
    <w:rsid w:val="22EF1F13"/>
    <w:rsid w:val="22F37B3A"/>
    <w:rsid w:val="2302130E"/>
    <w:rsid w:val="230A1F70"/>
    <w:rsid w:val="23113B92"/>
    <w:rsid w:val="231A2EF6"/>
    <w:rsid w:val="232815CA"/>
    <w:rsid w:val="232C0139"/>
    <w:rsid w:val="23307478"/>
    <w:rsid w:val="233D23C7"/>
    <w:rsid w:val="233E645E"/>
    <w:rsid w:val="236E24FF"/>
    <w:rsid w:val="23751ADF"/>
    <w:rsid w:val="237C6C7D"/>
    <w:rsid w:val="238F2EC2"/>
    <w:rsid w:val="23902475"/>
    <w:rsid w:val="239D1AFA"/>
    <w:rsid w:val="23B82A11"/>
    <w:rsid w:val="23CD25AF"/>
    <w:rsid w:val="241503BF"/>
    <w:rsid w:val="241B4550"/>
    <w:rsid w:val="2423153B"/>
    <w:rsid w:val="24312E81"/>
    <w:rsid w:val="24392B0D"/>
    <w:rsid w:val="243C6C01"/>
    <w:rsid w:val="245711E5"/>
    <w:rsid w:val="24616CD5"/>
    <w:rsid w:val="2477600D"/>
    <w:rsid w:val="247B017E"/>
    <w:rsid w:val="247D4EDE"/>
    <w:rsid w:val="24816262"/>
    <w:rsid w:val="24830512"/>
    <w:rsid w:val="24863746"/>
    <w:rsid w:val="24B75461"/>
    <w:rsid w:val="24B93C4E"/>
    <w:rsid w:val="24C0322E"/>
    <w:rsid w:val="24D64800"/>
    <w:rsid w:val="24E24F56"/>
    <w:rsid w:val="24E567F1"/>
    <w:rsid w:val="24F10479"/>
    <w:rsid w:val="25021151"/>
    <w:rsid w:val="2504136D"/>
    <w:rsid w:val="250D0B8E"/>
    <w:rsid w:val="252437BD"/>
    <w:rsid w:val="252D53FE"/>
    <w:rsid w:val="253F3604"/>
    <w:rsid w:val="25422F34"/>
    <w:rsid w:val="25745DBD"/>
    <w:rsid w:val="25801570"/>
    <w:rsid w:val="25A25BCF"/>
    <w:rsid w:val="25D6117C"/>
    <w:rsid w:val="25E87895"/>
    <w:rsid w:val="25EC2D81"/>
    <w:rsid w:val="25FB2A48"/>
    <w:rsid w:val="260333D3"/>
    <w:rsid w:val="260B2287"/>
    <w:rsid w:val="260F5AD0"/>
    <w:rsid w:val="261851BF"/>
    <w:rsid w:val="26421B0D"/>
    <w:rsid w:val="264528BD"/>
    <w:rsid w:val="265C5609"/>
    <w:rsid w:val="265E4AAD"/>
    <w:rsid w:val="26795443"/>
    <w:rsid w:val="26900ED2"/>
    <w:rsid w:val="26A17DE4"/>
    <w:rsid w:val="26B050DD"/>
    <w:rsid w:val="26B14C8A"/>
    <w:rsid w:val="26B40B71"/>
    <w:rsid w:val="26BB64BE"/>
    <w:rsid w:val="26D62895"/>
    <w:rsid w:val="26E543F9"/>
    <w:rsid w:val="26EC34F6"/>
    <w:rsid w:val="26F60845"/>
    <w:rsid w:val="26F96584"/>
    <w:rsid w:val="270C77A1"/>
    <w:rsid w:val="271C35F5"/>
    <w:rsid w:val="271C4A6F"/>
    <w:rsid w:val="272E76AE"/>
    <w:rsid w:val="273B4DEE"/>
    <w:rsid w:val="27574A3B"/>
    <w:rsid w:val="275B6575"/>
    <w:rsid w:val="27806854"/>
    <w:rsid w:val="27852499"/>
    <w:rsid w:val="27910EB2"/>
    <w:rsid w:val="27971DFF"/>
    <w:rsid w:val="279B588D"/>
    <w:rsid w:val="279B763B"/>
    <w:rsid w:val="279C2AA7"/>
    <w:rsid w:val="27A75FE0"/>
    <w:rsid w:val="27A943D1"/>
    <w:rsid w:val="27C84853"/>
    <w:rsid w:val="27CE7A10"/>
    <w:rsid w:val="27D15DD1"/>
    <w:rsid w:val="27E16044"/>
    <w:rsid w:val="27E234BC"/>
    <w:rsid w:val="27EB432A"/>
    <w:rsid w:val="27FC609A"/>
    <w:rsid w:val="28072F22"/>
    <w:rsid w:val="28081174"/>
    <w:rsid w:val="281210C5"/>
    <w:rsid w:val="28265FD1"/>
    <w:rsid w:val="283E4B96"/>
    <w:rsid w:val="28444275"/>
    <w:rsid w:val="287C31DF"/>
    <w:rsid w:val="28810709"/>
    <w:rsid w:val="28864931"/>
    <w:rsid w:val="289C7B0E"/>
    <w:rsid w:val="28A56D34"/>
    <w:rsid w:val="28A76295"/>
    <w:rsid w:val="28C811BA"/>
    <w:rsid w:val="28E71BA2"/>
    <w:rsid w:val="28ED2118"/>
    <w:rsid w:val="28F72F97"/>
    <w:rsid w:val="290A2CCA"/>
    <w:rsid w:val="29206EB8"/>
    <w:rsid w:val="29256778"/>
    <w:rsid w:val="292A005D"/>
    <w:rsid w:val="296C014A"/>
    <w:rsid w:val="299A404E"/>
    <w:rsid w:val="299B5A4D"/>
    <w:rsid w:val="299E3412"/>
    <w:rsid w:val="29C2115D"/>
    <w:rsid w:val="29C63095"/>
    <w:rsid w:val="29CE1F49"/>
    <w:rsid w:val="29E325E0"/>
    <w:rsid w:val="29EF4334"/>
    <w:rsid w:val="29FF6119"/>
    <w:rsid w:val="2A04180F"/>
    <w:rsid w:val="2A133C9D"/>
    <w:rsid w:val="2A175AF9"/>
    <w:rsid w:val="2A452503"/>
    <w:rsid w:val="2A461AE0"/>
    <w:rsid w:val="2A531253"/>
    <w:rsid w:val="2A622498"/>
    <w:rsid w:val="2A691C72"/>
    <w:rsid w:val="2A6E7CB5"/>
    <w:rsid w:val="2A7B7473"/>
    <w:rsid w:val="2A853B5F"/>
    <w:rsid w:val="2A8F3854"/>
    <w:rsid w:val="2AA02B44"/>
    <w:rsid w:val="2AAB7A0D"/>
    <w:rsid w:val="2ABC6246"/>
    <w:rsid w:val="2AC31382"/>
    <w:rsid w:val="2AC71089"/>
    <w:rsid w:val="2AE47C95"/>
    <w:rsid w:val="2AF87313"/>
    <w:rsid w:val="2B060B84"/>
    <w:rsid w:val="2B2A7C64"/>
    <w:rsid w:val="2B2B79AC"/>
    <w:rsid w:val="2B485D2C"/>
    <w:rsid w:val="2B577D1D"/>
    <w:rsid w:val="2B5C69E6"/>
    <w:rsid w:val="2B715FD2"/>
    <w:rsid w:val="2B756E1C"/>
    <w:rsid w:val="2B7663F5"/>
    <w:rsid w:val="2B83523F"/>
    <w:rsid w:val="2BA016C4"/>
    <w:rsid w:val="2BA613A2"/>
    <w:rsid w:val="2BA936A8"/>
    <w:rsid w:val="2BB275D3"/>
    <w:rsid w:val="2BBF1EC6"/>
    <w:rsid w:val="2BC62A35"/>
    <w:rsid w:val="2BE33EDA"/>
    <w:rsid w:val="2BF01F47"/>
    <w:rsid w:val="2C0E3F32"/>
    <w:rsid w:val="2C2440A3"/>
    <w:rsid w:val="2C2F4A49"/>
    <w:rsid w:val="2C3047F6"/>
    <w:rsid w:val="2C315A5A"/>
    <w:rsid w:val="2C33078A"/>
    <w:rsid w:val="2C381671"/>
    <w:rsid w:val="2C414C55"/>
    <w:rsid w:val="2C57482E"/>
    <w:rsid w:val="2C6350AF"/>
    <w:rsid w:val="2C6721E1"/>
    <w:rsid w:val="2C693F0C"/>
    <w:rsid w:val="2C6B7F24"/>
    <w:rsid w:val="2C8D69CA"/>
    <w:rsid w:val="2C904A74"/>
    <w:rsid w:val="2CB90C8F"/>
    <w:rsid w:val="2CCE2370"/>
    <w:rsid w:val="2CF41CC7"/>
    <w:rsid w:val="2CF81C39"/>
    <w:rsid w:val="2D0C1835"/>
    <w:rsid w:val="2D126075"/>
    <w:rsid w:val="2D1934F7"/>
    <w:rsid w:val="2D1F1C11"/>
    <w:rsid w:val="2D263E4A"/>
    <w:rsid w:val="2D3A1CC6"/>
    <w:rsid w:val="2D5B6E4D"/>
    <w:rsid w:val="2D686211"/>
    <w:rsid w:val="2D7028E4"/>
    <w:rsid w:val="2D781AEB"/>
    <w:rsid w:val="2D887D82"/>
    <w:rsid w:val="2D9E56F5"/>
    <w:rsid w:val="2DD77071"/>
    <w:rsid w:val="2DDF618C"/>
    <w:rsid w:val="2E040EB3"/>
    <w:rsid w:val="2E183793"/>
    <w:rsid w:val="2E28429F"/>
    <w:rsid w:val="2E2C6F6C"/>
    <w:rsid w:val="2E3B07AE"/>
    <w:rsid w:val="2E3D3F2D"/>
    <w:rsid w:val="2E667F96"/>
    <w:rsid w:val="2E691374"/>
    <w:rsid w:val="2E794B10"/>
    <w:rsid w:val="2E8226AB"/>
    <w:rsid w:val="2E8F582A"/>
    <w:rsid w:val="2ECB1C20"/>
    <w:rsid w:val="2EE60ECF"/>
    <w:rsid w:val="2EE97AEE"/>
    <w:rsid w:val="2F0D5F48"/>
    <w:rsid w:val="2F126434"/>
    <w:rsid w:val="2F300FB0"/>
    <w:rsid w:val="2F3174B8"/>
    <w:rsid w:val="2F430CE4"/>
    <w:rsid w:val="2F464330"/>
    <w:rsid w:val="2F5C63B6"/>
    <w:rsid w:val="2F67123F"/>
    <w:rsid w:val="2F6F0AAC"/>
    <w:rsid w:val="2F832C79"/>
    <w:rsid w:val="2F853561"/>
    <w:rsid w:val="2FA26C30"/>
    <w:rsid w:val="2FB43990"/>
    <w:rsid w:val="2FBD018D"/>
    <w:rsid w:val="2FC06CB9"/>
    <w:rsid w:val="2FC83486"/>
    <w:rsid w:val="2FDE1BC5"/>
    <w:rsid w:val="2FEF2D58"/>
    <w:rsid w:val="2FF56299"/>
    <w:rsid w:val="30055F99"/>
    <w:rsid w:val="300B1741"/>
    <w:rsid w:val="3027569D"/>
    <w:rsid w:val="303625F7"/>
    <w:rsid w:val="304227D6"/>
    <w:rsid w:val="304341BD"/>
    <w:rsid w:val="304A60A2"/>
    <w:rsid w:val="30580BC9"/>
    <w:rsid w:val="30651B24"/>
    <w:rsid w:val="3078113B"/>
    <w:rsid w:val="30823A8E"/>
    <w:rsid w:val="308857E0"/>
    <w:rsid w:val="308E0B0C"/>
    <w:rsid w:val="30B17F20"/>
    <w:rsid w:val="30C776F3"/>
    <w:rsid w:val="30D2231F"/>
    <w:rsid w:val="30D8545C"/>
    <w:rsid w:val="30DA452E"/>
    <w:rsid w:val="30DC5078"/>
    <w:rsid w:val="30E7768D"/>
    <w:rsid w:val="30F2524C"/>
    <w:rsid w:val="311649D3"/>
    <w:rsid w:val="311A2617"/>
    <w:rsid w:val="311E2ED7"/>
    <w:rsid w:val="3135465C"/>
    <w:rsid w:val="3136601F"/>
    <w:rsid w:val="31510D77"/>
    <w:rsid w:val="31552F50"/>
    <w:rsid w:val="315C449C"/>
    <w:rsid w:val="31606311"/>
    <w:rsid w:val="3162060A"/>
    <w:rsid w:val="31715B3F"/>
    <w:rsid w:val="31890B30"/>
    <w:rsid w:val="319E7C49"/>
    <w:rsid w:val="31A42D95"/>
    <w:rsid w:val="31B82709"/>
    <w:rsid w:val="31BE0AF5"/>
    <w:rsid w:val="31D30FE0"/>
    <w:rsid w:val="31DE0830"/>
    <w:rsid w:val="31EC794F"/>
    <w:rsid w:val="31F01606"/>
    <w:rsid w:val="31F227B6"/>
    <w:rsid w:val="320F74C2"/>
    <w:rsid w:val="3220530C"/>
    <w:rsid w:val="32333D6D"/>
    <w:rsid w:val="32400B34"/>
    <w:rsid w:val="3264046A"/>
    <w:rsid w:val="32754334"/>
    <w:rsid w:val="327C031F"/>
    <w:rsid w:val="327E516B"/>
    <w:rsid w:val="32892EB1"/>
    <w:rsid w:val="329768F8"/>
    <w:rsid w:val="3298755C"/>
    <w:rsid w:val="329E6876"/>
    <w:rsid w:val="32A36A1D"/>
    <w:rsid w:val="32B401ED"/>
    <w:rsid w:val="32BE15FF"/>
    <w:rsid w:val="32CF3DBB"/>
    <w:rsid w:val="32D07EBD"/>
    <w:rsid w:val="32D700C1"/>
    <w:rsid w:val="32F72511"/>
    <w:rsid w:val="330A4A2A"/>
    <w:rsid w:val="330B38C7"/>
    <w:rsid w:val="331E5EC4"/>
    <w:rsid w:val="33323316"/>
    <w:rsid w:val="333B43DF"/>
    <w:rsid w:val="333E1891"/>
    <w:rsid w:val="334119DE"/>
    <w:rsid w:val="33492641"/>
    <w:rsid w:val="334A4543"/>
    <w:rsid w:val="33572857"/>
    <w:rsid w:val="337663BA"/>
    <w:rsid w:val="33773E94"/>
    <w:rsid w:val="3379424A"/>
    <w:rsid w:val="337C47C4"/>
    <w:rsid w:val="339427FF"/>
    <w:rsid w:val="33AA7583"/>
    <w:rsid w:val="33B16E64"/>
    <w:rsid w:val="33BA52ED"/>
    <w:rsid w:val="33C617DE"/>
    <w:rsid w:val="33D416F9"/>
    <w:rsid w:val="33D934D4"/>
    <w:rsid w:val="33E80405"/>
    <w:rsid w:val="33ED7470"/>
    <w:rsid w:val="33FE2F6A"/>
    <w:rsid w:val="342866FA"/>
    <w:rsid w:val="342A3F10"/>
    <w:rsid w:val="342F7A89"/>
    <w:rsid w:val="34335D23"/>
    <w:rsid w:val="346B2888"/>
    <w:rsid w:val="347972B6"/>
    <w:rsid w:val="347A7B3C"/>
    <w:rsid w:val="34880F47"/>
    <w:rsid w:val="34910BB1"/>
    <w:rsid w:val="349769C1"/>
    <w:rsid w:val="34A044E2"/>
    <w:rsid w:val="34A31083"/>
    <w:rsid w:val="34C60D37"/>
    <w:rsid w:val="34CA0497"/>
    <w:rsid w:val="34E05705"/>
    <w:rsid w:val="34E15227"/>
    <w:rsid w:val="34EF11C0"/>
    <w:rsid w:val="34EF4090"/>
    <w:rsid w:val="350365E7"/>
    <w:rsid w:val="35134CB4"/>
    <w:rsid w:val="35281942"/>
    <w:rsid w:val="35380B68"/>
    <w:rsid w:val="355754E9"/>
    <w:rsid w:val="358856A2"/>
    <w:rsid w:val="359F3326"/>
    <w:rsid w:val="35A847B3"/>
    <w:rsid w:val="36074A7F"/>
    <w:rsid w:val="360F4492"/>
    <w:rsid w:val="3621718D"/>
    <w:rsid w:val="3627310D"/>
    <w:rsid w:val="362A49AB"/>
    <w:rsid w:val="362E6674"/>
    <w:rsid w:val="36371C43"/>
    <w:rsid w:val="363D3DC7"/>
    <w:rsid w:val="3643089C"/>
    <w:rsid w:val="365612FD"/>
    <w:rsid w:val="36663A55"/>
    <w:rsid w:val="36681A92"/>
    <w:rsid w:val="366954FD"/>
    <w:rsid w:val="36712734"/>
    <w:rsid w:val="367C4ADB"/>
    <w:rsid w:val="36923549"/>
    <w:rsid w:val="36941E25"/>
    <w:rsid w:val="369E774E"/>
    <w:rsid w:val="36A959F4"/>
    <w:rsid w:val="36AE738B"/>
    <w:rsid w:val="36B75FBF"/>
    <w:rsid w:val="36B90330"/>
    <w:rsid w:val="36BA16FC"/>
    <w:rsid w:val="36C92B0A"/>
    <w:rsid w:val="36D52B5C"/>
    <w:rsid w:val="36E737AD"/>
    <w:rsid w:val="36EF618D"/>
    <w:rsid w:val="36F47176"/>
    <w:rsid w:val="36FA437E"/>
    <w:rsid w:val="36FB4891"/>
    <w:rsid w:val="37052DD6"/>
    <w:rsid w:val="370C657C"/>
    <w:rsid w:val="37167D01"/>
    <w:rsid w:val="371E2613"/>
    <w:rsid w:val="372E04B9"/>
    <w:rsid w:val="373A1BDA"/>
    <w:rsid w:val="375021F0"/>
    <w:rsid w:val="376D21CA"/>
    <w:rsid w:val="37807D63"/>
    <w:rsid w:val="37964502"/>
    <w:rsid w:val="37985945"/>
    <w:rsid w:val="379B110E"/>
    <w:rsid w:val="37A14153"/>
    <w:rsid w:val="37AF3F15"/>
    <w:rsid w:val="37D3697D"/>
    <w:rsid w:val="37F830A1"/>
    <w:rsid w:val="37FE1C4C"/>
    <w:rsid w:val="38152638"/>
    <w:rsid w:val="38156F95"/>
    <w:rsid w:val="384A5821"/>
    <w:rsid w:val="38577EF9"/>
    <w:rsid w:val="38782879"/>
    <w:rsid w:val="38787078"/>
    <w:rsid w:val="387A420A"/>
    <w:rsid w:val="38963A01"/>
    <w:rsid w:val="38B14785"/>
    <w:rsid w:val="38EA6674"/>
    <w:rsid w:val="38ED3498"/>
    <w:rsid w:val="38ED3A6E"/>
    <w:rsid w:val="38F12CD3"/>
    <w:rsid w:val="38F94775"/>
    <w:rsid w:val="390A66DA"/>
    <w:rsid w:val="3912168B"/>
    <w:rsid w:val="39201F20"/>
    <w:rsid w:val="3924009C"/>
    <w:rsid w:val="39294C83"/>
    <w:rsid w:val="392971ED"/>
    <w:rsid w:val="39333B77"/>
    <w:rsid w:val="393365FE"/>
    <w:rsid w:val="39387F98"/>
    <w:rsid w:val="394255EC"/>
    <w:rsid w:val="39455658"/>
    <w:rsid w:val="395806F3"/>
    <w:rsid w:val="39784A24"/>
    <w:rsid w:val="39812B34"/>
    <w:rsid w:val="39972358"/>
    <w:rsid w:val="399C171C"/>
    <w:rsid w:val="39A26E8C"/>
    <w:rsid w:val="39AB7756"/>
    <w:rsid w:val="39BE5B37"/>
    <w:rsid w:val="39CB0208"/>
    <w:rsid w:val="39E65645"/>
    <w:rsid w:val="39E76710"/>
    <w:rsid w:val="39EE7249"/>
    <w:rsid w:val="3A010806"/>
    <w:rsid w:val="3A033549"/>
    <w:rsid w:val="3A0B4AF4"/>
    <w:rsid w:val="3A1F29E1"/>
    <w:rsid w:val="3A2D3D16"/>
    <w:rsid w:val="3A2F1196"/>
    <w:rsid w:val="3A322081"/>
    <w:rsid w:val="3A381958"/>
    <w:rsid w:val="3A414072"/>
    <w:rsid w:val="3A626864"/>
    <w:rsid w:val="3A63164A"/>
    <w:rsid w:val="3A7160BD"/>
    <w:rsid w:val="3AAB6BB6"/>
    <w:rsid w:val="3AAF1923"/>
    <w:rsid w:val="3AAF4BD2"/>
    <w:rsid w:val="3AB224E9"/>
    <w:rsid w:val="3AB363F2"/>
    <w:rsid w:val="3ACC19CA"/>
    <w:rsid w:val="3AD60D98"/>
    <w:rsid w:val="3AF30F63"/>
    <w:rsid w:val="3AF8264F"/>
    <w:rsid w:val="3AFB7F6E"/>
    <w:rsid w:val="3AFE72FD"/>
    <w:rsid w:val="3B143534"/>
    <w:rsid w:val="3B3763D1"/>
    <w:rsid w:val="3B49005D"/>
    <w:rsid w:val="3B661789"/>
    <w:rsid w:val="3B7A5A8D"/>
    <w:rsid w:val="3B8406BA"/>
    <w:rsid w:val="3B8A37F6"/>
    <w:rsid w:val="3B8A4556"/>
    <w:rsid w:val="3BC1546A"/>
    <w:rsid w:val="3BDA03C0"/>
    <w:rsid w:val="3BDB2016"/>
    <w:rsid w:val="3C0B2B89"/>
    <w:rsid w:val="3C0E2679"/>
    <w:rsid w:val="3C1269B0"/>
    <w:rsid w:val="3C144648"/>
    <w:rsid w:val="3C252C8C"/>
    <w:rsid w:val="3C2A2E8E"/>
    <w:rsid w:val="3C3C0F95"/>
    <w:rsid w:val="3C43790B"/>
    <w:rsid w:val="3C4D13F4"/>
    <w:rsid w:val="3C4E0CC8"/>
    <w:rsid w:val="3C6064CE"/>
    <w:rsid w:val="3C6D37E8"/>
    <w:rsid w:val="3C6F3118"/>
    <w:rsid w:val="3CA75704"/>
    <w:rsid w:val="3CAF56D4"/>
    <w:rsid w:val="3CB51561"/>
    <w:rsid w:val="3CBB50F2"/>
    <w:rsid w:val="3CC459F0"/>
    <w:rsid w:val="3CC86CCC"/>
    <w:rsid w:val="3CDA245A"/>
    <w:rsid w:val="3CE138EA"/>
    <w:rsid w:val="3CEE0A37"/>
    <w:rsid w:val="3CEF4259"/>
    <w:rsid w:val="3D000214"/>
    <w:rsid w:val="3D0531E3"/>
    <w:rsid w:val="3D2D0840"/>
    <w:rsid w:val="3D334A32"/>
    <w:rsid w:val="3D4223C4"/>
    <w:rsid w:val="3D4C2AD0"/>
    <w:rsid w:val="3D6C5DFC"/>
    <w:rsid w:val="3D7F30CB"/>
    <w:rsid w:val="3D8B20CC"/>
    <w:rsid w:val="3D932E36"/>
    <w:rsid w:val="3D986A79"/>
    <w:rsid w:val="3D9B7F3D"/>
    <w:rsid w:val="3DA26457"/>
    <w:rsid w:val="3DB92773"/>
    <w:rsid w:val="3DD11BB1"/>
    <w:rsid w:val="3DD40A79"/>
    <w:rsid w:val="3DDD2303"/>
    <w:rsid w:val="3E027FBC"/>
    <w:rsid w:val="3E063733"/>
    <w:rsid w:val="3E142BE7"/>
    <w:rsid w:val="3E284DC4"/>
    <w:rsid w:val="3E293AB6"/>
    <w:rsid w:val="3E3B2461"/>
    <w:rsid w:val="3E416D36"/>
    <w:rsid w:val="3E6C5004"/>
    <w:rsid w:val="3E8246A6"/>
    <w:rsid w:val="3E8B62D5"/>
    <w:rsid w:val="3E8F54E1"/>
    <w:rsid w:val="3EA13331"/>
    <w:rsid w:val="3EB275B0"/>
    <w:rsid w:val="3EC2308F"/>
    <w:rsid w:val="3EE33949"/>
    <w:rsid w:val="3EF1000F"/>
    <w:rsid w:val="3EF5367D"/>
    <w:rsid w:val="3EFE69D5"/>
    <w:rsid w:val="3F2D1834"/>
    <w:rsid w:val="3F3B2639"/>
    <w:rsid w:val="3F3E3276"/>
    <w:rsid w:val="3F432912"/>
    <w:rsid w:val="3F5605BF"/>
    <w:rsid w:val="3F5B3E28"/>
    <w:rsid w:val="3F660E74"/>
    <w:rsid w:val="3F6C7946"/>
    <w:rsid w:val="3F80563C"/>
    <w:rsid w:val="3F827DBA"/>
    <w:rsid w:val="3F8A2EE5"/>
    <w:rsid w:val="3FA71C20"/>
    <w:rsid w:val="3FB05F21"/>
    <w:rsid w:val="3FBD3924"/>
    <w:rsid w:val="3FCC443E"/>
    <w:rsid w:val="3FCD1A11"/>
    <w:rsid w:val="3FCF29AB"/>
    <w:rsid w:val="3FD0283B"/>
    <w:rsid w:val="3FD315C6"/>
    <w:rsid w:val="40275AB8"/>
    <w:rsid w:val="402E3283"/>
    <w:rsid w:val="403326AF"/>
    <w:rsid w:val="40382782"/>
    <w:rsid w:val="404E324B"/>
    <w:rsid w:val="406B1E48"/>
    <w:rsid w:val="407A6407"/>
    <w:rsid w:val="409D2154"/>
    <w:rsid w:val="409F1AF2"/>
    <w:rsid w:val="40D169B8"/>
    <w:rsid w:val="40E439A9"/>
    <w:rsid w:val="40F47F6B"/>
    <w:rsid w:val="41315365"/>
    <w:rsid w:val="41344930"/>
    <w:rsid w:val="415D7AAC"/>
    <w:rsid w:val="415E6FF4"/>
    <w:rsid w:val="41685D9E"/>
    <w:rsid w:val="41747DCB"/>
    <w:rsid w:val="4175711F"/>
    <w:rsid w:val="41767F8A"/>
    <w:rsid w:val="41AD1C97"/>
    <w:rsid w:val="41BE41FA"/>
    <w:rsid w:val="41CD5EE4"/>
    <w:rsid w:val="41D41C6F"/>
    <w:rsid w:val="41DB7243"/>
    <w:rsid w:val="41F60AD4"/>
    <w:rsid w:val="420B66DD"/>
    <w:rsid w:val="421309EA"/>
    <w:rsid w:val="42170F3B"/>
    <w:rsid w:val="421E5AC4"/>
    <w:rsid w:val="422A1C3E"/>
    <w:rsid w:val="422C1AAB"/>
    <w:rsid w:val="42336996"/>
    <w:rsid w:val="423A3BCC"/>
    <w:rsid w:val="425A3F23"/>
    <w:rsid w:val="42786A9F"/>
    <w:rsid w:val="42791104"/>
    <w:rsid w:val="427D2A04"/>
    <w:rsid w:val="42CB4E20"/>
    <w:rsid w:val="42EA174A"/>
    <w:rsid w:val="42F75C15"/>
    <w:rsid w:val="43065E58"/>
    <w:rsid w:val="430D6B32"/>
    <w:rsid w:val="431B1F06"/>
    <w:rsid w:val="432D5ADB"/>
    <w:rsid w:val="43322E42"/>
    <w:rsid w:val="433A6FE6"/>
    <w:rsid w:val="43413334"/>
    <w:rsid w:val="434C65EF"/>
    <w:rsid w:val="4350713C"/>
    <w:rsid w:val="43553283"/>
    <w:rsid w:val="436653E0"/>
    <w:rsid w:val="4380167E"/>
    <w:rsid w:val="43861D6F"/>
    <w:rsid w:val="438F1A17"/>
    <w:rsid w:val="439048CD"/>
    <w:rsid w:val="43942ED3"/>
    <w:rsid w:val="43951E46"/>
    <w:rsid w:val="439E4578"/>
    <w:rsid w:val="43B21B3C"/>
    <w:rsid w:val="43D82A2C"/>
    <w:rsid w:val="43FA3C0F"/>
    <w:rsid w:val="43FB7987"/>
    <w:rsid w:val="44095C00"/>
    <w:rsid w:val="44112D07"/>
    <w:rsid w:val="44121C51"/>
    <w:rsid w:val="4413082D"/>
    <w:rsid w:val="442B201A"/>
    <w:rsid w:val="44352E99"/>
    <w:rsid w:val="4438419E"/>
    <w:rsid w:val="44465815"/>
    <w:rsid w:val="448E723D"/>
    <w:rsid w:val="44A14C7E"/>
    <w:rsid w:val="44AB4F1D"/>
    <w:rsid w:val="44AD5C7B"/>
    <w:rsid w:val="44AF71F4"/>
    <w:rsid w:val="44B30262"/>
    <w:rsid w:val="44CD14E0"/>
    <w:rsid w:val="44ED3E5A"/>
    <w:rsid w:val="44F75334"/>
    <w:rsid w:val="44FC058E"/>
    <w:rsid w:val="45096F2F"/>
    <w:rsid w:val="453E7B2C"/>
    <w:rsid w:val="45476FB4"/>
    <w:rsid w:val="454F4994"/>
    <w:rsid w:val="455664FC"/>
    <w:rsid w:val="458539AC"/>
    <w:rsid w:val="45877724"/>
    <w:rsid w:val="458946E9"/>
    <w:rsid w:val="45905269"/>
    <w:rsid w:val="459D3506"/>
    <w:rsid w:val="459E681C"/>
    <w:rsid w:val="45B46264"/>
    <w:rsid w:val="45C0619F"/>
    <w:rsid w:val="45C35D88"/>
    <w:rsid w:val="45D24718"/>
    <w:rsid w:val="45E6217B"/>
    <w:rsid w:val="460A09B0"/>
    <w:rsid w:val="46113ADA"/>
    <w:rsid w:val="461940F5"/>
    <w:rsid w:val="461E1911"/>
    <w:rsid w:val="4621127E"/>
    <w:rsid w:val="463D5216"/>
    <w:rsid w:val="465F7CB7"/>
    <w:rsid w:val="46703B28"/>
    <w:rsid w:val="46747D5D"/>
    <w:rsid w:val="467C5FFC"/>
    <w:rsid w:val="468817F9"/>
    <w:rsid w:val="468A6DA0"/>
    <w:rsid w:val="468C383E"/>
    <w:rsid w:val="468C48C7"/>
    <w:rsid w:val="469320F9"/>
    <w:rsid w:val="46AB11F1"/>
    <w:rsid w:val="46B06807"/>
    <w:rsid w:val="46BF2EEE"/>
    <w:rsid w:val="46D955A7"/>
    <w:rsid w:val="46DE0B39"/>
    <w:rsid w:val="46F05C6B"/>
    <w:rsid w:val="47133957"/>
    <w:rsid w:val="471C433E"/>
    <w:rsid w:val="472E3BD0"/>
    <w:rsid w:val="473016F6"/>
    <w:rsid w:val="473C453F"/>
    <w:rsid w:val="4779329E"/>
    <w:rsid w:val="479E6AA3"/>
    <w:rsid w:val="47A07E0C"/>
    <w:rsid w:val="47BE2DF7"/>
    <w:rsid w:val="47C44A1F"/>
    <w:rsid w:val="47C74C7C"/>
    <w:rsid w:val="47E524E0"/>
    <w:rsid w:val="47E651AF"/>
    <w:rsid w:val="48181D3F"/>
    <w:rsid w:val="481A1153"/>
    <w:rsid w:val="484477DE"/>
    <w:rsid w:val="486F3408"/>
    <w:rsid w:val="4870272E"/>
    <w:rsid w:val="4897752F"/>
    <w:rsid w:val="48A67764"/>
    <w:rsid w:val="48B23EC9"/>
    <w:rsid w:val="48D569F9"/>
    <w:rsid w:val="48D60CDB"/>
    <w:rsid w:val="48E1431E"/>
    <w:rsid w:val="49007F45"/>
    <w:rsid w:val="490B3DC5"/>
    <w:rsid w:val="490E5A67"/>
    <w:rsid w:val="49300160"/>
    <w:rsid w:val="493279A7"/>
    <w:rsid w:val="49507E2D"/>
    <w:rsid w:val="4957300F"/>
    <w:rsid w:val="495E0E1A"/>
    <w:rsid w:val="49630FAC"/>
    <w:rsid w:val="496469BC"/>
    <w:rsid w:val="496A215F"/>
    <w:rsid w:val="496B2EB9"/>
    <w:rsid w:val="496E7D4E"/>
    <w:rsid w:val="4986008D"/>
    <w:rsid w:val="49A10689"/>
    <w:rsid w:val="49A9250D"/>
    <w:rsid w:val="49AB1508"/>
    <w:rsid w:val="49C03205"/>
    <w:rsid w:val="49D40A5E"/>
    <w:rsid w:val="49D767A1"/>
    <w:rsid w:val="49DC7715"/>
    <w:rsid w:val="49DE7B2F"/>
    <w:rsid w:val="4A023139"/>
    <w:rsid w:val="4A0D21C2"/>
    <w:rsid w:val="4A1277D9"/>
    <w:rsid w:val="4A227A1C"/>
    <w:rsid w:val="4A273284"/>
    <w:rsid w:val="4A2E4398"/>
    <w:rsid w:val="4A3B1973"/>
    <w:rsid w:val="4A4756D4"/>
    <w:rsid w:val="4A5C3AC6"/>
    <w:rsid w:val="4A722025"/>
    <w:rsid w:val="4A7B576F"/>
    <w:rsid w:val="4A7E589D"/>
    <w:rsid w:val="4A8E3F79"/>
    <w:rsid w:val="4A902D26"/>
    <w:rsid w:val="4A9B5A20"/>
    <w:rsid w:val="4AA06815"/>
    <w:rsid w:val="4AAA63A9"/>
    <w:rsid w:val="4AB1231E"/>
    <w:rsid w:val="4ABD14F2"/>
    <w:rsid w:val="4AC10CCE"/>
    <w:rsid w:val="4ACE01A4"/>
    <w:rsid w:val="4AD545BE"/>
    <w:rsid w:val="4AE41175"/>
    <w:rsid w:val="4B221AE4"/>
    <w:rsid w:val="4B315A3D"/>
    <w:rsid w:val="4B380701"/>
    <w:rsid w:val="4B3C51D2"/>
    <w:rsid w:val="4B41673E"/>
    <w:rsid w:val="4B58697B"/>
    <w:rsid w:val="4B625B86"/>
    <w:rsid w:val="4B6B7E57"/>
    <w:rsid w:val="4B72794D"/>
    <w:rsid w:val="4B895879"/>
    <w:rsid w:val="4B8F0048"/>
    <w:rsid w:val="4B8F59EE"/>
    <w:rsid w:val="4B8F758A"/>
    <w:rsid w:val="4B9A7A86"/>
    <w:rsid w:val="4BB42432"/>
    <w:rsid w:val="4BB943B0"/>
    <w:rsid w:val="4BC73496"/>
    <w:rsid w:val="4BC80BED"/>
    <w:rsid w:val="4BDE3E16"/>
    <w:rsid w:val="4BE551D7"/>
    <w:rsid w:val="4C15710C"/>
    <w:rsid w:val="4C2F2D17"/>
    <w:rsid w:val="4C360F71"/>
    <w:rsid w:val="4C4874E2"/>
    <w:rsid w:val="4C4A0649"/>
    <w:rsid w:val="4C6D6CAD"/>
    <w:rsid w:val="4C7A0423"/>
    <w:rsid w:val="4C89771F"/>
    <w:rsid w:val="4C8A5D4C"/>
    <w:rsid w:val="4C8C7E7A"/>
    <w:rsid w:val="4CAA019C"/>
    <w:rsid w:val="4CB56A13"/>
    <w:rsid w:val="4CBC3EA5"/>
    <w:rsid w:val="4CC80D07"/>
    <w:rsid w:val="4CE470D3"/>
    <w:rsid w:val="4CFD3C38"/>
    <w:rsid w:val="4D1459D0"/>
    <w:rsid w:val="4D465ADC"/>
    <w:rsid w:val="4D5D6FBD"/>
    <w:rsid w:val="4D845037"/>
    <w:rsid w:val="4D866514"/>
    <w:rsid w:val="4D9736C9"/>
    <w:rsid w:val="4D97673C"/>
    <w:rsid w:val="4D9C0147"/>
    <w:rsid w:val="4DAA6616"/>
    <w:rsid w:val="4DAB3F2C"/>
    <w:rsid w:val="4DB1116E"/>
    <w:rsid w:val="4DBF37C5"/>
    <w:rsid w:val="4DEC4FB0"/>
    <w:rsid w:val="4DFF5713"/>
    <w:rsid w:val="4E014E21"/>
    <w:rsid w:val="4E061402"/>
    <w:rsid w:val="4E075D8A"/>
    <w:rsid w:val="4E1D1C34"/>
    <w:rsid w:val="4E323FA5"/>
    <w:rsid w:val="4E4C36D5"/>
    <w:rsid w:val="4E583D78"/>
    <w:rsid w:val="4E600B13"/>
    <w:rsid w:val="4E636855"/>
    <w:rsid w:val="4E7445BE"/>
    <w:rsid w:val="4E816CDB"/>
    <w:rsid w:val="4E8A23FB"/>
    <w:rsid w:val="4E8D08E9"/>
    <w:rsid w:val="4EB0217D"/>
    <w:rsid w:val="4EB96475"/>
    <w:rsid w:val="4ECD6BBF"/>
    <w:rsid w:val="4ED27537"/>
    <w:rsid w:val="4EDB3E19"/>
    <w:rsid w:val="4EDC4157"/>
    <w:rsid w:val="4F19332F"/>
    <w:rsid w:val="4F1B2C8C"/>
    <w:rsid w:val="4F2D389C"/>
    <w:rsid w:val="4F544C68"/>
    <w:rsid w:val="4F6262BD"/>
    <w:rsid w:val="4F756840"/>
    <w:rsid w:val="4F764366"/>
    <w:rsid w:val="4F8B1BBF"/>
    <w:rsid w:val="4F9E2270"/>
    <w:rsid w:val="4FA032F9"/>
    <w:rsid w:val="4FAE58AE"/>
    <w:rsid w:val="4FB1387B"/>
    <w:rsid w:val="4FB91229"/>
    <w:rsid w:val="4FC40283"/>
    <w:rsid w:val="4FC62A8C"/>
    <w:rsid w:val="4FCE41A2"/>
    <w:rsid w:val="4FCF63B5"/>
    <w:rsid w:val="4FD6644C"/>
    <w:rsid w:val="4FD97130"/>
    <w:rsid w:val="4FDA48F5"/>
    <w:rsid w:val="4FE20F0D"/>
    <w:rsid w:val="4FEF7974"/>
    <w:rsid w:val="4FF0349D"/>
    <w:rsid w:val="4FF07700"/>
    <w:rsid w:val="4FF754A7"/>
    <w:rsid w:val="500A28C8"/>
    <w:rsid w:val="500C2145"/>
    <w:rsid w:val="502069C3"/>
    <w:rsid w:val="50211291"/>
    <w:rsid w:val="502F3ADA"/>
    <w:rsid w:val="504F0E3F"/>
    <w:rsid w:val="50504C4B"/>
    <w:rsid w:val="50566671"/>
    <w:rsid w:val="506D5769"/>
    <w:rsid w:val="506E0AD8"/>
    <w:rsid w:val="507F19AA"/>
    <w:rsid w:val="509C6E7C"/>
    <w:rsid w:val="50AC44E3"/>
    <w:rsid w:val="50B5109A"/>
    <w:rsid w:val="50B83BB7"/>
    <w:rsid w:val="50DC2AD2"/>
    <w:rsid w:val="50EE4AFC"/>
    <w:rsid w:val="50F90530"/>
    <w:rsid w:val="51121CFE"/>
    <w:rsid w:val="511552D2"/>
    <w:rsid w:val="511E4CB5"/>
    <w:rsid w:val="512819B7"/>
    <w:rsid w:val="512B26BA"/>
    <w:rsid w:val="51301524"/>
    <w:rsid w:val="514C7D0B"/>
    <w:rsid w:val="515D21C4"/>
    <w:rsid w:val="5160707C"/>
    <w:rsid w:val="5162104E"/>
    <w:rsid w:val="51694182"/>
    <w:rsid w:val="517174DB"/>
    <w:rsid w:val="51802C92"/>
    <w:rsid w:val="518A7817"/>
    <w:rsid w:val="518C60C3"/>
    <w:rsid w:val="51B3364F"/>
    <w:rsid w:val="51C2156D"/>
    <w:rsid w:val="51F15F26"/>
    <w:rsid w:val="51F662E0"/>
    <w:rsid w:val="51FB1F8F"/>
    <w:rsid w:val="520B0E53"/>
    <w:rsid w:val="520C2D5F"/>
    <w:rsid w:val="5218290B"/>
    <w:rsid w:val="52452A6E"/>
    <w:rsid w:val="525F7333"/>
    <w:rsid w:val="52682869"/>
    <w:rsid w:val="52707792"/>
    <w:rsid w:val="528C45CC"/>
    <w:rsid w:val="52967C3B"/>
    <w:rsid w:val="52987AF1"/>
    <w:rsid w:val="5299274C"/>
    <w:rsid w:val="52A334F1"/>
    <w:rsid w:val="52F60580"/>
    <w:rsid w:val="530F1AC8"/>
    <w:rsid w:val="53163C4B"/>
    <w:rsid w:val="53181366"/>
    <w:rsid w:val="532365B3"/>
    <w:rsid w:val="532A5B93"/>
    <w:rsid w:val="53530C46"/>
    <w:rsid w:val="535360ED"/>
    <w:rsid w:val="5370275D"/>
    <w:rsid w:val="53844015"/>
    <w:rsid w:val="53867F52"/>
    <w:rsid w:val="53875DA7"/>
    <w:rsid w:val="5391176E"/>
    <w:rsid w:val="53974025"/>
    <w:rsid w:val="53A039CC"/>
    <w:rsid w:val="53A1505A"/>
    <w:rsid w:val="53A635C4"/>
    <w:rsid w:val="53BD07B5"/>
    <w:rsid w:val="53DA3115"/>
    <w:rsid w:val="53F73CC7"/>
    <w:rsid w:val="54063E08"/>
    <w:rsid w:val="540E7126"/>
    <w:rsid w:val="5417595F"/>
    <w:rsid w:val="54271C7C"/>
    <w:rsid w:val="542E0C2A"/>
    <w:rsid w:val="543437E8"/>
    <w:rsid w:val="54513548"/>
    <w:rsid w:val="546562FC"/>
    <w:rsid w:val="546E1AAF"/>
    <w:rsid w:val="54882B71"/>
    <w:rsid w:val="54CD2C7A"/>
    <w:rsid w:val="54D90E38"/>
    <w:rsid w:val="54F41FB5"/>
    <w:rsid w:val="54FB1595"/>
    <w:rsid w:val="54FE7090"/>
    <w:rsid w:val="5505116B"/>
    <w:rsid w:val="5537417E"/>
    <w:rsid w:val="553F19EE"/>
    <w:rsid w:val="5574724E"/>
    <w:rsid w:val="557F5AC1"/>
    <w:rsid w:val="5587107B"/>
    <w:rsid w:val="55923722"/>
    <w:rsid w:val="559A7F0B"/>
    <w:rsid w:val="559B174B"/>
    <w:rsid w:val="559B68D4"/>
    <w:rsid w:val="55A0213D"/>
    <w:rsid w:val="55BC035A"/>
    <w:rsid w:val="55CE0CF4"/>
    <w:rsid w:val="55D67CE1"/>
    <w:rsid w:val="55DE5F5C"/>
    <w:rsid w:val="55E17404"/>
    <w:rsid w:val="55E40E17"/>
    <w:rsid w:val="55F04E72"/>
    <w:rsid w:val="56207A3A"/>
    <w:rsid w:val="56303D58"/>
    <w:rsid w:val="56334D5F"/>
    <w:rsid w:val="5641747C"/>
    <w:rsid w:val="56491F25"/>
    <w:rsid w:val="56593530"/>
    <w:rsid w:val="565C42B5"/>
    <w:rsid w:val="5664316A"/>
    <w:rsid w:val="56673D50"/>
    <w:rsid w:val="566D69A1"/>
    <w:rsid w:val="56721153"/>
    <w:rsid w:val="568C7C64"/>
    <w:rsid w:val="569972B8"/>
    <w:rsid w:val="569C57F9"/>
    <w:rsid w:val="56B22A9C"/>
    <w:rsid w:val="56B7483C"/>
    <w:rsid w:val="56B85264"/>
    <w:rsid w:val="56F269C8"/>
    <w:rsid w:val="573945F7"/>
    <w:rsid w:val="573A1291"/>
    <w:rsid w:val="573E1C0D"/>
    <w:rsid w:val="574216FD"/>
    <w:rsid w:val="576B5776"/>
    <w:rsid w:val="57843135"/>
    <w:rsid w:val="57B72A76"/>
    <w:rsid w:val="57C87729"/>
    <w:rsid w:val="57CB244A"/>
    <w:rsid w:val="57F10A2D"/>
    <w:rsid w:val="57F73FEF"/>
    <w:rsid w:val="57FC0A59"/>
    <w:rsid w:val="57FD73D2"/>
    <w:rsid w:val="580764A3"/>
    <w:rsid w:val="581862AA"/>
    <w:rsid w:val="58201DCC"/>
    <w:rsid w:val="583C29E5"/>
    <w:rsid w:val="585F1E3B"/>
    <w:rsid w:val="58605A1D"/>
    <w:rsid w:val="588F7DD5"/>
    <w:rsid w:val="58917F16"/>
    <w:rsid w:val="58AB1524"/>
    <w:rsid w:val="58B23BFE"/>
    <w:rsid w:val="58B331A5"/>
    <w:rsid w:val="58B90257"/>
    <w:rsid w:val="58BA52C3"/>
    <w:rsid w:val="58C7085D"/>
    <w:rsid w:val="58CB5722"/>
    <w:rsid w:val="58CC429A"/>
    <w:rsid w:val="58CC4CDD"/>
    <w:rsid w:val="58E56AAA"/>
    <w:rsid w:val="5903310E"/>
    <w:rsid w:val="590D1C40"/>
    <w:rsid w:val="591E1BC3"/>
    <w:rsid w:val="595079D6"/>
    <w:rsid w:val="595B4ED1"/>
    <w:rsid w:val="59641B83"/>
    <w:rsid w:val="59953AC6"/>
    <w:rsid w:val="599C2C1B"/>
    <w:rsid w:val="599E6993"/>
    <w:rsid w:val="59AA17DC"/>
    <w:rsid w:val="59AD00B6"/>
    <w:rsid w:val="59CE4937"/>
    <w:rsid w:val="59D916BB"/>
    <w:rsid w:val="59E639F9"/>
    <w:rsid w:val="59E940B2"/>
    <w:rsid w:val="59F8422E"/>
    <w:rsid w:val="59FA62BF"/>
    <w:rsid w:val="5A053705"/>
    <w:rsid w:val="5A0F2BFE"/>
    <w:rsid w:val="5A0F31E9"/>
    <w:rsid w:val="5A231810"/>
    <w:rsid w:val="5A274BDA"/>
    <w:rsid w:val="5A356D08"/>
    <w:rsid w:val="5A385F74"/>
    <w:rsid w:val="5A3C747D"/>
    <w:rsid w:val="5A436940"/>
    <w:rsid w:val="5A51113D"/>
    <w:rsid w:val="5A582FE6"/>
    <w:rsid w:val="5A5F1A31"/>
    <w:rsid w:val="5A6446A2"/>
    <w:rsid w:val="5A9E32D5"/>
    <w:rsid w:val="5ABE2233"/>
    <w:rsid w:val="5AC5180D"/>
    <w:rsid w:val="5AD52888"/>
    <w:rsid w:val="5ADA1C4D"/>
    <w:rsid w:val="5ADA29B7"/>
    <w:rsid w:val="5AEE5CAB"/>
    <w:rsid w:val="5AF46F97"/>
    <w:rsid w:val="5B123195"/>
    <w:rsid w:val="5B1E7F5D"/>
    <w:rsid w:val="5B276D18"/>
    <w:rsid w:val="5B4F6FAF"/>
    <w:rsid w:val="5B5E15D6"/>
    <w:rsid w:val="5B6276A1"/>
    <w:rsid w:val="5B635A41"/>
    <w:rsid w:val="5B672793"/>
    <w:rsid w:val="5B70435F"/>
    <w:rsid w:val="5B707CF5"/>
    <w:rsid w:val="5B79471A"/>
    <w:rsid w:val="5B9242D5"/>
    <w:rsid w:val="5BA12C7F"/>
    <w:rsid w:val="5BBC75A4"/>
    <w:rsid w:val="5BC53EA0"/>
    <w:rsid w:val="5BD32C9F"/>
    <w:rsid w:val="5BD85961"/>
    <w:rsid w:val="5BDF5D95"/>
    <w:rsid w:val="5BE809D0"/>
    <w:rsid w:val="5BF136F2"/>
    <w:rsid w:val="5C0C35A3"/>
    <w:rsid w:val="5C1318BA"/>
    <w:rsid w:val="5C156D5F"/>
    <w:rsid w:val="5C2738C3"/>
    <w:rsid w:val="5C2D4992"/>
    <w:rsid w:val="5C2E0911"/>
    <w:rsid w:val="5C427AAA"/>
    <w:rsid w:val="5C482FD5"/>
    <w:rsid w:val="5C7C3148"/>
    <w:rsid w:val="5C986A80"/>
    <w:rsid w:val="5CA735F5"/>
    <w:rsid w:val="5CB14C2F"/>
    <w:rsid w:val="5CB47EEE"/>
    <w:rsid w:val="5CB818EF"/>
    <w:rsid w:val="5CC46711"/>
    <w:rsid w:val="5CC55041"/>
    <w:rsid w:val="5CDA167E"/>
    <w:rsid w:val="5CF617D0"/>
    <w:rsid w:val="5CF70654"/>
    <w:rsid w:val="5D1755A4"/>
    <w:rsid w:val="5D213664"/>
    <w:rsid w:val="5D243538"/>
    <w:rsid w:val="5D2B54B8"/>
    <w:rsid w:val="5D394372"/>
    <w:rsid w:val="5D3970FE"/>
    <w:rsid w:val="5D3C099D"/>
    <w:rsid w:val="5D5B4F71"/>
    <w:rsid w:val="5D665A1A"/>
    <w:rsid w:val="5D676456"/>
    <w:rsid w:val="5D701396"/>
    <w:rsid w:val="5D7F6ADB"/>
    <w:rsid w:val="5D871691"/>
    <w:rsid w:val="5DCE6F82"/>
    <w:rsid w:val="5DE76F41"/>
    <w:rsid w:val="5DF87A0F"/>
    <w:rsid w:val="5DFB45C9"/>
    <w:rsid w:val="5E0B46BF"/>
    <w:rsid w:val="5E0E2A29"/>
    <w:rsid w:val="5E0E2F01"/>
    <w:rsid w:val="5E111E29"/>
    <w:rsid w:val="5E413D91"/>
    <w:rsid w:val="5E7313EA"/>
    <w:rsid w:val="5E736016"/>
    <w:rsid w:val="5E7E704B"/>
    <w:rsid w:val="5E7F4FE5"/>
    <w:rsid w:val="5E9842F9"/>
    <w:rsid w:val="5EA7453C"/>
    <w:rsid w:val="5EBA54F6"/>
    <w:rsid w:val="5EC2427E"/>
    <w:rsid w:val="5EC61DC6"/>
    <w:rsid w:val="5ECF39D0"/>
    <w:rsid w:val="5EDC5407"/>
    <w:rsid w:val="5EF1039C"/>
    <w:rsid w:val="5F032FEF"/>
    <w:rsid w:val="5F09726D"/>
    <w:rsid w:val="5F103E8F"/>
    <w:rsid w:val="5F155949"/>
    <w:rsid w:val="5F1A2B43"/>
    <w:rsid w:val="5F1C7479"/>
    <w:rsid w:val="5F20072A"/>
    <w:rsid w:val="5F305ADC"/>
    <w:rsid w:val="5F406D1C"/>
    <w:rsid w:val="5F550EB1"/>
    <w:rsid w:val="5F553F98"/>
    <w:rsid w:val="5F617BDB"/>
    <w:rsid w:val="5F663AB7"/>
    <w:rsid w:val="5F691C25"/>
    <w:rsid w:val="5F6B5569"/>
    <w:rsid w:val="5FA138F4"/>
    <w:rsid w:val="5FA72BE9"/>
    <w:rsid w:val="5FAB1E0A"/>
    <w:rsid w:val="5FAF55E4"/>
    <w:rsid w:val="5FB26EDD"/>
    <w:rsid w:val="5FB837BB"/>
    <w:rsid w:val="5FCE450D"/>
    <w:rsid w:val="5FD52192"/>
    <w:rsid w:val="5FDC7055"/>
    <w:rsid w:val="600F05EB"/>
    <w:rsid w:val="60732927"/>
    <w:rsid w:val="609C5F84"/>
    <w:rsid w:val="60AE2C7C"/>
    <w:rsid w:val="60C40A25"/>
    <w:rsid w:val="60CA62C0"/>
    <w:rsid w:val="60F13276"/>
    <w:rsid w:val="60F325F1"/>
    <w:rsid w:val="60FA66C2"/>
    <w:rsid w:val="60FF240D"/>
    <w:rsid w:val="61215109"/>
    <w:rsid w:val="61357BDD"/>
    <w:rsid w:val="6136629E"/>
    <w:rsid w:val="61447E20"/>
    <w:rsid w:val="6151078F"/>
    <w:rsid w:val="615C785F"/>
    <w:rsid w:val="6166248C"/>
    <w:rsid w:val="61687D67"/>
    <w:rsid w:val="61841D1C"/>
    <w:rsid w:val="61846FBA"/>
    <w:rsid w:val="61925F57"/>
    <w:rsid w:val="61CD3FC7"/>
    <w:rsid w:val="61D218D0"/>
    <w:rsid w:val="61DF3FED"/>
    <w:rsid w:val="61E067F6"/>
    <w:rsid w:val="61FE2AD8"/>
    <w:rsid w:val="620B185B"/>
    <w:rsid w:val="620B3294"/>
    <w:rsid w:val="620B5B81"/>
    <w:rsid w:val="620D0B5A"/>
    <w:rsid w:val="62223F30"/>
    <w:rsid w:val="62235BCE"/>
    <w:rsid w:val="62247BE6"/>
    <w:rsid w:val="622D2FAA"/>
    <w:rsid w:val="62364782"/>
    <w:rsid w:val="62377985"/>
    <w:rsid w:val="6244453A"/>
    <w:rsid w:val="625A6834"/>
    <w:rsid w:val="626C5880"/>
    <w:rsid w:val="62770365"/>
    <w:rsid w:val="62AC2121"/>
    <w:rsid w:val="62BB05B6"/>
    <w:rsid w:val="62F154D7"/>
    <w:rsid w:val="6308647F"/>
    <w:rsid w:val="63123C13"/>
    <w:rsid w:val="6324615B"/>
    <w:rsid w:val="632515A7"/>
    <w:rsid w:val="633B53B9"/>
    <w:rsid w:val="63434337"/>
    <w:rsid w:val="63501214"/>
    <w:rsid w:val="63506733"/>
    <w:rsid w:val="63603185"/>
    <w:rsid w:val="63623D04"/>
    <w:rsid w:val="63715118"/>
    <w:rsid w:val="637175E8"/>
    <w:rsid w:val="637A00F6"/>
    <w:rsid w:val="637F37B5"/>
    <w:rsid w:val="638E7A78"/>
    <w:rsid w:val="63AC27E2"/>
    <w:rsid w:val="63C241CF"/>
    <w:rsid w:val="63C2606E"/>
    <w:rsid w:val="63D336DD"/>
    <w:rsid w:val="63D40BE9"/>
    <w:rsid w:val="63E0211F"/>
    <w:rsid w:val="63EE6769"/>
    <w:rsid w:val="63F00312"/>
    <w:rsid w:val="640863BD"/>
    <w:rsid w:val="641771A8"/>
    <w:rsid w:val="64304329"/>
    <w:rsid w:val="64371EBE"/>
    <w:rsid w:val="64487C27"/>
    <w:rsid w:val="647A1DAB"/>
    <w:rsid w:val="648A46E4"/>
    <w:rsid w:val="648F3AA8"/>
    <w:rsid w:val="64925346"/>
    <w:rsid w:val="649B244D"/>
    <w:rsid w:val="64A671CC"/>
    <w:rsid w:val="64B45039"/>
    <w:rsid w:val="64B51238"/>
    <w:rsid w:val="64BD553D"/>
    <w:rsid w:val="64C80C92"/>
    <w:rsid w:val="64DD5792"/>
    <w:rsid w:val="65054765"/>
    <w:rsid w:val="650A1380"/>
    <w:rsid w:val="65242442"/>
    <w:rsid w:val="65333E03"/>
    <w:rsid w:val="65373578"/>
    <w:rsid w:val="653B59DE"/>
    <w:rsid w:val="65425644"/>
    <w:rsid w:val="6543107A"/>
    <w:rsid w:val="654960A7"/>
    <w:rsid w:val="654A0E7A"/>
    <w:rsid w:val="65510D5D"/>
    <w:rsid w:val="65513EF6"/>
    <w:rsid w:val="655B398A"/>
    <w:rsid w:val="656377C1"/>
    <w:rsid w:val="656B46CF"/>
    <w:rsid w:val="65736BAA"/>
    <w:rsid w:val="657B64AF"/>
    <w:rsid w:val="65817895"/>
    <w:rsid w:val="658B4525"/>
    <w:rsid w:val="659D3FA3"/>
    <w:rsid w:val="65C41932"/>
    <w:rsid w:val="65DA57CB"/>
    <w:rsid w:val="65DE2728"/>
    <w:rsid w:val="65E43FEA"/>
    <w:rsid w:val="65E87914"/>
    <w:rsid w:val="65EC0A86"/>
    <w:rsid w:val="660B0DD8"/>
    <w:rsid w:val="66134265"/>
    <w:rsid w:val="662770A2"/>
    <w:rsid w:val="662D35E6"/>
    <w:rsid w:val="665A00E6"/>
    <w:rsid w:val="665E751C"/>
    <w:rsid w:val="66640EF9"/>
    <w:rsid w:val="66772A46"/>
    <w:rsid w:val="6679056C"/>
    <w:rsid w:val="66827145"/>
    <w:rsid w:val="66833198"/>
    <w:rsid w:val="66833819"/>
    <w:rsid w:val="668B62FC"/>
    <w:rsid w:val="66903709"/>
    <w:rsid w:val="66A355E9"/>
    <w:rsid w:val="66C86F59"/>
    <w:rsid w:val="66CA0BF5"/>
    <w:rsid w:val="66D11DBA"/>
    <w:rsid w:val="66EB461E"/>
    <w:rsid w:val="66F70A5B"/>
    <w:rsid w:val="67000C8D"/>
    <w:rsid w:val="67021BF0"/>
    <w:rsid w:val="67080BE6"/>
    <w:rsid w:val="671F5E45"/>
    <w:rsid w:val="67212C43"/>
    <w:rsid w:val="672506F4"/>
    <w:rsid w:val="672901E4"/>
    <w:rsid w:val="672F3320"/>
    <w:rsid w:val="673F2C7A"/>
    <w:rsid w:val="6741776E"/>
    <w:rsid w:val="67421D4E"/>
    <w:rsid w:val="674C0233"/>
    <w:rsid w:val="67587B83"/>
    <w:rsid w:val="67645D00"/>
    <w:rsid w:val="676A4358"/>
    <w:rsid w:val="67787B9A"/>
    <w:rsid w:val="677F437E"/>
    <w:rsid w:val="677F7E04"/>
    <w:rsid w:val="679E4EC0"/>
    <w:rsid w:val="67A36E11"/>
    <w:rsid w:val="67B16FE0"/>
    <w:rsid w:val="67C255CA"/>
    <w:rsid w:val="67C41CBB"/>
    <w:rsid w:val="67CE7D2C"/>
    <w:rsid w:val="67DF6256"/>
    <w:rsid w:val="67E062C9"/>
    <w:rsid w:val="67E260DB"/>
    <w:rsid w:val="67E2610D"/>
    <w:rsid w:val="67F26828"/>
    <w:rsid w:val="67F73E3E"/>
    <w:rsid w:val="67F9454E"/>
    <w:rsid w:val="681F6961"/>
    <w:rsid w:val="68464AB7"/>
    <w:rsid w:val="685C1945"/>
    <w:rsid w:val="685C60A5"/>
    <w:rsid w:val="68610A2F"/>
    <w:rsid w:val="687E0F07"/>
    <w:rsid w:val="68805514"/>
    <w:rsid w:val="688C2E4A"/>
    <w:rsid w:val="688D6550"/>
    <w:rsid w:val="68A33FD5"/>
    <w:rsid w:val="68B5727A"/>
    <w:rsid w:val="68C14DDE"/>
    <w:rsid w:val="68CD2DF1"/>
    <w:rsid w:val="68DB72BC"/>
    <w:rsid w:val="68EC06AA"/>
    <w:rsid w:val="68EF247D"/>
    <w:rsid w:val="68EF4B15"/>
    <w:rsid w:val="691C16D3"/>
    <w:rsid w:val="692731DB"/>
    <w:rsid w:val="69386686"/>
    <w:rsid w:val="693D6221"/>
    <w:rsid w:val="694E2071"/>
    <w:rsid w:val="695B03FD"/>
    <w:rsid w:val="69653F65"/>
    <w:rsid w:val="69675CFC"/>
    <w:rsid w:val="696D462E"/>
    <w:rsid w:val="697A3B33"/>
    <w:rsid w:val="697E26D9"/>
    <w:rsid w:val="697F6E4E"/>
    <w:rsid w:val="699E2456"/>
    <w:rsid w:val="69A53E97"/>
    <w:rsid w:val="69A8574E"/>
    <w:rsid w:val="69B208DC"/>
    <w:rsid w:val="69C36973"/>
    <w:rsid w:val="69DD3414"/>
    <w:rsid w:val="69DD52B6"/>
    <w:rsid w:val="69F75104"/>
    <w:rsid w:val="6A1019C2"/>
    <w:rsid w:val="6A1D46AC"/>
    <w:rsid w:val="6A3273AF"/>
    <w:rsid w:val="6A3550F2"/>
    <w:rsid w:val="6A411BE2"/>
    <w:rsid w:val="6A4E2B88"/>
    <w:rsid w:val="6A553058"/>
    <w:rsid w:val="6A5C442C"/>
    <w:rsid w:val="6A6004FD"/>
    <w:rsid w:val="6A601574"/>
    <w:rsid w:val="6A643049"/>
    <w:rsid w:val="6A6D6639"/>
    <w:rsid w:val="6A8B2D2D"/>
    <w:rsid w:val="6AA9507F"/>
    <w:rsid w:val="6AB51D8E"/>
    <w:rsid w:val="6AC63F9C"/>
    <w:rsid w:val="6AD634A0"/>
    <w:rsid w:val="6ADA77A0"/>
    <w:rsid w:val="6AE0505D"/>
    <w:rsid w:val="6B1E2C4D"/>
    <w:rsid w:val="6B252A70"/>
    <w:rsid w:val="6B322639"/>
    <w:rsid w:val="6B421874"/>
    <w:rsid w:val="6B480E55"/>
    <w:rsid w:val="6B7632CC"/>
    <w:rsid w:val="6B7A4CA1"/>
    <w:rsid w:val="6BA808D2"/>
    <w:rsid w:val="6BCC12F2"/>
    <w:rsid w:val="6BEA4C0B"/>
    <w:rsid w:val="6BF426EC"/>
    <w:rsid w:val="6BFA1691"/>
    <w:rsid w:val="6C0703FE"/>
    <w:rsid w:val="6C0C1E82"/>
    <w:rsid w:val="6C152874"/>
    <w:rsid w:val="6C1D6BEF"/>
    <w:rsid w:val="6C1F1BB5"/>
    <w:rsid w:val="6C2C1D52"/>
    <w:rsid w:val="6C411B2C"/>
    <w:rsid w:val="6C636C38"/>
    <w:rsid w:val="6C6475C8"/>
    <w:rsid w:val="6C6B671D"/>
    <w:rsid w:val="6C720022"/>
    <w:rsid w:val="6CCB5899"/>
    <w:rsid w:val="6CCD33BF"/>
    <w:rsid w:val="6CCD71E0"/>
    <w:rsid w:val="6CE8644B"/>
    <w:rsid w:val="6CEA21C3"/>
    <w:rsid w:val="6CF46B9E"/>
    <w:rsid w:val="6D0938B4"/>
    <w:rsid w:val="6D097CEA"/>
    <w:rsid w:val="6D1C4347"/>
    <w:rsid w:val="6D2C19CD"/>
    <w:rsid w:val="6D366C5E"/>
    <w:rsid w:val="6D5238C5"/>
    <w:rsid w:val="6D7C7B34"/>
    <w:rsid w:val="6D807A7A"/>
    <w:rsid w:val="6D9C6E7C"/>
    <w:rsid w:val="6DB34098"/>
    <w:rsid w:val="6DB545B6"/>
    <w:rsid w:val="6DC0103A"/>
    <w:rsid w:val="6DCF3167"/>
    <w:rsid w:val="6DED5F12"/>
    <w:rsid w:val="6E02353D"/>
    <w:rsid w:val="6E2B6C48"/>
    <w:rsid w:val="6E2D5175"/>
    <w:rsid w:val="6E3557E7"/>
    <w:rsid w:val="6E4375A0"/>
    <w:rsid w:val="6E456F90"/>
    <w:rsid w:val="6E4753F3"/>
    <w:rsid w:val="6E514CED"/>
    <w:rsid w:val="6E6815B5"/>
    <w:rsid w:val="6E79491A"/>
    <w:rsid w:val="6E7B20BD"/>
    <w:rsid w:val="6E8E6B7E"/>
    <w:rsid w:val="6EA04ECD"/>
    <w:rsid w:val="6EB563D5"/>
    <w:rsid w:val="6EBB43CA"/>
    <w:rsid w:val="6EC00D96"/>
    <w:rsid w:val="6ED50D10"/>
    <w:rsid w:val="6F012FA0"/>
    <w:rsid w:val="6F072C88"/>
    <w:rsid w:val="6F0E6F31"/>
    <w:rsid w:val="6F1352D6"/>
    <w:rsid w:val="6F225983"/>
    <w:rsid w:val="6F2429DF"/>
    <w:rsid w:val="6F2F7DC6"/>
    <w:rsid w:val="6F372C75"/>
    <w:rsid w:val="6F3B2FB0"/>
    <w:rsid w:val="6F5558EE"/>
    <w:rsid w:val="6F5778B8"/>
    <w:rsid w:val="6F5D011B"/>
    <w:rsid w:val="6F664697"/>
    <w:rsid w:val="6F8E381D"/>
    <w:rsid w:val="6FB51820"/>
    <w:rsid w:val="6FB940CF"/>
    <w:rsid w:val="6FE442B3"/>
    <w:rsid w:val="6FFC5590"/>
    <w:rsid w:val="700045AC"/>
    <w:rsid w:val="701C6DDA"/>
    <w:rsid w:val="70301DA3"/>
    <w:rsid w:val="703E2CA7"/>
    <w:rsid w:val="7040122C"/>
    <w:rsid w:val="7042491C"/>
    <w:rsid w:val="704563D7"/>
    <w:rsid w:val="704936A5"/>
    <w:rsid w:val="706158A4"/>
    <w:rsid w:val="7065127C"/>
    <w:rsid w:val="706D1DD0"/>
    <w:rsid w:val="7072684B"/>
    <w:rsid w:val="7073228D"/>
    <w:rsid w:val="70856B87"/>
    <w:rsid w:val="70D438F6"/>
    <w:rsid w:val="70D527EE"/>
    <w:rsid w:val="70DF36C1"/>
    <w:rsid w:val="70E74205"/>
    <w:rsid w:val="70E861A3"/>
    <w:rsid w:val="70EE5DCD"/>
    <w:rsid w:val="71146B43"/>
    <w:rsid w:val="71467BE4"/>
    <w:rsid w:val="715B5300"/>
    <w:rsid w:val="715F4BD7"/>
    <w:rsid w:val="717C6C3D"/>
    <w:rsid w:val="71950224"/>
    <w:rsid w:val="719C63DF"/>
    <w:rsid w:val="71B267D7"/>
    <w:rsid w:val="71B6671C"/>
    <w:rsid w:val="71D27F8A"/>
    <w:rsid w:val="71F17B50"/>
    <w:rsid w:val="71F744C6"/>
    <w:rsid w:val="71F960CF"/>
    <w:rsid w:val="72025681"/>
    <w:rsid w:val="720A0C12"/>
    <w:rsid w:val="7237488A"/>
    <w:rsid w:val="724A54B2"/>
    <w:rsid w:val="7251239D"/>
    <w:rsid w:val="72563E57"/>
    <w:rsid w:val="726E11A1"/>
    <w:rsid w:val="727F13E2"/>
    <w:rsid w:val="727F33AE"/>
    <w:rsid w:val="7287390F"/>
    <w:rsid w:val="729C5033"/>
    <w:rsid w:val="72A465D8"/>
    <w:rsid w:val="72A663F7"/>
    <w:rsid w:val="72B8066E"/>
    <w:rsid w:val="72BD487D"/>
    <w:rsid w:val="72C13C62"/>
    <w:rsid w:val="72C333FC"/>
    <w:rsid w:val="72C97E60"/>
    <w:rsid w:val="72CD5D48"/>
    <w:rsid w:val="72D83669"/>
    <w:rsid w:val="730F3887"/>
    <w:rsid w:val="731E6B2F"/>
    <w:rsid w:val="731F5D5E"/>
    <w:rsid w:val="732D105C"/>
    <w:rsid w:val="73357F10"/>
    <w:rsid w:val="733F6F30"/>
    <w:rsid w:val="734343DB"/>
    <w:rsid w:val="73516FC5"/>
    <w:rsid w:val="735F14A2"/>
    <w:rsid w:val="736206C6"/>
    <w:rsid w:val="736A5C9B"/>
    <w:rsid w:val="736C64EA"/>
    <w:rsid w:val="736E51D0"/>
    <w:rsid w:val="737722D7"/>
    <w:rsid w:val="73813156"/>
    <w:rsid w:val="73A330CC"/>
    <w:rsid w:val="73BC274B"/>
    <w:rsid w:val="73BE23D4"/>
    <w:rsid w:val="73C31078"/>
    <w:rsid w:val="73D250A8"/>
    <w:rsid w:val="73DB2866"/>
    <w:rsid w:val="74082F2F"/>
    <w:rsid w:val="740876C2"/>
    <w:rsid w:val="741362EC"/>
    <w:rsid w:val="741B255B"/>
    <w:rsid w:val="741E793C"/>
    <w:rsid w:val="742B19CA"/>
    <w:rsid w:val="743957DE"/>
    <w:rsid w:val="743D69DA"/>
    <w:rsid w:val="744146FD"/>
    <w:rsid w:val="74634232"/>
    <w:rsid w:val="746639C2"/>
    <w:rsid w:val="746E414B"/>
    <w:rsid w:val="749A7CAD"/>
    <w:rsid w:val="749F6A36"/>
    <w:rsid w:val="74AE4C27"/>
    <w:rsid w:val="74AF7EE3"/>
    <w:rsid w:val="74B202A8"/>
    <w:rsid w:val="74BF5CE3"/>
    <w:rsid w:val="74CB43B4"/>
    <w:rsid w:val="74CD7FDC"/>
    <w:rsid w:val="74D774D1"/>
    <w:rsid w:val="74DC4846"/>
    <w:rsid w:val="74F13D62"/>
    <w:rsid w:val="75063912"/>
    <w:rsid w:val="751C3E82"/>
    <w:rsid w:val="751F198D"/>
    <w:rsid w:val="753E31AB"/>
    <w:rsid w:val="75500C74"/>
    <w:rsid w:val="755A763E"/>
    <w:rsid w:val="756067A4"/>
    <w:rsid w:val="756259E9"/>
    <w:rsid w:val="75671FBE"/>
    <w:rsid w:val="758D75E2"/>
    <w:rsid w:val="75906E08"/>
    <w:rsid w:val="75930F1E"/>
    <w:rsid w:val="75A45801"/>
    <w:rsid w:val="75A5782B"/>
    <w:rsid w:val="75A77A0B"/>
    <w:rsid w:val="75AE7B06"/>
    <w:rsid w:val="75AF6660"/>
    <w:rsid w:val="75BC4BFC"/>
    <w:rsid w:val="75BE5F9B"/>
    <w:rsid w:val="75BF3AC1"/>
    <w:rsid w:val="75C630A2"/>
    <w:rsid w:val="75ED32D4"/>
    <w:rsid w:val="75EE3BA9"/>
    <w:rsid w:val="760360A4"/>
    <w:rsid w:val="76065B94"/>
    <w:rsid w:val="760E0D0B"/>
    <w:rsid w:val="76172CE4"/>
    <w:rsid w:val="7625426C"/>
    <w:rsid w:val="762D31B5"/>
    <w:rsid w:val="76356913"/>
    <w:rsid w:val="76363336"/>
    <w:rsid w:val="763A2AA1"/>
    <w:rsid w:val="76443C80"/>
    <w:rsid w:val="764D5571"/>
    <w:rsid w:val="76556D1E"/>
    <w:rsid w:val="76562678"/>
    <w:rsid w:val="767E38CF"/>
    <w:rsid w:val="768D6622"/>
    <w:rsid w:val="768E4019"/>
    <w:rsid w:val="769B36A6"/>
    <w:rsid w:val="769F64F4"/>
    <w:rsid w:val="76BE5068"/>
    <w:rsid w:val="76C30547"/>
    <w:rsid w:val="76CB4CC0"/>
    <w:rsid w:val="76CE2355"/>
    <w:rsid w:val="76EC07CC"/>
    <w:rsid w:val="76FA3D9F"/>
    <w:rsid w:val="770277DC"/>
    <w:rsid w:val="77035102"/>
    <w:rsid w:val="771046F2"/>
    <w:rsid w:val="77216F4A"/>
    <w:rsid w:val="77324E93"/>
    <w:rsid w:val="774F0DD9"/>
    <w:rsid w:val="775D7397"/>
    <w:rsid w:val="775E7880"/>
    <w:rsid w:val="776E39F1"/>
    <w:rsid w:val="776E475A"/>
    <w:rsid w:val="77762421"/>
    <w:rsid w:val="777A2396"/>
    <w:rsid w:val="777B1211"/>
    <w:rsid w:val="77816C18"/>
    <w:rsid w:val="77880823"/>
    <w:rsid w:val="778C0BCB"/>
    <w:rsid w:val="77972B76"/>
    <w:rsid w:val="77AF64E3"/>
    <w:rsid w:val="77BB6FA5"/>
    <w:rsid w:val="77BD2282"/>
    <w:rsid w:val="77BE0D98"/>
    <w:rsid w:val="77C82937"/>
    <w:rsid w:val="77F02C27"/>
    <w:rsid w:val="77FC71CE"/>
    <w:rsid w:val="780F09F4"/>
    <w:rsid w:val="781D05B9"/>
    <w:rsid w:val="782C4357"/>
    <w:rsid w:val="782C7B34"/>
    <w:rsid w:val="783764D9"/>
    <w:rsid w:val="78485660"/>
    <w:rsid w:val="789C4F47"/>
    <w:rsid w:val="78A43EAC"/>
    <w:rsid w:val="78A531E2"/>
    <w:rsid w:val="78A90480"/>
    <w:rsid w:val="78AA2807"/>
    <w:rsid w:val="78CD2A29"/>
    <w:rsid w:val="78D43D28"/>
    <w:rsid w:val="78DD0F85"/>
    <w:rsid w:val="78F148D9"/>
    <w:rsid w:val="79144124"/>
    <w:rsid w:val="792C76BC"/>
    <w:rsid w:val="792E51E6"/>
    <w:rsid w:val="793F736E"/>
    <w:rsid w:val="7952069E"/>
    <w:rsid w:val="795A247F"/>
    <w:rsid w:val="796B643A"/>
    <w:rsid w:val="79733540"/>
    <w:rsid w:val="79811327"/>
    <w:rsid w:val="798C015E"/>
    <w:rsid w:val="79A86437"/>
    <w:rsid w:val="79B61ECB"/>
    <w:rsid w:val="79B871A5"/>
    <w:rsid w:val="79C7168B"/>
    <w:rsid w:val="79D447C4"/>
    <w:rsid w:val="79DF0BD6"/>
    <w:rsid w:val="79E005EE"/>
    <w:rsid w:val="79F2754D"/>
    <w:rsid w:val="7A232871"/>
    <w:rsid w:val="7A364017"/>
    <w:rsid w:val="7A5275FA"/>
    <w:rsid w:val="7A5C3F27"/>
    <w:rsid w:val="7A792DD8"/>
    <w:rsid w:val="7A7C01D3"/>
    <w:rsid w:val="7A8265E1"/>
    <w:rsid w:val="7A923E9A"/>
    <w:rsid w:val="7AA00365"/>
    <w:rsid w:val="7AC80550"/>
    <w:rsid w:val="7AD73BA0"/>
    <w:rsid w:val="7B212B22"/>
    <w:rsid w:val="7B2D74A8"/>
    <w:rsid w:val="7B3713A0"/>
    <w:rsid w:val="7B3D0369"/>
    <w:rsid w:val="7B416115"/>
    <w:rsid w:val="7B551150"/>
    <w:rsid w:val="7B5D254E"/>
    <w:rsid w:val="7B616325"/>
    <w:rsid w:val="7B686D42"/>
    <w:rsid w:val="7B6C78CC"/>
    <w:rsid w:val="7B8051F7"/>
    <w:rsid w:val="7B827B0E"/>
    <w:rsid w:val="7B841746"/>
    <w:rsid w:val="7B8E01BE"/>
    <w:rsid w:val="7BA2010D"/>
    <w:rsid w:val="7BCA64C6"/>
    <w:rsid w:val="7BCF07FD"/>
    <w:rsid w:val="7BD81E0F"/>
    <w:rsid w:val="7BDC65F1"/>
    <w:rsid w:val="7BEB1AB4"/>
    <w:rsid w:val="7C213321"/>
    <w:rsid w:val="7C3F595C"/>
    <w:rsid w:val="7C5219EF"/>
    <w:rsid w:val="7C530EBB"/>
    <w:rsid w:val="7C635AEE"/>
    <w:rsid w:val="7C6447CF"/>
    <w:rsid w:val="7C694787"/>
    <w:rsid w:val="7C705B15"/>
    <w:rsid w:val="7C9C1BE9"/>
    <w:rsid w:val="7CA27AA9"/>
    <w:rsid w:val="7CA53582"/>
    <w:rsid w:val="7CAA1729"/>
    <w:rsid w:val="7CB30313"/>
    <w:rsid w:val="7CDC7E2A"/>
    <w:rsid w:val="7CE03589"/>
    <w:rsid w:val="7CE27712"/>
    <w:rsid w:val="7D0050EB"/>
    <w:rsid w:val="7D0239FF"/>
    <w:rsid w:val="7D0C3A90"/>
    <w:rsid w:val="7D0E5A5A"/>
    <w:rsid w:val="7D2F6CF4"/>
    <w:rsid w:val="7D33726F"/>
    <w:rsid w:val="7D5E40CD"/>
    <w:rsid w:val="7D6366CE"/>
    <w:rsid w:val="7D693BED"/>
    <w:rsid w:val="7D6A6721"/>
    <w:rsid w:val="7D7E4647"/>
    <w:rsid w:val="7D8A24CC"/>
    <w:rsid w:val="7DA7326E"/>
    <w:rsid w:val="7DBD454E"/>
    <w:rsid w:val="7DEF30AB"/>
    <w:rsid w:val="7E2C327B"/>
    <w:rsid w:val="7E436E86"/>
    <w:rsid w:val="7E4D6A4E"/>
    <w:rsid w:val="7E655B4E"/>
    <w:rsid w:val="7E6B1E5B"/>
    <w:rsid w:val="7E855D04"/>
    <w:rsid w:val="7E9300B5"/>
    <w:rsid w:val="7EB21DE0"/>
    <w:rsid w:val="7EE04F3C"/>
    <w:rsid w:val="7EEA6053"/>
    <w:rsid w:val="7F237BC1"/>
    <w:rsid w:val="7F2B3E75"/>
    <w:rsid w:val="7F2C0419"/>
    <w:rsid w:val="7FA743EB"/>
    <w:rsid w:val="7FAA7BAA"/>
    <w:rsid w:val="7FB04AAA"/>
    <w:rsid w:val="7FB66C38"/>
    <w:rsid w:val="7FBF303C"/>
    <w:rsid w:val="7FD232F9"/>
    <w:rsid w:val="7FE47E50"/>
    <w:rsid w:val="7FE65FC0"/>
    <w:rsid w:val="7FF47F08"/>
    <w:rsid w:val="7FFA7B02"/>
    <w:rsid w:val="7FFE4F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ocked="1"/>
    <w:lsdException w:qFormat="1" w:unhideWhenUsed="0" w:uiPriority="0" w:semiHidden="0" w:name="heading 3" w:locked="1"/>
    <w:lsdException w:qFormat="1" w:unhideWhenUsed="0"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unhideWhenUsed="0" w:uiPriority="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unhideWhenUsed/>
    <w:qFormat/>
    <w:locked/>
    <w:uiPriority w:val="0"/>
    <w:pPr>
      <w:keepNext/>
      <w:keepLines/>
      <w:numPr>
        <w:ilvl w:val="1"/>
        <w:numId w:val="1"/>
      </w:numPr>
      <w:spacing w:line="360" w:lineRule="auto"/>
      <w:ind w:left="575" w:hanging="575" w:firstLineChars="0"/>
      <w:outlineLvl w:val="1"/>
    </w:pPr>
    <w:rPr>
      <w:rFonts w:cstheme="majorBidi"/>
      <w:b/>
      <w:bCs/>
      <w:sz w:val="28"/>
      <w:szCs w:val="28"/>
    </w:rPr>
  </w:style>
  <w:style w:type="paragraph" w:styleId="4">
    <w:name w:val="heading 3"/>
    <w:basedOn w:val="1"/>
    <w:next w:val="1"/>
    <w:qFormat/>
    <w:locked/>
    <w:uiPriority w:val="0"/>
    <w:pPr>
      <w:keepNext/>
      <w:keepLines/>
      <w:numPr>
        <w:ilvl w:val="2"/>
        <w:numId w:val="2"/>
      </w:numPr>
      <w:spacing w:before="20" w:after="20" w:line="360" w:lineRule="auto"/>
      <w:ind w:left="0" w:firstLine="0" w:firstLineChars="0"/>
      <w:jc w:val="left"/>
      <w:outlineLvl w:val="2"/>
    </w:pPr>
    <w:rPr>
      <w:rFonts w:ascii="Times New Roman" w:hAnsi="Times New Roman" w:eastAsia="宋体" w:cs="Times New Roman"/>
      <w:b/>
      <w:bCs/>
      <w:kern w:val="2"/>
      <w:sz w:val="32"/>
      <w:szCs w:val="32"/>
    </w:rPr>
  </w:style>
  <w:style w:type="paragraph" w:styleId="5">
    <w:name w:val="heading 4"/>
    <w:basedOn w:val="1"/>
    <w:next w:val="1"/>
    <w:qFormat/>
    <w:locked/>
    <w:uiPriority w:val="0"/>
    <w:pPr>
      <w:keepNext/>
      <w:keepLines/>
      <w:numPr>
        <w:ilvl w:val="3"/>
        <w:numId w:val="3"/>
      </w:numPr>
      <w:spacing w:beforeLines="0" w:beforeAutospacing="0" w:afterLines="0" w:afterAutospacing="0" w:line="360" w:lineRule="auto"/>
      <w:ind w:left="850" w:hanging="850" w:firstLineChars="0"/>
      <w:outlineLvl w:val="3"/>
    </w:pPr>
    <w:rPr>
      <w:rFonts w:ascii="Times New Roman" w:hAnsi="Times New Roman" w:eastAsia="仿宋" w:cs="Times New Roman"/>
      <w:b/>
      <w:sz w:val="24"/>
    </w:rPr>
  </w:style>
  <w:style w:type="paragraph" w:styleId="6">
    <w:name w:val="heading 5"/>
    <w:basedOn w:val="1"/>
    <w:next w:val="1"/>
    <w:locked/>
    <w:uiPriority w:val="0"/>
    <w:pPr>
      <w:keepNext/>
      <w:keepLines/>
      <w:numPr>
        <w:ilvl w:val="4"/>
        <w:numId w:val="4"/>
      </w:numPr>
      <w:tabs>
        <w:tab w:val="left" w:pos="1008"/>
      </w:tabs>
      <w:spacing w:beforeLines="0" w:beforeAutospacing="0" w:afterLines="0" w:afterAutospacing="0" w:line="360" w:lineRule="auto"/>
      <w:ind w:left="1008" w:hanging="1008" w:firstLineChars="0"/>
      <w:outlineLvl w:val="4"/>
    </w:pPr>
    <w:rPr>
      <w:rFonts w:ascii="Times New Roman" w:hAnsi="Times New Roman" w:eastAsia="宋体" w:cs="宋体"/>
      <w:b/>
      <w:color w:val="000000"/>
      <w:sz w:val="28"/>
      <w:szCs w:val="22"/>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firstLineChars="200"/>
    </w:pPr>
    <w:rPr>
      <w:szCs w:val="20"/>
    </w:rPr>
  </w:style>
  <w:style w:type="paragraph" w:styleId="8">
    <w:name w:val="caption"/>
    <w:basedOn w:val="1"/>
    <w:next w:val="1"/>
    <w:qFormat/>
    <w:locked/>
    <w:uiPriority w:val="0"/>
    <w:rPr>
      <w:rFonts w:ascii="Arial" w:hAnsi="Arial" w:eastAsia="黑体"/>
      <w:sz w:val="20"/>
    </w:rPr>
  </w:style>
  <w:style w:type="paragraph" w:styleId="9">
    <w:name w:val="annotation text"/>
    <w:basedOn w:val="1"/>
    <w:link w:val="36"/>
    <w:semiHidden/>
    <w:qFormat/>
    <w:uiPriority w:val="0"/>
    <w:pPr>
      <w:jc w:val="left"/>
    </w:pPr>
    <w:rPr>
      <w:kern w:val="0"/>
      <w:sz w:val="20"/>
    </w:rPr>
  </w:style>
  <w:style w:type="paragraph" w:styleId="10">
    <w:name w:val="Body Text"/>
    <w:basedOn w:val="1"/>
    <w:next w:val="1"/>
    <w:link w:val="37"/>
    <w:qFormat/>
    <w:uiPriority w:val="0"/>
    <w:pPr>
      <w:widowControl/>
      <w:snapToGrid w:val="0"/>
      <w:spacing w:before="60" w:after="160" w:line="259" w:lineRule="auto"/>
      <w:ind w:right="113"/>
    </w:pPr>
    <w:rPr>
      <w:kern w:val="0"/>
      <w:sz w:val="18"/>
      <w:szCs w:val="18"/>
    </w:rPr>
  </w:style>
  <w:style w:type="paragraph" w:styleId="11">
    <w:name w:val="Body Text Indent"/>
    <w:basedOn w:val="1"/>
    <w:next w:val="12"/>
    <w:link w:val="38"/>
    <w:semiHidden/>
    <w:qFormat/>
    <w:uiPriority w:val="0"/>
    <w:pPr>
      <w:spacing w:after="120"/>
      <w:ind w:left="420" w:leftChars="200"/>
    </w:pPr>
  </w:style>
  <w:style w:type="paragraph" w:styleId="12">
    <w:name w:val="header"/>
    <w:basedOn w:val="1"/>
    <w:next w:val="13"/>
    <w:link w:val="42"/>
    <w:qFormat/>
    <w:uiPriority w:val="0"/>
    <w:pPr>
      <w:pBdr>
        <w:bottom w:val="single" w:color="auto" w:sz="6" w:space="1"/>
      </w:pBdr>
      <w:tabs>
        <w:tab w:val="center" w:pos="4153"/>
        <w:tab w:val="right" w:pos="8306"/>
      </w:tabs>
      <w:snapToGrid w:val="0"/>
      <w:jc w:val="center"/>
    </w:pPr>
    <w:rPr>
      <w:sz w:val="18"/>
      <w:szCs w:val="18"/>
    </w:rPr>
  </w:style>
  <w:style w:type="paragraph" w:customStyle="1" w:styleId="13">
    <w:name w:val="样式5"/>
    <w:basedOn w:val="14"/>
    <w:qFormat/>
    <w:uiPriority w:val="0"/>
    <w:pPr>
      <w:keepNext/>
      <w:spacing w:line="240" w:lineRule="auto"/>
      <w:jc w:val="left"/>
      <w:outlineLvl w:val="0"/>
    </w:pPr>
    <w:rPr>
      <w:rFonts w:ascii="黑体" w:hAnsi="黑体"/>
      <w:spacing w:val="5"/>
      <w:sz w:val="25"/>
      <w:szCs w:val="25"/>
    </w:rPr>
  </w:style>
  <w:style w:type="paragraph" w:customStyle="1" w:styleId="14">
    <w:name w:val="正文1"/>
    <w:basedOn w:val="1"/>
    <w:qFormat/>
    <w:uiPriority w:val="3"/>
    <w:pPr>
      <w:spacing w:before="78" w:after="78" w:line="360" w:lineRule="auto"/>
      <w:ind w:firstLine="480"/>
    </w:pPr>
    <w:rPr>
      <w:rFonts w:ascii="Times New Roman" w:hAnsi="Times New Roman" w:cs="Times New Roman"/>
      <w:kern w:val="1"/>
      <w:sz w:val="24"/>
    </w:rPr>
  </w:style>
  <w:style w:type="paragraph" w:styleId="15">
    <w:name w:val="Plain Text"/>
    <w:basedOn w:val="1"/>
    <w:qFormat/>
    <w:uiPriority w:val="0"/>
    <w:rPr>
      <w:rFonts w:ascii="宋体" w:hAnsi="Courier New"/>
    </w:rPr>
  </w:style>
  <w:style w:type="paragraph" w:styleId="16">
    <w:name w:val="Date"/>
    <w:basedOn w:val="1"/>
    <w:next w:val="1"/>
    <w:link w:val="39"/>
    <w:qFormat/>
    <w:uiPriority w:val="0"/>
    <w:pPr>
      <w:ind w:left="100" w:leftChars="2500"/>
    </w:pPr>
    <w:rPr>
      <w:kern w:val="0"/>
      <w:sz w:val="20"/>
    </w:rPr>
  </w:style>
  <w:style w:type="paragraph" w:styleId="17">
    <w:name w:val="Balloon Text"/>
    <w:basedOn w:val="1"/>
    <w:link w:val="40"/>
    <w:semiHidden/>
    <w:qFormat/>
    <w:uiPriority w:val="0"/>
    <w:rPr>
      <w:sz w:val="18"/>
      <w:szCs w:val="18"/>
    </w:rPr>
  </w:style>
  <w:style w:type="paragraph" w:styleId="18">
    <w:name w:val="footer"/>
    <w:basedOn w:val="1"/>
    <w:link w:val="41"/>
    <w:qFormat/>
    <w:uiPriority w:val="0"/>
    <w:pPr>
      <w:tabs>
        <w:tab w:val="center" w:pos="4153"/>
        <w:tab w:val="right" w:pos="8306"/>
      </w:tabs>
      <w:snapToGrid w:val="0"/>
      <w:jc w:val="left"/>
    </w:pPr>
    <w:rPr>
      <w:sz w:val="18"/>
      <w:szCs w:val="18"/>
    </w:rPr>
  </w:style>
  <w:style w:type="paragraph" w:styleId="19">
    <w:name w:val="toc 1"/>
    <w:basedOn w:val="1"/>
    <w:next w:val="1"/>
    <w:qFormat/>
    <w:locked/>
    <w:uiPriority w:val="0"/>
  </w:style>
  <w:style w:type="paragraph" w:styleId="20">
    <w:name w:val="Subtitle"/>
    <w:basedOn w:val="1"/>
    <w:next w:val="1"/>
    <w:qFormat/>
    <w:locked/>
    <w:uiPriority w:val="0"/>
    <w:pPr>
      <w:adjustRightInd w:val="0"/>
      <w:snapToGrid w:val="0"/>
      <w:spacing w:before="120" w:after="120" w:line="240" w:lineRule="atLeast"/>
      <w:jc w:val="center"/>
      <w:outlineLvl w:val="1"/>
    </w:pPr>
    <w:rPr>
      <w:rFonts w:eastAsia="黑体"/>
      <w:bCs/>
      <w:kern w:val="28"/>
      <w:sz w:val="24"/>
      <w:szCs w:val="32"/>
    </w:rPr>
  </w:style>
  <w:style w:type="paragraph" w:styleId="21">
    <w:name w:val="Normal (Web)"/>
    <w:basedOn w:val="1"/>
    <w:link w:val="43"/>
    <w:qFormat/>
    <w:uiPriority w:val="0"/>
    <w:pPr>
      <w:widowControl/>
      <w:spacing w:before="100" w:beforeAutospacing="1" w:after="100" w:afterAutospacing="1"/>
      <w:jc w:val="left"/>
    </w:pPr>
    <w:rPr>
      <w:rFonts w:ascii="宋体" w:hAnsi="宋体"/>
      <w:kern w:val="0"/>
      <w:sz w:val="24"/>
    </w:rPr>
  </w:style>
  <w:style w:type="paragraph" w:styleId="22">
    <w:name w:val="Title"/>
    <w:basedOn w:val="1"/>
    <w:next w:val="1"/>
    <w:qFormat/>
    <w:locked/>
    <w:uiPriority w:val="0"/>
    <w:pPr>
      <w:spacing w:before="120" w:line="360" w:lineRule="auto"/>
      <w:jc w:val="center"/>
      <w:outlineLvl w:val="0"/>
    </w:pPr>
    <w:rPr>
      <w:rFonts w:eastAsia="仿宋_GB2312"/>
      <w:b/>
      <w:bCs/>
      <w:sz w:val="36"/>
      <w:szCs w:val="32"/>
    </w:rPr>
  </w:style>
  <w:style w:type="paragraph" w:styleId="23">
    <w:name w:val="annotation subject"/>
    <w:basedOn w:val="9"/>
    <w:next w:val="9"/>
    <w:link w:val="44"/>
    <w:semiHidden/>
    <w:qFormat/>
    <w:uiPriority w:val="0"/>
    <w:rPr>
      <w:b/>
      <w:bCs/>
    </w:rPr>
  </w:style>
  <w:style w:type="paragraph" w:styleId="24">
    <w:name w:val="Body Text First Indent"/>
    <w:basedOn w:val="10"/>
    <w:unhideWhenUsed/>
    <w:qFormat/>
    <w:uiPriority w:val="99"/>
    <w:pPr>
      <w:ind w:firstLine="420" w:firstLineChars="100"/>
    </w:pPr>
  </w:style>
  <w:style w:type="paragraph" w:styleId="25">
    <w:name w:val="Body Text First Indent 2"/>
    <w:basedOn w:val="11"/>
    <w:next w:val="1"/>
    <w:qFormat/>
    <w:uiPriority w:val="0"/>
    <w:pPr>
      <w:ind w:firstLine="420" w:firstLineChars="200"/>
    </w:pPr>
  </w:style>
  <w:style w:type="table" w:styleId="27">
    <w:name w:val="Table Grid"/>
    <w:basedOn w:val="26"/>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locked/>
    <w:uiPriority w:val="0"/>
    <w:rPr>
      <w:b/>
    </w:rPr>
  </w:style>
  <w:style w:type="character" w:styleId="30">
    <w:name w:val="page number"/>
    <w:basedOn w:val="28"/>
    <w:qFormat/>
    <w:uiPriority w:val="0"/>
  </w:style>
  <w:style w:type="character" w:styleId="31">
    <w:name w:val="Hyperlink"/>
    <w:basedOn w:val="28"/>
    <w:qFormat/>
    <w:uiPriority w:val="0"/>
    <w:rPr>
      <w:color w:val="0000FF"/>
      <w:u w:val="single"/>
    </w:rPr>
  </w:style>
  <w:style w:type="character" w:styleId="32">
    <w:name w:val="annotation reference"/>
    <w:basedOn w:val="28"/>
    <w:semiHidden/>
    <w:qFormat/>
    <w:uiPriority w:val="0"/>
    <w:rPr>
      <w:sz w:val="21"/>
    </w:rPr>
  </w:style>
  <w:style w:type="paragraph" w:customStyle="1" w:styleId="33">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34">
    <w:name w:val="无间隔1"/>
    <w:qFormat/>
    <w:uiPriority w:val="99"/>
    <w:rPr>
      <w:rFonts w:ascii="Calibri" w:hAnsi="Calibri" w:eastAsia="宋体" w:cs="Calibri"/>
      <w:sz w:val="22"/>
      <w:szCs w:val="22"/>
      <w:lang w:val="en-US" w:eastAsia="zh-CN" w:bidi="ar-SA"/>
    </w:rPr>
  </w:style>
  <w:style w:type="paragraph" w:customStyle="1" w:styleId="35">
    <w:name w:val="标题4"/>
    <w:basedOn w:val="1"/>
    <w:qFormat/>
    <w:uiPriority w:val="0"/>
    <w:pPr>
      <w:spacing w:line="360" w:lineRule="auto"/>
      <w:outlineLvl w:val="3"/>
    </w:pPr>
    <w:rPr>
      <w:rFonts w:ascii="Times New Roman" w:hAnsi="Times New Roman" w:eastAsia="宋体" w:cs="Times New Roman"/>
      <w:b/>
      <w:bCs/>
      <w:kern w:val="44"/>
      <w:sz w:val="28"/>
      <w:szCs w:val="44"/>
    </w:rPr>
  </w:style>
  <w:style w:type="character" w:customStyle="1" w:styleId="36">
    <w:name w:val="Comment Text Char"/>
    <w:link w:val="9"/>
    <w:qFormat/>
    <w:locked/>
    <w:uiPriority w:val="0"/>
    <w:rPr>
      <w:rFonts w:ascii="Times New Roman" w:hAnsi="Times New Roman" w:eastAsia="宋体"/>
      <w:sz w:val="24"/>
    </w:rPr>
  </w:style>
  <w:style w:type="character" w:customStyle="1" w:styleId="37">
    <w:name w:val="Body Text Char"/>
    <w:link w:val="10"/>
    <w:qFormat/>
    <w:locked/>
    <w:uiPriority w:val="0"/>
    <w:rPr>
      <w:sz w:val="18"/>
    </w:rPr>
  </w:style>
  <w:style w:type="character" w:customStyle="1" w:styleId="38">
    <w:name w:val="Body Text Indent Char"/>
    <w:basedOn w:val="28"/>
    <w:link w:val="11"/>
    <w:semiHidden/>
    <w:qFormat/>
    <w:locked/>
    <w:uiPriority w:val="0"/>
    <w:rPr>
      <w:rFonts w:ascii="Times New Roman" w:hAnsi="Times New Roman" w:eastAsia="宋体" w:cs="Times New Roman"/>
      <w:sz w:val="24"/>
      <w:szCs w:val="24"/>
    </w:rPr>
  </w:style>
  <w:style w:type="character" w:customStyle="1" w:styleId="39">
    <w:name w:val="Date Char"/>
    <w:link w:val="16"/>
    <w:qFormat/>
    <w:locked/>
    <w:uiPriority w:val="0"/>
    <w:rPr>
      <w:rFonts w:ascii="Times New Roman" w:hAnsi="Times New Roman" w:eastAsia="宋体"/>
      <w:sz w:val="24"/>
    </w:rPr>
  </w:style>
  <w:style w:type="character" w:customStyle="1" w:styleId="40">
    <w:name w:val="Balloon Text Char"/>
    <w:basedOn w:val="28"/>
    <w:link w:val="17"/>
    <w:semiHidden/>
    <w:qFormat/>
    <w:locked/>
    <w:uiPriority w:val="0"/>
    <w:rPr>
      <w:rFonts w:ascii="Times New Roman" w:hAnsi="Times New Roman" w:eastAsia="宋体" w:cs="Times New Roman"/>
      <w:sz w:val="18"/>
      <w:szCs w:val="18"/>
    </w:rPr>
  </w:style>
  <w:style w:type="character" w:customStyle="1" w:styleId="41">
    <w:name w:val="Footer Char"/>
    <w:basedOn w:val="28"/>
    <w:link w:val="18"/>
    <w:qFormat/>
    <w:locked/>
    <w:uiPriority w:val="0"/>
    <w:rPr>
      <w:rFonts w:cs="Times New Roman"/>
      <w:sz w:val="18"/>
      <w:szCs w:val="18"/>
    </w:rPr>
  </w:style>
  <w:style w:type="character" w:customStyle="1" w:styleId="42">
    <w:name w:val="Header Char"/>
    <w:basedOn w:val="28"/>
    <w:link w:val="12"/>
    <w:qFormat/>
    <w:locked/>
    <w:uiPriority w:val="0"/>
    <w:rPr>
      <w:rFonts w:cs="Times New Roman"/>
      <w:sz w:val="18"/>
      <w:szCs w:val="18"/>
    </w:rPr>
  </w:style>
  <w:style w:type="character" w:customStyle="1" w:styleId="43">
    <w:name w:val="Normal (Web) Char"/>
    <w:link w:val="21"/>
    <w:qFormat/>
    <w:locked/>
    <w:uiPriority w:val="0"/>
    <w:rPr>
      <w:rFonts w:ascii="宋体" w:hAnsi="宋体" w:eastAsia="宋体"/>
      <w:sz w:val="24"/>
    </w:rPr>
  </w:style>
  <w:style w:type="character" w:customStyle="1" w:styleId="44">
    <w:name w:val="Comment Subject Char"/>
    <w:basedOn w:val="36"/>
    <w:link w:val="23"/>
    <w:semiHidden/>
    <w:qFormat/>
    <w:locked/>
    <w:uiPriority w:val="0"/>
    <w:rPr>
      <w:rFonts w:cs="Times New Roman"/>
      <w:b/>
      <w:bCs/>
      <w:kern w:val="2"/>
      <w:szCs w:val="24"/>
    </w:rPr>
  </w:style>
  <w:style w:type="character" w:customStyle="1" w:styleId="45">
    <w:name w:val="日期 字符"/>
    <w:basedOn w:val="28"/>
    <w:semiHidden/>
    <w:qFormat/>
    <w:uiPriority w:val="0"/>
    <w:rPr>
      <w:rFonts w:ascii="Times New Roman" w:hAnsi="Times New Roman" w:eastAsia="宋体" w:cs="Times New Roman"/>
      <w:sz w:val="24"/>
      <w:szCs w:val="24"/>
    </w:rPr>
  </w:style>
  <w:style w:type="character" w:customStyle="1" w:styleId="46">
    <w:name w:val="正文文本 字符1"/>
    <w:basedOn w:val="28"/>
    <w:semiHidden/>
    <w:qFormat/>
    <w:uiPriority w:val="0"/>
    <w:rPr>
      <w:rFonts w:ascii="Times New Roman" w:hAnsi="Times New Roman" w:eastAsia="宋体" w:cs="Times New Roman"/>
      <w:sz w:val="24"/>
      <w:szCs w:val="24"/>
    </w:rPr>
  </w:style>
  <w:style w:type="paragraph" w:customStyle="1" w:styleId="47">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8">
    <w:name w:val="表格 Char"/>
    <w:link w:val="49"/>
    <w:qFormat/>
    <w:locked/>
    <w:uiPriority w:val="0"/>
    <w:rPr>
      <w:rFonts w:ascii="宋体"/>
      <w:sz w:val="21"/>
    </w:rPr>
  </w:style>
  <w:style w:type="paragraph" w:customStyle="1" w:styleId="49">
    <w:name w:val="表格"/>
    <w:basedOn w:val="7"/>
    <w:next w:val="7"/>
    <w:link w:val="48"/>
    <w:qFormat/>
    <w:uiPriority w:val="0"/>
    <w:pPr>
      <w:adjustRightInd w:val="0"/>
      <w:snapToGrid w:val="0"/>
      <w:spacing w:beforeLines="10" w:afterLines="10" w:line="259" w:lineRule="auto"/>
      <w:jc w:val="center"/>
    </w:pPr>
    <w:rPr>
      <w:rFonts w:ascii="宋体"/>
      <w:kern w:val="0"/>
      <w:sz w:val="20"/>
      <w:szCs w:val="21"/>
    </w:rPr>
  </w:style>
  <w:style w:type="character" w:customStyle="1" w:styleId="50">
    <w:name w:val="批注文字 字符1"/>
    <w:basedOn w:val="28"/>
    <w:semiHidden/>
    <w:qFormat/>
    <w:uiPriority w:val="0"/>
    <w:rPr>
      <w:rFonts w:ascii="Times New Roman" w:hAnsi="Times New Roman" w:eastAsia="宋体" w:cs="Times New Roman"/>
      <w:sz w:val="24"/>
      <w:szCs w:val="24"/>
    </w:rPr>
  </w:style>
  <w:style w:type="character" w:customStyle="1" w:styleId="51">
    <w:name w:val="普通(网站) Char"/>
    <w:qFormat/>
    <w:locked/>
    <w:uiPriority w:val="0"/>
    <w:rPr>
      <w:rFonts w:ascii="宋体" w:hAnsi="宋体" w:eastAsia="宋体"/>
      <w:sz w:val="24"/>
    </w:rPr>
  </w:style>
  <w:style w:type="paragraph" w:customStyle="1" w:styleId="52">
    <w:name w:val="Default"/>
    <w:unhideWhenUsed/>
    <w:qFormat/>
    <w:uiPriority w:val="99"/>
    <w:pPr>
      <w:widowControl w:val="0"/>
      <w:autoSpaceDE w:val="0"/>
      <w:autoSpaceDN w:val="0"/>
      <w:adjustRightInd w:val="0"/>
      <w:spacing w:beforeLines="0" w:afterLines="0"/>
    </w:pPr>
    <w:rPr>
      <w:rFonts w:hint="eastAsia" w:ascii="宋体" w:hAnsi="宋体" w:eastAsia="宋体" w:cs="Times New Roman"/>
      <w:color w:val="000000"/>
      <w:sz w:val="24"/>
      <w:szCs w:val="24"/>
    </w:rPr>
  </w:style>
  <w:style w:type="paragraph" w:customStyle="1" w:styleId="53">
    <w:name w:val="【正文】"/>
    <w:basedOn w:val="1"/>
    <w:qFormat/>
    <w:uiPriority w:val="0"/>
    <w:pPr>
      <w:spacing w:line="360" w:lineRule="auto"/>
      <w:ind w:firstLine="200" w:firstLineChars="200"/>
    </w:pPr>
    <w:rPr>
      <w:rFonts w:ascii="Times New Roman" w:hAnsi="Times New Roman" w:cs="宋体"/>
      <w:sz w:val="24"/>
    </w:rPr>
  </w:style>
  <w:style w:type="paragraph" w:customStyle="1" w:styleId="54">
    <w:name w:val="图表"/>
    <w:basedOn w:val="1"/>
    <w:qFormat/>
    <w:uiPriority w:val="0"/>
    <w:pPr>
      <w:adjustRightInd w:val="0"/>
      <w:snapToGrid w:val="0"/>
      <w:spacing w:line="280" w:lineRule="exact"/>
      <w:jc w:val="center"/>
    </w:pPr>
    <w:rPr>
      <w:rFonts w:ascii="Calibri" w:hAnsi="Calibri" w:eastAsia="宋体" w:cs="Times New Roman"/>
      <w:kern w:val="0"/>
    </w:rPr>
  </w:style>
  <w:style w:type="paragraph" w:customStyle="1" w:styleId="55">
    <w:name w:val="cucd-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6">
    <w:name w:val="说明书宋体正文"/>
    <w:basedOn w:val="1"/>
    <w:qFormat/>
    <w:uiPriority w:val="0"/>
    <w:pPr>
      <w:topLinePunct/>
      <w:spacing w:line="560" w:lineRule="exact"/>
      <w:ind w:firstLine="200" w:firstLineChars="200"/>
    </w:pPr>
    <w:rPr>
      <w:sz w:val="28"/>
      <w:szCs w:val="28"/>
    </w:rPr>
  </w:style>
  <w:style w:type="table" w:customStyle="1" w:styleId="57">
    <w:name w:val="Table Normal"/>
    <w:semiHidden/>
    <w:unhideWhenUsed/>
    <w:qFormat/>
    <w:uiPriority w:val="0"/>
    <w:tblPr>
      <w:tblCellMar>
        <w:top w:w="0" w:type="dxa"/>
        <w:left w:w="0" w:type="dxa"/>
        <w:bottom w:w="0" w:type="dxa"/>
        <w:right w:w="0" w:type="dxa"/>
      </w:tblCellMar>
    </w:tblPr>
  </w:style>
  <w:style w:type="paragraph" w:customStyle="1" w:styleId="58">
    <w:name w:val="ZW"/>
    <w:basedOn w:val="1"/>
    <w:qFormat/>
    <w:uiPriority w:val="0"/>
    <w:rPr>
      <w:color w:val="000000"/>
      <w:szCs w:val="44"/>
    </w:rPr>
  </w:style>
  <w:style w:type="paragraph" w:customStyle="1" w:styleId="59">
    <w:name w:val="报告正文格式"/>
    <w:basedOn w:val="1"/>
    <w:qFormat/>
    <w:uiPriority w:val="0"/>
    <w:pPr>
      <w:spacing w:line="360" w:lineRule="auto"/>
      <w:ind w:firstLine="200" w:firstLineChars="200"/>
    </w:pPr>
    <w:rPr>
      <w:rFonts w:ascii="Times New Roman" w:hAnsi="Times New Roman" w:eastAsia="宋体"/>
      <w:sz w:val="24"/>
    </w:rPr>
  </w:style>
  <w:style w:type="paragraph" w:styleId="60">
    <w:name w:val="List Paragraph"/>
    <w:basedOn w:val="1"/>
    <w:qFormat/>
    <w:uiPriority w:val="34"/>
    <w:pPr>
      <w:ind w:firstLine="420" w:firstLineChars="200"/>
    </w:pPr>
  </w:style>
  <w:style w:type="paragraph" w:customStyle="1" w:styleId="61">
    <w:name w:val="Table Text"/>
    <w:basedOn w:val="1"/>
    <w:semiHidden/>
    <w:qFormat/>
    <w:uiPriority w:val="0"/>
    <w:rPr>
      <w:rFonts w:ascii="宋体" w:hAnsi="宋体" w:eastAsia="宋体" w:cs="宋体"/>
      <w:sz w:val="20"/>
      <w:szCs w:val="20"/>
      <w:lang w:val="en-US" w:eastAsia="en-US" w:bidi="ar-SA"/>
    </w:rPr>
  </w:style>
  <w:style w:type="paragraph" w:customStyle="1" w:styleId="62">
    <w:name w:val="Table Paragraph"/>
    <w:basedOn w:val="1"/>
    <w:qFormat/>
    <w:uiPriority w:val="1"/>
    <w:rPr>
      <w:rFonts w:ascii="宋体" w:hAnsi="宋体" w:eastAsia="宋体" w:cs="宋体"/>
      <w:lang w:val="zh-CN" w:eastAsia="zh-CN" w:bidi="zh-CN"/>
    </w:rPr>
  </w:style>
  <w:style w:type="paragraph" w:customStyle="1" w:styleId="63">
    <w:name w:val="内容"/>
    <w:basedOn w:val="1"/>
    <w:qFormat/>
    <w:uiPriority w:val="0"/>
    <w:pPr>
      <w:widowControl/>
      <w:snapToGrid w:val="0"/>
      <w:spacing w:line="560" w:lineRule="exact"/>
      <w:ind w:firstLine="200" w:firstLineChars="200"/>
      <w:jc w:val="left"/>
    </w:pPr>
    <w:rPr>
      <w:rFonts w:ascii="宋体" w:hAnsi="宋体"/>
      <w:kern w:val="0"/>
      <w:sz w:val="28"/>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wmf"/><Relationship Id="rId11" Type="http://schemas.openxmlformats.org/officeDocument/2006/relationships/image" Target="media/image4.e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110</Pages>
  <Words>2065</Words>
  <Characters>2202</Characters>
  <Lines>9</Lines>
  <Paragraphs>2</Paragraphs>
  <TotalTime>10</TotalTime>
  <ScaleCrop>false</ScaleCrop>
  <LinksUpToDate>false</LinksUpToDate>
  <CharactersWithSpaces>2317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吴海翔</cp:lastModifiedBy>
  <cp:lastPrinted>2020-12-24T01:50:00Z</cp:lastPrinted>
  <dcterms:modified xsi:type="dcterms:W3CDTF">2026-07-28T07:45:19Z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5F20DB3EC78146039194CB6C806C38D8_13</vt:lpwstr>
  </property>
  <property fmtid="{D5CDD505-2E9C-101B-9397-08002B2CF9AE}" pid="4" name="KSOTemplateDocerSaveRecord">
    <vt:lpwstr>eyJoZGlkIjoiZGNlZjA4MTc2YjAzMmJmODJjYTM4OWJlZjk3NTNjODkiLCJ1c2VySWQiOiIxNTE5MTQwMTM2In0=</vt:lpwstr>
  </property>
</Properties>
</file>