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C2FBA">
      <w:pPr>
        <w:widowControl w:val="0"/>
        <w:kinsoku/>
        <w:autoSpaceDE/>
        <w:autoSpaceDN/>
        <w:adjustRightInd/>
        <w:snapToGrid/>
        <w:spacing w:line="360" w:lineRule="auto"/>
        <w:jc w:val="center"/>
        <w:textAlignment w:val="auto"/>
        <w:rPr>
          <w:rFonts w:hint="eastAsia" w:asciiTheme="minorEastAsia" w:hAnsiTheme="minorEastAsia" w:eastAsiaTheme="minorEastAsia"/>
          <w:b/>
          <w:snapToGrid/>
          <w:color w:val="000000" w:themeColor="text1"/>
          <w:kern w:val="2"/>
          <w:sz w:val="32"/>
          <w:szCs w:val="32"/>
          <w:lang w:eastAsia="zh-CN"/>
          <w14:textFill>
            <w14:solidFill>
              <w14:schemeClr w14:val="tx1"/>
            </w14:solidFill>
          </w14:textFill>
        </w:rPr>
      </w:pPr>
      <w:r>
        <w:rPr>
          <w:rFonts w:hint="eastAsia" w:asciiTheme="minorEastAsia" w:hAnsiTheme="minorEastAsia" w:eastAsiaTheme="minorEastAsia"/>
          <w:b/>
          <w:snapToGrid/>
          <w:color w:val="000000" w:themeColor="text1"/>
          <w:kern w:val="2"/>
          <w:sz w:val="32"/>
          <w:szCs w:val="32"/>
          <w:lang w:eastAsia="zh-CN"/>
          <w14:textFill>
            <w14:solidFill>
              <w14:schemeClr w14:val="tx1"/>
            </w14:solidFill>
          </w14:textFill>
        </w:rPr>
        <w:t>2026年</w:t>
      </w:r>
      <w:r>
        <w:rPr>
          <w:rFonts w:hint="eastAsia" w:asciiTheme="minorEastAsia" w:hAnsiTheme="minorEastAsia" w:eastAsiaTheme="minorEastAsia"/>
          <w:b/>
          <w:snapToGrid/>
          <w:color w:val="000000" w:themeColor="text1"/>
          <w:kern w:val="2"/>
          <w:sz w:val="32"/>
          <w:szCs w:val="32"/>
          <w:lang w:val="en-US" w:eastAsia="zh-CN"/>
          <w14:textFill>
            <w14:solidFill>
              <w14:schemeClr w14:val="tx1"/>
            </w14:solidFill>
          </w14:textFill>
        </w:rPr>
        <w:t>安宁市</w:t>
      </w:r>
      <w:r>
        <w:rPr>
          <w:rFonts w:hint="eastAsia" w:asciiTheme="minorEastAsia" w:hAnsiTheme="minorEastAsia" w:eastAsiaTheme="minorEastAsia"/>
          <w:b/>
          <w:snapToGrid/>
          <w:color w:val="000000" w:themeColor="text1"/>
          <w:kern w:val="2"/>
          <w:sz w:val="32"/>
          <w:szCs w:val="32"/>
          <w:lang w:eastAsia="zh-CN"/>
          <w14:textFill>
            <w14:solidFill>
              <w14:schemeClr w14:val="tx1"/>
            </w14:solidFill>
          </w14:textFill>
        </w:rPr>
        <w:t>热轧带肋钢筋</w:t>
      </w:r>
      <w:r>
        <w:rPr>
          <w:rFonts w:asciiTheme="minorEastAsia" w:hAnsiTheme="minorEastAsia" w:eastAsiaTheme="minorEastAsia"/>
          <w:b/>
          <w:snapToGrid/>
          <w:color w:val="000000" w:themeColor="text1"/>
          <w:kern w:val="2"/>
          <w:sz w:val="32"/>
          <w:szCs w:val="32"/>
          <w:lang w:eastAsia="zh-CN"/>
          <w14:textFill>
            <w14:solidFill>
              <w14:schemeClr w14:val="tx1"/>
            </w14:solidFill>
          </w14:textFill>
        </w:rPr>
        <w:t>产品质量监督抽查实施细则</w:t>
      </w:r>
    </w:p>
    <w:p w14:paraId="7C7F9C14">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p>
    <w:p w14:paraId="46939D3B">
      <w:pPr>
        <w:widowControl w:val="0"/>
        <w:kinsoku/>
        <w:autoSpaceDE/>
        <w:autoSpaceDN/>
        <w:adjustRightInd/>
        <w:spacing w:line="400" w:lineRule="exact"/>
        <w:jc w:val="both"/>
        <w:textAlignment w:val="auto"/>
        <w:rPr>
          <w:rFonts w:hint="eastAsia" w:ascii="黑体" w:hAnsi="黑体" w:eastAsia="黑体"/>
          <w:snapToGrid/>
          <w:kern w:val="2"/>
          <w:lang w:eastAsia="zh-CN"/>
        </w:rPr>
      </w:pPr>
      <w:r>
        <w:rPr>
          <w:rFonts w:ascii="黑体" w:hAnsi="黑体" w:eastAsia="黑体"/>
          <w:snapToGrid/>
          <w:kern w:val="2"/>
          <w:lang w:eastAsia="zh-CN"/>
        </w:rPr>
        <w:t>1 抽样方法</w:t>
      </w:r>
    </w:p>
    <w:p w14:paraId="2803C4EA">
      <w:pPr>
        <w:widowControl w:val="0"/>
        <w:kinsoku/>
        <w:autoSpaceDE/>
        <w:autoSpaceDN/>
        <w:adjustRightInd/>
        <w:spacing w:line="400" w:lineRule="exact"/>
        <w:ind w:firstLine="420" w:firstLineChars="200"/>
        <w:jc w:val="both"/>
        <w:textAlignment w:val="auto"/>
        <w:rPr>
          <w:rFonts w:hint="eastAsia" w:asciiTheme="minorEastAsia" w:hAnsiTheme="minorEastAsia" w:eastAsiaTheme="minorEastAsia"/>
          <w:snapToGrid/>
          <w:color w:val="000000" w:themeColor="text1"/>
          <w:kern w:val="2"/>
          <w:lang w:eastAsia="zh-CN"/>
          <w14:textFill>
            <w14:solidFill>
              <w14:schemeClr w14:val="tx1"/>
            </w14:solidFill>
          </w14:textFill>
        </w:rPr>
      </w:pPr>
      <w:r>
        <w:rPr>
          <w:rFonts w:asciiTheme="minorEastAsia" w:hAnsiTheme="minorEastAsia" w:eastAsiaTheme="minorEastAsia"/>
          <w:snapToGrid/>
          <w:color w:val="000000" w:themeColor="text1"/>
          <w:kern w:val="2"/>
          <w:lang w:eastAsia="zh-CN"/>
          <w14:textFill>
            <w14:solidFill>
              <w14:schemeClr w14:val="tx1"/>
            </w14:solidFill>
          </w14:textFill>
        </w:rPr>
        <w:t>以随机抽样的方式在被抽样生产者、销售者的待销产品中抽取。</w:t>
      </w:r>
    </w:p>
    <w:p w14:paraId="33A60EBD">
      <w:pPr>
        <w:widowControl w:val="0"/>
        <w:kinsoku/>
        <w:autoSpaceDE/>
        <w:autoSpaceDN/>
        <w:adjustRightInd/>
        <w:spacing w:line="400" w:lineRule="exact"/>
        <w:ind w:firstLine="420" w:firstLineChars="200"/>
        <w:jc w:val="both"/>
        <w:textAlignment w:val="auto"/>
        <w:rPr>
          <w:rFonts w:hint="eastAsia" w:asciiTheme="minorEastAsia" w:hAnsiTheme="minorEastAsia" w:eastAsiaTheme="minorEastAsia"/>
          <w:snapToGrid/>
          <w:color w:val="000000" w:themeColor="text1"/>
          <w:kern w:val="2"/>
          <w:lang w:eastAsia="zh-CN"/>
          <w14:textFill>
            <w14:solidFill>
              <w14:schemeClr w14:val="tx1"/>
            </w14:solidFill>
          </w14:textFill>
        </w:rPr>
      </w:pPr>
      <w:r>
        <w:rPr>
          <w:rFonts w:asciiTheme="minorEastAsia" w:hAnsiTheme="minorEastAsia" w:eastAsiaTheme="minorEastAsia"/>
          <w:snapToGrid/>
          <w:color w:val="000000" w:themeColor="text1"/>
          <w:kern w:val="2"/>
          <w:lang w:eastAsia="zh-CN"/>
          <w14:textFill>
            <w14:solidFill>
              <w14:schemeClr w14:val="tx1"/>
            </w14:solidFill>
          </w14:textFill>
        </w:rPr>
        <w:t>随机数一般可使用随</w:t>
      </w:r>
      <w:bookmarkStart w:id="0" w:name="_GoBack"/>
      <w:bookmarkEnd w:id="0"/>
      <w:r>
        <w:rPr>
          <w:rFonts w:asciiTheme="minorEastAsia" w:hAnsiTheme="minorEastAsia" w:eastAsiaTheme="minorEastAsia"/>
          <w:snapToGrid/>
          <w:color w:val="000000" w:themeColor="text1"/>
          <w:kern w:val="2"/>
          <w:lang w:eastAsia="zh-CN"/>
          <w14:textFill>
            <w14:solidFill>
              <w14:schemeClr w14:val="tx1"/>
            </w14:solidFill>
          </w14:textFill>
        </w:rPr>
        <w:t>机数表等方法产生。</w:t>
      </w:r>
    </w:p>
    <w:p w14:paraId="04903850">
      <w:pPr>
        <w:widowControl w:val="0"/>
        <w:kinsoku/>
        <w:autoSpaceDE/>
        <w:autoSpaceDN/>
        <w:adjustRightInd/>
        <w:spacing w:line="400" w:lineRule="exact"/>
        <w:ind w:firstLine="420" w:firstLineChars="200"/>
        <w:jc w:val="both"/>
        <w:textAlignment w:val="auto"/>
        <w:rPr>
          <w:rFonts w:hint="eastAsia" w:asciiTheme="minorEastAsia" w:hAnsiTheme="minorEastAsia" w:eastAsiaTheme="minorEastAsia"/>
          <w:snapToGrid/>
          <w:color w:val="000000" w:themeColor="text1"/>
          <w:kern w:val="2"/>
          <w:lang w:eastAsia="zh-CN"/>
          <w14:textFill>
            <w14:solidFill>
              <w14:schemeClr w14:val="tx1"/>
            </w14:solidFill>
          </w14:textFill>
        </w:rPr>
      </w:pPr>
      <w:r>
        <w:rPr>
          <w:rFonts w:hint="eastAsia" w:asciiTheme="minorEastAsia" w:hAnsiTheme="minorEastAsia" w:eastAsiaTheme="minorEastAsia"/>
          <w:snapToGrid/>
          <w:color w:val="000000" w:themeColor="text1"/>
          <w:kern w:val="2"/>
          <w:lang w:eastAsia="zh-CN"/>
          <w14:textFill>
            <w14:solidFill>
              <w14:schemeClr w14:val="tx1"/>
            </w14:solidFill>
          </w14:textFill>
        </w:rPr>
        <w:t>对直条热轧带肋钢筋取样时，随机抽取同一牌号、同一规格、同一批次产品的其中1捆钢筋，在该捆中随机抽取5根产品，每根截取长度为2000 mm的热轧带肋钢筋(从距离端头至少0.5 m处截取)，逐根编号为1～5，再把每根热轧带肋钢筋分成2支长度为1000 mm的样品，2支样品逐支编号标记,并一一对应（如1-a，1-b）。标记a的样品为检验样品，标记b的样品为备用样品。</w:t>
      </w:r>
    </w:p>
    <w:p w14:paraId="2BCD0BC3">
      <w:pPr>
        <w:widowControl w:val="0"/>
        <w:kinsoku/>
        <w:autoSpaceDE/>
        <w:autoSpaceDN/>
        <w:adjustRightInd/>
        <w:spacing w:line="400" w:lineRule="exact"/>
        <w:ind w:firstLine="420" w:firstLineChars="200"/>
        <w:jc w:val="both"/>
        <w:textAlignment w:val="auto"/>
        <w:rPr>
          <w:rFonts w:hint="eastAsia" w:asciiTheme="minorEastAsia" w:hAnsiTheme="minorEastAsia" w:eastAsiaTheme="minorEastAsia"/>
          <w:snapToGrid/>
          <w:color w:val="000000" w:themeColor="text1"/>
          <w:kern w:val="2"/>
          <w:lang w:eastAsia="zh-CN"/>
          <w14:textFill>
            <w14:solidFill>
              <w14:schemeClr w14:val="tx1"/>
            </w14:solidFill>
          </w14:textFill>
        </w:rPr>
      </w:pPr>
      <w:r>
        <w:rPr>
          <w:rFonts w:hint="eastAsia" w:asciiTheme="minorEastAsia" w:hAnsiTheme="minorEastAsia" w:eastAsiaTheme="minorEastAsia"/>
          <w:snapToGrid/>
          <w:color w:val="000000" w:themeColor="text1"/>
          <w:kern w:val="2"/>
          <w:lang w:eastAsia="zh-CN"/>
          <w14:textFill>
            <w14:solidFill>
              <w14:schemeClr w14:val="tx1"/>
            </w14:solidFill>
          </w14:textFill>
        </w:rPr>
        <w:t>对盘卷热轧带肋钢筋取样时，随机抽取同一牌号、同一规格、同一批次产品的5盘产品，在每盘热轧带肋钢筋上距端头至少2000 mm处，随机截取1根长度为2000 mm的热轧带肋钢筋，逐根编号为1～5，再把每根热轧带肋钢筋分成2支长度为1000 mm的样品，2支样品逐支编号标记,并一一对应（如1-a，1-b）。标记a的样品为检验样品，标记b的样品为备用样品。</w:t>
      </w:r>
    </w:p>
    <w:p w14:paraId="7449023E">
      <w:pPr>
        <w:widowControl w:val="0"/>
        <w:kinsoku/>
        <w:autoSpaceDE/>
        <w:autoSpaceDN/>
        <w:adjustRightInd/>
        <w:spacing w:line="400" w:lineRule="exact"/>
        <w:ind w:firstLine="420" w:firstLineChars="200"/>
        <w:jc w:val="both"/>
        <w:textAlignment w:val="auto"/>
        <w:rPr>
          <w:rFonts w:hint="eastAsia" w:asciiTheme="minorEastAsia" w:hAnsiTheme="minorEastAsia" w:eastAsiaTheme="minorEastAsia"/>
          <w:snapToGrid/>
          <w:color w:val="000000" w:themeColor="text1"/>
          <w:kern w:val="2"/>
          <w:lang w:eastAsia="zh-CN"/>
          <w14:textFill>
            <w14:solidFill>
              <w14:schemeClr w14:val="tx1"/>
            </w14:solidFill>
          </w14:textFill>
        </w:rPr>
      </w:pPr>
    </w:p>
    <w:p w14:paraId="2FE7EC86">
      <w:pPr>
        <w:widowControl w:val="0"/>
        <w:kinsoku/>
        <w:autoSpaceDE/>
        <w:autoSpaceDN/>
        <w:adjustRightInd/>
        <w:spacing w:line="400" w:lineRule="exact"/>
        <w:jc w:val="both"/>
        <w:textAlignment w:val="auto"/>
        <w:rPr>
          <w:rFonts w:hint="eastAsia" w:ascii="黑体" w:hAnsi="黑体" w:eastAsia="黑体"/>
          <w:snapToGrid/>
          <w:kern w:val="2"/>
          <w:lang w:eastAsia="zh-CN"/>
        </w:rPr>
      </w:pPr>
      <w:r>
        <w:rPr>
          <w:rFonts w:ascii="黑体" w:hAnsi="黑体" w:eastAsia="黑体"/>
          <w:snapToGrid/>
          <w:kern w:val="2"/>
          <w:lang w:eastAsia="zh-CN"/>
        </w:rPr>
        <w:t>2 检验依据</w:t>
      </w:r>
    </w:p>
    <w:p w14:paraId="6F69AF03">
      <w:pPr>
        <w:widowControl w:val="0"/>
        <w:kinsoku/>
        <w:autoSpaceDE/>
        <w:autoSpaceDN/>
        <w:spacing w:line="440" w:lineRule="exact"/>
        <w:jc w:val="center"/>
        <w:textAlignment w:val="auto"/>
        <w:rPr>
          <w:rFonts w:hint="eastAsia" w:ascii="黑体" w:hAnsi="黑体" w:eastAsia="黑体"/>
          <w:snapToGrid/>
          <w:color w:val="000000" w:themeColor="text1"/>
          <w:kern w:val="2"/>
          <w:lang w:eastAsia="zh-CN"/>
          <w14:textFill>
            <w14:solidFill>
              <w14:schemeClr w14:val="tx1"/>
            </w14:solidFill>
          </w14:textFill>
        </w:rPr>
      </w:pPr>
      <w:r>
        <w:rPr>
          <w:rFonts w:hint="eastAsia" w:ascii="黑体" w:hAnsi="黑体" w:eastAsia="黑体"/>
          <w:snapToGrid/>
          <w:color w:val="000000" w:themeColor="text1"/>
          <w:kern w:val="2"/>
          <w:lang w:eastAsia="zh-CN"/>
          <w14:textFill>
            <w14:solidFill>
              <w14:schemeClr w14:val="tx1"/>
            </w14:solidFill>
          </w14:textFill>
        </w:rPr>
        <w:t>表1  热轧带肋钢筋</w:t>
      </w:r>
    </w:p>
    <w:tbl>
      <w:tblPr>
        <w:tblStyle w:val="5"/>
        <w:tblW w:w="8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3240"/>
        <w:gridCol w:w="2520"/>
        <w:gridCol w:w="2520"/>
      </w:tblGrid>
      <w:tr w14:paraId="4564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697" w:type="dxa"/>
            <w:vAlign w:val="center"/>
          </w:tcPr>
          <w:p w14:paraId="446BFA3B">
            <w:pPr>
              <w:kinsoku/>
              <w:autoSpaceDE/>
              <w:autoSpaceDN/>
              <w:jc w:val="center"/>
              <w:textAlignment w:val="auto"/>
              <w:rPr>
                <w:rFonts w:hint="eastAsia" w:ascii="宋体" w:hAnsi="宋体" w:eastAsia="宋体" w:cs="宋体"/>
                <w:bCs/>
                <w:color w:val="auto"/>
              </w:rPr>
            </w:pPr>
            <w:r>
              <w:rPr>
                <w:rFonts w:hint="eastAsia" w:ascii="宋体" w:hAnsi="宋体" w:eastAsia="宋体" w:cs="宋体"/>
                <w:bCs/>
                <w:color w:val="auto"/>
              </w:rPr>
              <w:t>序号</w:t>
            </w:r>
          </w:p>
        </w:tc>
        <w:tc>
          <w:tcPr>
            <w:tcW w:w="3240" w:type="dxa"/>
            <w:vAlign w:val="center"/>
          </w:tcPr>
          <w:p w14:paraId="7D6B71E3">
            <w:pPr>
              <w:kinsoku/>
              <w:autoSpaceDE/>
              <w:autoSpaceDN/>
              <w:jc w:val="center"/>
              <w:textAlignment w:val="auto"/>
              <w:rPr>
                <w:rFonts w:hint="eastAsia" w:ascii="宋体" w:hAnsi="宋体" w:eastAsia="宋体" w:cs="宋体"/>
                <w:bCs/>
                <w:color w:val="auto"/>
              </w:rPr>
            </w:pPr>
            <w:r>
              <w:rPr>
                <w:rFonts w:hint="eastAsia" w:ascii="宋体" w:hAnsi="宋体" w:eastAsia="宋体" w:cs="宋体"/>
                <w:bCs/>
                <w:color w:val="auto"/>
              </w:rPr>
              <w:t>检验项目</w:t>
            </w:r>
          </w:p>
        </w:tc>
        <w:tc>
          <w:tcPr>
            <w:tcW w:w="2520" w:type="dxa"/>
            <w:vAlign w:val="center"/>
          </w:tcPr>
          <w:p w14:paraId="1DFD041C">
            <w:pPr>
              <w:kinsoku/>
              <w:autoSpaceDE/>
              <w:autoSpaceDN/>
              <w:jc w:val="center"/>
              <w:textAlignment w:val="auto"/>
              <w:rPr>
                <w:rFonts w:hint="eastAsia" w:ascii="宋体" w:hAnsi="宋体" w:eastAsia="宋体" w:cs="宋体"/>
                <w:bCs/>
                <w:color w:val="auto"/>
              </w:rPr>
            </w:pPr>
            <w:r>
              <w:rPr>
                <w:rFonts w:hint="eastAsia" w:ascii="宋体" w:hAnsi="宋体" w:eastAsia="宋体" w:cs="宋体"/>
                <w:bCs/>
                <w:color w:val="auto"/>
              </w:rPr>
              <w:t>依据标准</w:t>
            </w:r>
          </w:p>
        </w:tc>
        <w:tc>
          <w:tcPr>
            <w:tcW w:w="2520" w:type="dxa"/>
            <w:vAlign w:val="center"/>
          </w:tcPr>
          <w:p w14:paraId="0E93565B">
            <w:pPr>
              <w:kinsoku/>
              <w:autoSpaceDE/>
              <w:autoSpaceDN/>
              <w:jc w:val="center"/>
              <w:textAlignment w:val="auto"/>
              <w:rPr>
                <w:rFonts w:hint="eastAsia" w:ascii="宋体" w:hAnsi="宋体" w:eastAsia="宋体" w:cs="宋体"/>
                <w:bCs/>
                <w:color w:val="auto"/>
              </w:rPr>
            </w:pPr>
            <w:r>
              <w:rPr>
                <w:rFonts w:hint="eastAsia" w:ascii="宋体" w:hAnsi="宋体" w:eastAsia="宋体" w:cs="宋体"/>
                <w:bCs/>
                <w:color w:val="auto"/>
              </w:rPr>
              <w:t>检测方法</w:t>
            </w:r>
          </w:p>
        </w:tc>
      </w:tr>
      <w:tr w14:paraId="04BA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7" w:type="dxa"/>
            <w:vAlign w:val="center"/>
          </w:tcPr>
          <w:p w14:paraId="3D754B05">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1</w:t>
            </w:r>
          </w:p>
        </w:tc>
        <w:tc>
          <w:tcPr>
            <w:tcW w:w="3240" w:type="dxa"/>
            <w:vAlign w:val="center"/>
          </w:tcPr>
          <w:p w14:paraId="57CBE2EB">
            <w:pPr>
              <w:kinsoku/>
              <w:autoSpaceDE/>
              <w:autoSpaceDN/>
              <w:jc w:val="center"/>
              <w:textAlignment w:val="auto"/>
              <w:rPr>
                <w:rFonts w:hint="eastAsia" w:ascii="宋体" w:hAnsi="宋体" w:eastAsia="宋体" w:cs="宋体"/>
                <w:color w:val="auto"/>
                <w:lang w:eastAsia="zh-CN"/>
              </w:rPr>
            </w:pPr>
            <w:r>
              <w:rPr>
                <w:rFonts w:hint="eastAsia" w:ascii="宋体" w:hAnsi="宋体" w:eastAsia="宋体" w:cs="宋体"/>
                <w:color w:val="auto"/>
                <w:lang w:eastAsia="zh-CN"/>
              </w:rPr>
              <w:t>尺寸(内径、横肋高、纵肋高、间距)</w:t>
            </w:r>
          </w:p>
        </w:tc>
        <w:tc>
          <w:tcPr>
            <w:tcW w:w="2520" w:type="dxa"/>
            <w:vAlign w:val="center"/>
          </w:tcPr>
          <w:p w14:paraId="43CD44FC">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w:t>
            </w:r>
          </w:p>
        </w:tc>
        <w:tc>
          <w:tcPr>
            <w:tcW w:w="2520" w:type="dxa"/>
            <w:vAlign w:val="center"/>
          </w:tcPr>
          <w:p w14:paraId="34DC5BCD">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 7.3</w:t>
            </w:r>
          </w:p>
        </w:tc>
      </w:tr>
      <w:tr w14:paraId="582A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7" w:type="dxa"/>
            <w:vAlign w:val="center"/>
          </w:tcPr>
          <w:p w14:paraId="06FF0969">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2</w:t>
            </w:r>
          </w:p>
        </w:tc>
        <w:tc>
          <w:tcPr>
            <w:tcW w:w="3240" w:type="dxa"/>
            <w:vAlign w:val="center"/>
          </w:tcPr>
          <w:p w14:paraId="0118B6B9">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重量偏差</w:t>
            </w:r>
          </w:p>
        </w:tc>
        <w:tc>
          <w:tcPr>
            <w:tcW w:w="2520" w:type="dxa"/>
            <w:vAlign w:val="center"/>
          </w:tcPr>
          <w:p w14:paraId="2C2685D0">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w:t>
            </w:r>
          </w:p>
        </w:tc>
        <w:tc>
          <w:tcPr>
            <w:tcW w:w="2520" w:type="dxa"/>
            <w:vAlign w:val="center"/>
          </w:tcPr>
          <w:p w14:paraId="5CE855A7">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 7.4</w:t>
            </w:r>
          </w:p>
        </w:tc>
      </w:tr>
      <w:tr w14:paraId="01B1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7" w:type="dxa"/>
            <w:vAlign w:val="center"/>
          </w:tcPr>
          <w:p w14:paraId="7CDC87F2">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3</w:t>
            </w:r>
          </w:p>
        </w:tc>
        <w:tc>
          <w:tcPr>
            <w:tcW w:w="3240" w:type="dxa"/>
            <w:vAlign w:val="center"/>
          </w:tcPr>
          <w:p w14:paraId="33584FDE">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化学成分(C、Si、Mn、P、S)</w:t>
            </w:r>
          </w:p>
        </w:tc>
        <w:tc>
          <w:tcPr>
            <w:tcW w:w="2520" w:type="dxa"/>
            <w:vAlign w:val="center"/>
          </w:tcPr>
          <w:p w14:paraId="5DFCC25A">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w:t>
            </w:r>
          </w:p>
        </w:tc>
        <w:tc>
          <w:tcPr>
            <w:tcW w:w="2520" w:type="dxa"/>
            <w:vAlign w:val="center"/>
          </w:tcPr>
          <w:p w14:paraId="44B8D435">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 7.1.2</w:t>
            </w:r>
          </w:p>
        </w:tc>
      </w:tr>
      <w:tr w14:paraId="5BE8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7" w:type="dxa"/>
            <w:vAlign w:val="center"/>
          </w:tcPr>
          <w:p w14:paraId="1B96B216">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4</w:t>
            </w:r>
          </w:p>
        </w:tc>
        <w:tc>
          <w:tcPr>
            <w:tcW w:w="3240" w:type="dxa"/>
            <w:vAlign w:val="center"/>
          </w:tcPr>
          <w:p w14:paraId="7F3AB036">
            <w:pPr>
              <w:kinsoku/>
              <w:autoSpaceDE/>
              <w:autoSpaceDN/>
              <w:jc w:val="center"/>
              <w:textAlignment w:val="auto"/>
              <w:rPr>
                <w:rFonts w:hint="eastAsia" w:ascii="宋体" w:hAnsi="宋体" w:eastAsia="宋体" w:cs="宋体"/>
                <w:color w:val="auto"/>
                <w:lang w:eastAsia="zh-CN"/>
              </w:rPr>
            </w:pPr>
            <w:r>
              <w:rPr>
                <w:rFonts w:hint="eastAsia" w:ascii="宋体" w:hAnsi="宋体" w:eastAsia="宋体" w:cs="宋体"/>
                <w:color w:val="auto"/>
                <w:lang w:eastAsia="zh-CN"/>
              </w:rPr>
              <w:t>力学性能（抗拉强度、下屈服强度、断后伸长率）</w:t>
            </w:r>
          </w:p>
        </w:tc>
        <w:tc>
          <w:tcPr>
            <w:tcW w:w="2520" w:type="dxa"/>
            <w:vAlign w:val="center"/>
          </w:tcPr>
          <w:p w14:paraId="0986FDA2">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w:t>
            </w:r>
          </w:p>
        </w:tc>
        <w:tc>
          <w:tcPr>
            <w:tcW w:w="2520" w:type="dxa"/>
            <w:vAlign w:val="center"/>
          </w:tcPr>
          <w:p w14:paraId="1ABCE6A0">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GB/T 28900-2022和GB 1499.2-2024 7.2</w:t>
            </w:r>
          </w:p>
        </w:tc>
      </w:tr>
      <w:tr w14:paraId="732E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7" w:type="dxa"/>
            <w:vAlign w:val="center"/>
          </w:tcPr>
          <w:p w14:paraId="7BBE4103">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5</w:t>
            </w:r>
          </w:p>
        </w:tc>
        <w:tc>
          <w:tcPr>
            <w:tcW w:w="3240" w:type="dxa"/>
            <w:vAlign w:val="center"/>
          </w:tcPr>
          <w:p w14:paraId="4CD11529">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弯曲性能、反向弯曲</w:t>
            </w:r>
          </w:p>
        </w:tc>
        <w:tc>
          <w:tcPr>
            <w:tcW w:w="2520" w:type="dxa"/>
            <w:vAlign w:val="center"/>
          </w:tcPr>
          <w:p w14:paraId="0C25B684">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w:t>
            </w:r>
          </w:p>
        </w:tc>
        <w:tc>
          <w:tcPr>
            <w:tcW w:w="2520" w:type="dxa"/>
            <w:vAlign w:val="center"/>
          </w:tcPr>
          <w:p w14:paraId="1DD799A8">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GB/T 28900-2022和GB 1499.2-2024 7.2</w:t>
            </w:r>
          </w:p>
        </w:tc>
      </w:tr>
      <w:tr w14:paraId="11EE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7" w:type="dxa"/>
            <w:vAlign w:val="center"/>
          </w:tcPr>
          <w:p w14:paraId="5A4777E9">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6</w:t>
            </w:r>
          </w:p>
        </w:tc>
        <w:tc>
          <w:tcPr>
            <w:tcW w:w="3240" w:type="dxa"/>
            <w:vAlign w:val="center"/>
          </w:tcPr>
          <w:p w14:paraId="02D01B5C">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金相组织</w:t>
            </w:r>
          </w:p>
        </w:tc>
        <w:tc>
          <w:tcPr>
            <w:tcW w:w="2520" w:type="dxa"/>
            <w:vAlign w:val="center"/>
          </w:tcPr>
          <w:p w14:paraId="04B6599D">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GB 1499.2-2024</w:t>
            </w:r>
          </w:p>
        </w:tc>
        <w:tc>
          <w:tcPr>
            <w:tcW w:w="2520" w:type="dxa"/>
            <w:vAlign w:val="center"/>
          </w:tcPr>
          <w:p w14:paraId="6298908F">
            <w:pPr>
              <w:kinsoku/>
              <w:autoSpaceDE/>
              <w:autoSpaceDN/>
              <w:jc w:val="center"/>
              <w:textAlignment w:val="auto"/>
              <w:rPr>
                <w:rFonts w:hint="eastAsia" w:ascii="宋体" w:hAnsi="宋体" w:eastAsia="宋体" w:cs="宋体"/>
                <w:color w:val="auto"/>
              </w:rPr>
            </w:pPr>
            <w:r>
              <w:rPr>
                <w:rFonts w:hint="eastAsia" w:ascii="宋体" w:hAnsi="宋体" w:eastAsia="宋体" w:cs="宋体"/>
                <w:color w:val="auto"/>
              </w:rPr>
              <w:t xml:space="preserve">GB/T </w:t>
            </w:r>
            <w:r>
              <w:rPr>
                <w:rFonts w:hint="eastAsia" w:ascii="宋体" w:hAnsi="宋体" w:eastAsia="宋体" w:cs="宋体"/>
                <w:color w:val="auto"/>
                <w:lang w:eastAsia="zh-CN"/>
              </w:rPr>
              <w:t>13298</w:t>
            </w:r>
            <w:r>
              <w:rPr>
                <w:rFonts w:hint="eastAsia" w:ascii="宋体" w:hAnsi="宋体" w:eastAsia="宋体" w:cs="宋体"/>
                <w:color w:val="auto"/>
              </w:rPr>
              <w:t>-20</w:t>
            </w:r>
            <w:r>
              <w:rPr>
                <w:rFonts w:hint="eastAsia" w:ascii="宋体" w:hAnsi="宋体" w:eastAsia="宋体" w:cs="宋体"/>
                <w:color w:val="auto"/>
                <w:lang w:eastAsia="zh-CN"/>
              </w:rPr>
              <w:t>15和</w:t>
            </w:r>
            <w:r>
              <w:rPr>
                <w:rFonts w:hint="eastAsia" w:ascii="宋体" w:hAnsi="宋体" w:eastAsia="宋体" w:cs="宋体"/>
                <w:color w:val="auto"/>
              </w:rPr>
              <w:t>GB 1499.2-2024 附录B</w:t>
            </w:r>
          </w:p>
        </w:tc>
      </w:tr>
    </w:tbl>
    <w:p w14:paraId="0E99D87D">
      <w:pPr>
        <w:rPr>
          <w:rFonts w:eastAsia="等线"/>
          <w:lang w:eastAsia="zh-CN"/>
        </w:rPr>
      </w:pPr>
    </w:p>
    <w:p w14:paraId="3F12DF3E">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执行企业标准、团体标准、地方标准的产品，检验项目参照上述内容执行。</w:t>
      </w:r>
    </w:p>
    <w:p w14:paraId="520B3154">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凡是注日期的文件，其随后所有的修改单（不包括勘误的内容）或修订版不适用于本细则。凡是不注日期的文件，其最新版本适用于本细则。</w:t>
      </w:r>
    </w:p>
    <w:p w14:paraId="12703B42">
      <w:pPr>
        <w:widowControl w:val="0"/>
        <w:kinsoku/>
        <w:autoSpaceDE/>
        <w:autoSpaceDN/>
        <w:adjustRightInd/>
        <w:spacing w:line="400" w:lineRule="exact"/>
        <w:jc w:val="both"/>
        <w:textAlignment w:val="auto"/>
        <w:rPr>
          <w:rFonts w:hint="eastAsia" w:ascii="黑体" w:hAnsi="黑体" w:eastAsia="黑体"/>
          <w:snapToGrid/>
          <w:kern w:val="2"/>
          <w:lang w:eastAsia="zh-CN"/>
        </w:rPr>
      </w:pPr>
      <w:r>
        <w:rPr>
          <w:rFonts w:ascii="黑体" w:hAnsi="黑体" w:eastAsia="黑体"/>
          <w:snapToGrid/>
          <w:kern w:val="2"/>
          <w:lang w:eastAsia="zh-CN"/>
        </w:rPr>
        <w:t>3 判定规则</w:t>
      </w:r>
    </w:p>
    <w:p w14:paraId="769E2159">
      <w:pPr>
        <w:widowControl w:val="0"/>
        <w:kinsoku/>
        <w:autoSpaceDE/>
        <w:autoSpaceDN/>
        <w:adjustRightInd/>
        <w:spacing w:line="400" w:lineRule="exact"/>
        <w:jc w:val="both"/>
        <w:textAlignment w:val="auto"/>
        <w:rPr>
          <w:rFonts w:hint="eastAsia" w:ascii="宋体" w:hAnsi="宋体" w:eastAsia="宋体"/>
          <w:snapToGrid/>
          <w:kern w:val="2"/>
          <w:lang w:eastAsia="zh-CN"/>
        </w:rPr>
      </w:pPr>
      <w:r>
        <w:rPr>
          <w:rFonts w:ascii="宋体" w:hAnsi="宋体" w:eastAsia="宋体"/>
          <w:snapToGrid/>
          <w:kern w:val="2"/>
          <w:lang w:eastAsia="zh-CN"/>
        </w:rPr>
        <w:t>3.1 依据标准</w:t>
      </w:r>
    </w:p>
    <w:p w14:paraId="2B725363">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hint="eastAsia" w:ascii="宋体" w:hAnsi="宋体" w:eastAsia="宋体"/>
          <w:snapToGrid/>
          <w:kern w:val="2"/>
          <w:lang w:eastAsia="zh-CN"/>
        </w:rPr>
        <w:t>GB 1499.2-2024  钢筋混凝土用钢 第2部分 热轧带肋钢筋</w:t>
      </w:r>
    </w:p>
    <w:p w14:paraId="5BF5C0C6">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现行有效的企业标准、团体标准、地方标准及产品明示质量要求</w:t>
      </w:r>
    </w:p>
    <w:p w14:paraId="7DF15487">
      <w:pPr>
        <w:widowControl w:val="0"/>
        <w:kinsoku/>
        <w:autoSpaceDE/>
        <w:autoSpaceDN/>
        <w:adjustRightInd/>
        <w:spacing w:line="400" w:lineRule="exact"/>
        <w:jc w:val="both"/>
        <w:textAlignment w:val="auto"/>
        <w:rPr>
          <w:rFonts w:hint="eastAsia" w:ascii="宋体" w:hAnsi="宋体" w:eastAsia="宋体"/>
          <w:snapToGrid/>
          <w:kern w:val="2"/>
          <w:lang w:eastAsia="zh-CN"/>
        </w:rPr>
      </w:pPr>
      <w:r>
        <w:rPr>
          <w:rFonts w:ascii="宋体" w:hAnsi="宋体" w:eastAsia="宋体"/>
          <w:snapToGrid/>
          <w:kern w:val="2"/>
          <w:lang w:eastAsia="zh-CN"/>
        </w:rPr>
        <w:t>3.2 判定原则</w:t>
      </w:r>
    </w:p>
    <w:p w14:paraId="2E44AEC3">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经检验，检验项目全部合格，判定为被抽查产品所检项目未发现不合格；检验项目中任一项或一项以上不合格，判定为被抽查产品不合格。</w:t>
      </w:r>
    </w:p>
    <w:p w14:paraId="1BF14216">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若被检产品明示的质量要求高于本细则中检验项目依据的标准要求时，应按被检产品明示的质量要求判定。</w:t>
      </w:r>
    </w:p>
    <w:p w14:paraId="11811844">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若被检产品明示的质量要求低于本细则中检验项目依据的强制性标准要求时，应按照强制性标准要求判定。</w:t>
      </w:r>
    </w:p>
    <w:p w14:paraId="208CAD1D">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若被检产品明示的质量要求低于或包含本细则中检验项目依据的推荐性标准要求时，应以被检产品明示的质量要求判定。</w:t>
      </w:r>
    </w:p>
    <w:p w14:paraId="4FDA0528">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若被检产品明示的质量要求缺少本细则中检验项目依据的强制性标准要求时，应按照强制性标准要求判定。</w:t>
      </w:r>
    </w:p>
    <w:p w14:paraId="7A049E47">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ascii="宋体" w:hAnsi="宋体" w:eastAsia="宋体"/>
          <w:snapToGrid/>
          <w:kern w:val="2"/>
          <w:lang w:eastAsia="zh-CN"/>
        </w:rPr>
        <w:t>若被检产品明示的质量要求缺少本细则中检验项目依据的推荐性标准要求时，该项目不参与判定。</w:t>
      </w:r>
    </w:p>
    <w:p w14:paraId="1E390654">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p>
    <w:sectPr>
      <w:pgSz w:w="11906" w:h="16839"/>
      <w:pgMar w:top="1440" w:right="1800" w:bottom="1440" w:left="1800" w:header="0" w:footer="115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yYzI4YzljYWU1MmY0YWVkY2QwZWQ4YjcyNTAyZDAifQ=="/>
  </w:docVars>
  <w:rsids>
    <w:rsidRoot w:val="00EB5D20"/>
    <w:rsid w:val="000C1053"/>
    <w:rsid w:val="00150523"/>
    <w:rsid w:val="00153B37"/>
    <w:rsid w:val="002A2BE9"/>
    <w:rsid w:val="005F16C3"/>
    <w:rsid w:val="00756ECF"/>
    <w:rsid w:val="00776745"/>
    <w:rsid w:val="007E19A8"/>
    <w:rsid w:val="00871269"/>
    <w:rsid w:val="00A72272"/>
    <w:rsid w:val="00AB126A"/>
    <w:rsid w:val="00C61BA5"/>
    <w:rsid w:val="00C719EF"/>
    <w:rsid w:val="00C83636"/>
    <w:rsid w:val="00DF5C17"/>
    <w:rsid w:val="00EB5D20"/>
    <w:rsid w:val="00F11264"/>
    <w:rsid w:val="00F916B1"/>
    <w:rsid w:val="00F96375"/>
    <w:rsid w:val="0E1C5AFD"/>
    <w:rsid w:val="17891CD3"/>
    <w:rsid w:val="1C3C5A5F"/>
    <w:rsid w:val="1CE83C95"/>
    <w:rsid w:val="3351443E"/>
    <w:rsid w:val="3AE548FC"/>
    <w:rsid w:val="3B561D9F"/>
    <w:rsid w:val="3C664AD7"/>
    <w:rsid w:val="47CE7720"/>
    <w:rsid w:val="4F385399"/>
    <w:rsid w:val="539C256A"/>
    <w:rsid w:val="542C5727"/>
    <w:rsid w:val="58381A4A"/>
    <w:rsid w:val="598A2A90"/>
    <w:rsid w:val="67E67E83"/>
    <w:rsid w:val="6F571666"/>
    <w:rsid w:val="75942425"/>
    <w:rsid w:val="7AC826ED"/>
    <w:rsid w:val="7CAF1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Times New Roman" w:hAnsi="Times New Roman" w:eastAsia="Arial" w:cs="Times New Roman"/>
      <w:snapToGrid w:val="0"/>
      <w:color w:val="000000"/>
      <w:sz w:val="21"/>
      <w:szCs w:val="21"/>
      <w:lang w:val="en-US" w:eastAsia="en-US"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next w:val="1"/>
    <w:autoRedefine/>
    <w:semiHidden/>
    <w:qFormat/>
    <w:uiPriority w:val="0"/>
    <w:rPr>
      <w:rFonts w:ascii="宋体" w:hAnsi="宋体" w:eastAsia="宋体" w:cs="宋体"/>
      <w:sz w:val="20"/>
      <w:szCs w:val="20"/>
    </w:rPr>
  </w:style>
  <w:style w:type="paragraph" w:styleId="3">
    <w:name w:val="footer"/>
    <w:basedOn w:val="1"/>
    <w:qFormat/>
    <w:uiPriority w:val="0"/>
    <w:pPr>
      <w:tabs>
        <w:tab w:val="center" w:pos="4153"/>
        <w:tab w:val="right" w:pos="8306"/>
      </w:tabs>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7">
    <w:name w:val="章标题"/>
    <w:next w:val="1"/>
    <w:qFormat/>
    <w:uiPriority w:val="0"/>
    <w:pPr>
      <w:spacing w:beforeLines="50" w:afterLines="50" w:line="336" w:lineRule="auto"/>
      <w:jc w:val="both"/>
      <w:outlineLvl w:val="1"/>
    </w:pPr>
    <w:rPr>
      <w:rFonts w:ascii="黑体" w:hAnsi="Calibri" w:eastAsia="黑体" w:cs="Times New Roman"/>
      <w:sz w:val="21"/>
      <w:szCs w:val="21"/>
      <w:lang w:val="en-US" w:eastAsia="zh-CN" w:bidi="ar-SA"/>
    </w:rPr>
  </w:style>
  <w:style w:type="table" w:customStyle="1" w:styleId="8">
    <w:name w:val="Table Normal"/>
    <w:autoRedefine/>
    <w:unhideWhenUsed/>
    <w:qFormat/>
    <w:uiPriority w:val="0"/>
    <w:tblPr>
      <w:tblCellMar>
        <w:top w:w="0" w:type="dxa"/>
        <w:left w:w="0" w:type="dxa"/>
        <w:bottom w:w="0" w:type="dxa"/>
        <w:right w:w="0" w:type="dxa"/>
      </w:tblCellMar>
    </w:tblPr>
  </w:style>
  <w:style w:type="paragraph" w:customStyle="1" w:styleId="9">
    <w:name w:val="Table Text"/>
    <w:basedOn w:val="1"/>
    <w:autoRedefine/>
    <w:semiHidden/>
    <w:qFormat/>
    <w:uiPriority w:val="0"/>
    <w:rPr>
      <w:rFonts w:eastAsia="Times New Roman"/>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992</Words>
  <Characters>1224</Characters>
  <Lines>9</Lines>
  <Paragraphs>2</Paragraphs>
  <TotalTime>9</TotalTime>
  <ScaleCrop>false</ScaleCrop>
  <LinksUpToDate>false</LinksUpToDate>
  <CharactersWithSpaces>1263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2026-05-21T01:56:00Z</dcterms:created>
  <dc:creator>oa</dc:creator>
  <cp:lastModifiedBy>袁子斐</cp:lastModifiedBy>
  <dcterms:modified xsi:type="dcterms:W3CDTF">2026-09-29T02:56:33Z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2025-03-21T13:57:19Z</vt:filetime>
  </property>
  <property fmtid="{D5CDD505-2E9C-101B-9397-08002B2CF9AE}" pid="4" name="KSOTemplateDocerSaveRecord">
    <vt:lpwstr>eyJoZGlkIjoiMzRkOGExODk2NGRjNmZmNzUxOWI1ZThlY2M2NDk0MjEiLCJ1c2VySWQiOiIxNjQwMzAxNjMwIn0=</vt:lpwstr>
  </property>
  <property fmtid="{D5CDD505-2E9C-101B-9397-08002B2CF9AE}" pid="5" name="KSOProductBuildVer">
    <vt:lpwstr>2052-12.1.0.19302</vt:lpwstr>
  </property>
  <property fmtid="{D5CDD505-2E9C-101B-9397-08002B2CF9AE}" pid="6" name="ICV">
    <vt:lpwstr>119D01DB0F104F31A0DC85CABBAA0AA4_13</vt:lpwstr>
  </property>
</Properties>
</file>