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BA84D">
      <w:pPr>
        <w:ind w:firstLine="0" w:firstLineChars="0"/>
        <w:jc w:val="center"/>
        <w:rPr>
          <w:rFonts w:eastAsia="方正小标宋简体"/>
          <w:b/>
          <w:bCs/>
          <w:sz w:val="36"/>
          <w:szCs w:val="36"/>
        </w:rPr>
      </w:pPr>
      <w:r>
        <w:rPr>
          <w:rFonts w:eastAsia="方正小标宋简体"/>
          <w:b/>
          <w:bCs/>
          <w:sz w:val="36"/>
          <w:szCs w:val="36"/>
        </w:rPr>
        <w:t>目  录</w:t>
      </w:r>
    </w:p>
    <w:p w14:paraId="0561C1EB">
      <w:pPr>
        <w:pStyle w:val="12"/>
        <w:tabs>
          <w:tab w:val="right" w:leader="dot" w:pos="8306"/>
        </w:tabs>
      </w:pPr>
      <w:r>
        <w:fldChar w:fldCharType="begin"/>
      </w:r>
      <w:r>
        <w:instrText xml:space="preserve">TOC \o "1-3" \h \u </w:instrText>
      </w:r>
      <w:r>
        <w:fldChar w:fldCharType="separate"/>
      </w:r>
      <w:r>
        <w:fldChar w:fldCharType="begin"/>
      </w:r>
      <w:r>
        <w:instrText xml:space="preserve"> HYPERLINK \l _Toc3596 </w:instrText>
      </w:r>
      <w:r>
        <w:fldChar w:fldCharType="separate"/>
      </w:r>
      <w:r>
        <w:t>摘  要</w:t>
      </w:r>
      <w:r>
        <w:tab/>
      </w:r>
      <w:r>
        <w:fldChar w:fldCharType="begin"/>
      </w:r>
      <w:r>
        <w:instrText xml:space="preserve"> PAGEREF _Toc3596 \h </w:instrText>
      </w:r>
      <w:r>
        <w:fldChar w:fldCharType="separate"/>
      </w:r>
      <w:r>
        <w:t>1</w:t>
      </w:r>
      <w:r>
        <w:fldChar w:fldCharType="end"/>
      </w:r>
      <w:r>
        <w:fldChar w:fldCharType="end"/>
      </w:r>
    </w:p>
    <w:p w14:paraId="2A4FD1EF">
      <w:pPr>
        <w:pStyle w:val="13"/>
        <w:tabs>
          <w:tab w:val="right" w:leader="dot" w:pos="8306"/>
        </w:tabs>
      </w:pPr>
      <w:r>
        <w:fldChar w:fldCharType="begin"/>
      </w:r>
      <w:r>
        <w:instrText xml:space="preserve"> HYPERLINK \l _Toc24290 </w:instrText>
      </w:r>
      <w:r>
        <w:fldChar w:fldCharType="separate"/>
      </w:r>
      <w:r>
        <w:t>一、项目基本情况</w:t>
      </w:r>
      <w:r>
        <w:tab/>
      </w:r>
      <w:r>
        <w:fldChar w:fldCharType="begin"/>
      </w:r>
      <w:r>
        <w:instrText xml:space="preserve"> PAGEREF _Toc24290 \h </w:instrText>
      </w:r>
      <w:r>
        <w:fldChar w:fldCharType="separate"/>
      </w:r>
      <w:r>
        <w:t>1</w:t>
      </w:r>
      <w:r>
        <w:fldChar w:fldCharType="end"/>
      </w:r>
      <w:r>
        <w:fldChar w:fldCharType="end"/>
      </w:r>
    </w:p>
    <w:p w14:paraId="7BFFE691">
      <w:pPr>
        <w:pStyle w:val="13"/>
        <w:tabs>
          <w:tab w:val="right" w:leader="dot" w:pos="8306"/>
        </w:tabs>
      </w:pPr>
      <w:r>
        <w:fldChar w:fldCharType="begin"/>
      </w:r>
      <w:r>
        <w:instrText xml:space="preserve"> HYPERLINK \l _Toc6414 </w:instrText>
      </w:r>
      <w:r>
        <w:fldChar w:fldCharType="separate"/>
      </w:r>
      <w:r>
        <w:rPr>
          <w:rFonts w:ascii="Times New Roman" w:hAnsi="Times New Roman" w:cs="Times New Roman"/>
          <w:bCs w:val="0"/>
          <w:highlight w:val="none"/>
        </w:rPr>
        <w:t>二、绩效评价结论</w:t>
      </w:r>
      <w:r>
        <w:tab/>
      </w:r>
      <w:r>
        <w:fldChar w:fldCharType="begin"/>
      </w:r>
      <w:r>
        <w:instrText xml:space="preserve"> PAGEREF _Toc6414 \h </w:instrText>
      </w:r>
      <w:r>
        <w:fldChar w:fldCharType="separate"/>
      </w:r>
      <w:r>
        <w:t>1</w:t>
      </w:r>
      <w:r>
        <w:fldChar w:fldCharType="end"/>
      </w:r>
      <w:r>
        <w:fldChar w:fldCharType="end"/>
      </w:r>
    </w:p>
    <w:p w14:paraId="4B0932BE">
      <w:pPr>
        <w:pStyle w:val="13"/>
        <w:tabs>
          <w:tab w:val="right" w:leader="dot" w:pos="8306"/>
        </w:tabs>
      </w:pPr>
      <w:r>
        <w:fldChar w:fldCharType="begin"/>
      </w:r>
      <w:r>
        <w:instrText xml:space="preserve"> HYPERLINK \l _Toc1966 </w:instrText>
      </w:r>
      <w:r>
        <w:fldChar w:fldCharType="separate"/>
      </w:r>
      <w:r>
        <w:rPr>
          <w:rFonts w:ascii="Times New Roman" w:hAnsi="Times New Roman" w:cs="Times New Roman"/>
          <w:bCs w:val="0"/>
          <w:highlight w:val="none"/>
        </w:rPr>
        <w:t>三、主要业绩与经验</w:t>
      </w:r>
      <w:r>
        <w:tab/>
      </w:r>
      <w:r>
        <w:fldChar w:fldCharType="begin"/>
      </w:r>
      <w:r>
        <w:instrText xml:space="preserve"> PAGEREF _Toc1966 \h </w:instrText>
      </w:r>
      <w:r>
        <w:fldChar w:fldCharType="separate"/>
      </w:r>
      <w:r>
        <w:t>2</w:t>
      </w:r>
      <w:r>
        <w:fldChar w:fldCharType="end"/>
      </w:r>
      <w:r>
        <w:fldChar w:fldCharType="end"/>
      </w:r>
    </w:p>
    <w:p w14:paraId="5E20B365">
      <w:pPr>
        <w:pStyle w:val="13"/>
        <w:tabs>
          <w:tab w:val="right" w:leader="dot" w:pos="8306"/>
        </w:tabs>
      </w:pPr>
      <w:r>
        <w:fldChar w:fldCharType="begin"/>
      </w:r>
      <w:r>
        <w:instrText xml:space="preserve"> HYPERLINK \l _Toc15063 </w:instrText>
      </w:r>
      <w:r>
        <w:fldChar w:fldCharType="separate"/>
      </w:r>
      <w:r>
        <w:rPr>
          <w:rFonts w:ascii="Times New Roman" w:hAnsi="Times New Roman" w:cs="Times New Roman"/>
          <w:bCs w:val="0"/>
          <w:highlight w:val="none"/>
        </w:rPr>
        <w:t>四、存在的主要问题</w:t>
      </w:r>
      <w:r>
        <w:tab/>
      </w:r>
      <w:r>
        <w:fldChar w:fldCharType="begin"/>
      </w:r>
      <w:r>
        <w:instrText xml:space="preserve"> PAGEREF _Toc15063 \h </w:instrText>
      </w:r>
      <w:r>
        <w:fldChar w:fldCharType="separate"/>
      </w:r>
      <w:r>
        <w:t>2</w:t>
      </w:r>
      <w:r>
        <w:fldChar w:fldCharType="end"/>
      </w:r>
      <w:r>
        <w:fldChar w:fldCharType="end"/>
      </w:r>
    </w:p>
    <w:p w14:paraId="7E05561B">
      <w:pPr>
        <w:pStyle w:val="13"/>
        <w:tabs>
          <w:tab w:val="right" w:leader="dot" w:pos="8306"/>
        </w:tabs>
      </w:pPr>
      <w:r>
        <w:fldChar w:fldCharType="begin"/>
      </w:r>
      <w:r>
        <w:instrText xml:space="preserve"> HYPERLINK \l _Toc24821 </w:instrText>
      </w:r>
      <w:r>
        <w:fldChar w:fldCharType="separate"/>
      </w:r>
      <w:r>
        <w:rPr>
          <w:rFonts w:ascii="Times New Roman" w:hAnsi="Times New Roman" w:cs="Times New Roman"/>
          <w:bCs w:val="0"/>
          <w:highlight w:val="none"/>
        </w:rPr>
        <w:t>五、相关建议和措施</w:t>
      </w:r>
      <w:r>
        <w:tab/>
      </w:r>
      <w:r>
        <w:fldChar w:fldCharType="begin"/>
      </w:r>
      <w:r>
        <w:instrText xml:space="preserve"> PAGEREF _Toc24821 \h </w:instrText>
      </w:r>
      <w:r>
        <w:fldChar w:fldCharType="separate"/>
      </w:r>
      <w:r>
        <w:t>3</w:t>
      </w:r>
      <w:r>
        <w:fldChar w:fldCharType="end"/>
      </w:r>
      <w:r>
        <w:fldChar w:fldCharType="end"/>
      </w:r>
    </w:p>
    <w:p w14:paraId="68154791">
      <w:pPr>
        <w:pStyle w:val="12"/>
        <w:tabs>
          <w:tab w:val="right" w:leader="dot" w:pos="8306"/>
        </w:tabs>
      </w:pPr>
      <w:r>
        <w:fldChar w:fldCharType="begin"/>
      </w:r>
      <w:r>
        <w:instrText xml:space="preserve"> HYPERLINK \l _Toc14782 </w:instrText>
      </w:r>
      <w:r>
        <w:fldChar w:fldCharType="separate"/>
      </w:r>
      <w:r>
        <w:rPr>
          <w:rFonts w:hint="eastAsia"/>
        </w:rPr>
        <w:t>绩效评价</w:t>
      </w:r>
      <w:r>
        <w:t>报告</w:t>
      </w:r>
      <w:r>
        <w:rPr>
          <w:rFonts w:hint="eastAsia"/>
          <w:lang w:val="en-US" w:eastAsia="zh-CN"/>
        </w:rPr>
        <w:t>正文</w:t>
      </w:r>
      <w:r>
        <w:tab/>
      </w:r>
      <w:r>
        <w:fldChar w:fldCharType="begin"/>
      </w:r>
      <w:r>
        <w:instrText xml:space="preserve"> PAGEREF _Toc14782 \h </w:instrText>
      </w:r>
      <w:r>
        <w:fldChar w:fldCharType="separate"/>
      </w:r>
      <w:r>
        <w:t>1</w:t>
      </w:r>
      <w:r>
        <w:fldChar w:fldCharType="end"/>
      </w:r>
      <w:r>
        <w:fldChar w:fldCharType="end"/>
      </w:r>
    </w:p>
    <w:p w14:paraId="6458EE8C">
      <w:pPr>
        <w:pStyle w:val="13"/>
        <w:tabs>
          <w:tab w:val="right" w:leader="dot" w:pos="8306"/>
        </w:tabs>
      </w:pPr>
      <w:r>
        <w:fldChar w:fldCharType="begin"/>
      </w:r>
      <w:r>
        <w:instrText xml:space="preserve"> HYPERLINK \l _Toc25597 </w:instrText>
      </w:r>
      <w:r>
        <w:fldChar w:fldCharType="separate"/>
      </w:r>
      <w:r>
        <w:rPr>
          <w:rFonts w:ascii="Times New Roman" w:hAnsi="Times New Roman" w:cs="Times New Roman"/>
          <w:bCs w:val="0"/>
        </w:rPr>
        <w:t>一、基本情况</w:t>
      </w:r>
      <w:r>
        <w:tab/>
      </w:r>
      <w:r>
        <w:fldChar w:fldCharType="begin"/>
      </w:r>
      <w:r>
        <w:instrText xml:space="preserve"> PAGEREF _Toc25597 \h </w:instrText>
      </w:r>
      <w:r>
        <w:fldChar w:fldCharType="separate"/>
      </w:r>
      <w:r>
        <w:t>1</w:t>
      </w:r>
      <w:r>
        <w:fldChar w:fldCharType="end"/>
      </w:r>
      <w:r>
        <w:fldChar w:fldCharType="end"/>
      </w:r>
    </w:p>
    <w:p w14:paraId="2CCF2831">
      <w:pPr>
        <w:pStyle w:val="8"/>
        <w:tabs>
          <w:tab w:val="right" w:leader="dot" w:pos="8306"/>
        </w:tabs>
      </w:pPr>
      <w:r>
        <w:fldChar w:fldCharType="begin"/>
      </w:r>
      <w:r>
        <w:instrText xml:space="preserve"> HYPERLINK \l _Toc30441 </w:instrText>
      </w:r>
      <w:r>
        <w:fldChar w:fldCharType="separate"/>
      </w:r>
      <w:r>
        <w:t>（一）项目概况</w:t>
      </w:r>
      <w:r>
        <w:tab/>
      </w:r>
      <w:r>
        <w:fldChar w:fldCharType="begin"/>
      </w:r>
      <w:r>
        <w:instrText xml:space="preserve"> PAGEREF _Toc30441 \h </w:instrText>
      </w:r>
      <w:r>
        <w:fldChar w:fldCharType="separate"/>
      </w:r>
      <w:r>
        <w:t>1</w:t>
      </w:r>
      <w:r>
        <w:fldChar w:fldCharType="end"/>
      </w:r>
      <w:r>
        <w:fldChar w:fldCharType="end"/>
      </w:r>
    </w:p>
    <w:p w14:paraId="4C42E792">
      <w:pPr>
        <w:pStyle w:val="8"/>
        <w:tabs>
          <w:tab w:val="right" w:leader="dot" w:pos="8306"/>
        </w:tabs>
      </w:pPr>
      <w:r>
        <w:fldChar w:fldCharType="begin"/>
      </w:r>
      <w:r>
        <w:instrText xml:space="preserve"> HYPERLINK \l _Toc6121 </w:instrText>
      </w:r>
      <w:r>
        <w:fldChar w:fldCharType="separate"/>
      </w:r>
      <w:r>
        <w:t>（二）绩效目标设立情况</w:t>
      </w:r>
      <w:r>
        <w:tab/>
      </w:r>
      <w:r>
        <w:fldChar w:fldCharType="begin"/>
      </w:r>
      <w:r>
        <w:instrText xml:space="preserve"> PAGEREF _Toc6121 \h </w:instrText>
      </w:r>
      <w:r>
        <w:fldChar w:fldCharType="separate"/>
      </w:r>
      <w:r>
        <w:t>3</w:t>
      </w:r>
      <w:r>
        <w:fldChar w:fldCharType="end"/>
      </w:r>
      <w:r>
        <w:fldChar w:fldCharType="end"/>
      </w:r>
    </w:p>
    <w:p w14:paraId="10B79691">
      <w:pPr>
        <w:pStyle w:val="8"/>
        <w:tabs>
          <w:tab w:val="right" w:leader="dot" w:pos="8306"/>
        </w:tabs>
      </w:pPr>
      <w:r>
        <w:fldChar w:fldCharType="begin"/>
      </w:r>
      <w:r>
        <w:instrText xml:space="preserve"> HYPERLINK \l _Toc30930 </w:instrText>
      </w:r>
      <w:r>
        <w:fldChar w:fldCharType="separate"/>
      </w:r>
      <w:r>
        <w:t>（三）组织管理情况</w:t>
      </w:r>
      <w:r>
        <w:tab/>
      </w:r>
      <w:r>
        <w:fldChar w:fldCharType="begin"/>
      </w:r>
      <w:r>
        <w:instrText xml:space="preserve"> PAGEREF _Toc30930 \h </w:instrText>
      </w:r>
      <w:r>
        <w:fldChar w:fldCharType="separate"/>
      </w:r>
      <w:r>
        <w:t>6</w:t>
      </w:r>
      <w:r>
        <w:fldChar w:fldCharType="end"/>
      </w:r>
      <w:r>
        <w:fldChar w:fldCharType="end"/>
      </w:r>
    </w:p>
    <w:p w14:paraId="72C9C284">
      <w:pPr>
        <w:pStyle w:val="13"/>
        <w:tabs>
          <w:tab w:val="right" w:leader="dot" w:pos="8306"/>
        </w:tabs>
      </w:pPr>
      <w:r>
        <w:fldChar w:fldCharType="begin"/>
      </w:r>
      <w:r>
        <w:instrText xml:space="preserve"> HYPERLINK \l _Toc22222 </w:instrText>
      </w:r>
      <w:r>
        <w:fldChar w:fldCharType="separate"/>
      </w:r>
      <w:r>
        <w:rPr>
          <w:rFonts w:ascii="Times New Roman" w:hAnsi="Times New Roman" w:cs="Times New Roman"/>
          <w:bCs w:val="0"/>
        </w:rPr>
        <w:t>二、绩效评价工作开展情况</w:t>
      </w:r>
      <w:r>
        <w:tab/>
      </w:r>
      <w:r>
        <w:fldChar w:fldCharType="begin"/>
      </w:r>
      <w:r>
        <w:instrText xml:space="preserve"> PAGEREF _Toc22222 \h </w:instrText>
      </w:r>
      <w:r>
        <w:fldChar w:fldCharType="separate"/>
      </w:r>
      <w:r>
        <w:t>7</w:t>
      </w:r>
      <w:r>
        <w:fldChar w:fldCharType="end"/>
      </w:r>
      <w:r>
        <w:fldChar w:fldCharType="end"/>
      </w:r>
    </w:p>
    <w:p w14:paraId="45AEB135">
      <w:pPr>
        <w:pStyle w:val="8"/>
        <w:tabs>
          <w:tab w:val="right" w:leader="dot" w:pos="8306"/>
        </w:tabs>
      </w:pPr>
      <w:r>
        <w:fldChar w:fldCharType="begin"/>
      </w:r>
      <w:r>
        <w:instrText xml:space="preserve"> HYPERLINK \l _Toc5477 </w:instrText>
      </w:r>
      <w:r>
        <w:fldChar w:fldCharType="separate"/>
      </w:r>
      <w:r>
        <w:t>（一）绩效评价目的、对象和范围</w:t>
      </w:r>
      <w:r>
        <w:tab/>
      </w:r>
      <w:r>
        <w:fldChar w:fldCharType="begin"/>
      </w:r>
      <w:r>
        <w:instrText xml:space="preserve"> PAGEREF _Toc5477 \h </w:instrText>
      </w:r>
      <w:r>
        <w:fldChar w:fldCharType="separate"/>
      </w:r>
      <w:r>
        <w:t>7</w:t>
      </w:r>
      <w:r>
        <w:fldChar w:fldCharType="end"/>
      </w:r>
      <w:r>
        <w:fldChar w:fldCharType="end"/>
      </w:r>
    </w:p>
    <w:p w14:paraId="59421FF3">
      <w:pPr>
        <w:pStyle w:val="8"/>
        <w:tabs>
          <w:tab w:val="right" w:leader="dot" w:pos="8306"/>
        </w:tabs>
      </w:pPr>
      <w:r>
        <w:fldChar w:fldCharType="begin"/>
      </w:r>
      <w:r>
        <w:instrText xml:space="preserve"> HYPERLINK \l _Toc32748 </w:instrText>
      </w:r>
      <w:r>
        <w:fldChar w:fldCharType="separate"/>
      </w:r>
      <w:r>
        <w:t>（二）绩效评价原则</w:t>
      </w:r>
      <w:r>
        <w:tab/>
      </w:r>
      <w:r>
        <w:fldChar w:fldCharType="begin"/>
      </w:r>
      <w:r>
        <w:instrText xml:space="preserve"> PAGEREF _Toc32748 \h </w:instrText>
      </w:r>
      <w:r>
        <w:fldChar w:fldCharType="separate"/>
      </w:r>
      <w:r>
        <w:t>8</w:t>
      </w:r>
      <w:r>
        <w:fldChar w:fldCharType="end"/>
      </w:r>
      <w:r>
        <w:fldChar w:fldCharType="end"/>
      </w:r>
    </w:p>
    <w:p w14:paraId="1A2A703B">
      <w:pPr>
        <w:pStyle w:val="8"/>
        <w:tabs>
          <w:tab w:val="right" w:leader="dot" w:pos="8306"/>
        </w:tabs>
      </w:pPr>
      <w:r>
        <w:fldChar w:fldCharType="begin"/>
      </w:r>
      <w:r>
        <w:instrText xml:space="preserve"> HYPERLINK \l _Toc32157 </w:instrText>
      </w:r>
      <w:r>
        <w:fldChar w:fldCharType="separate"/>
      </w:r>
      <w:r>
        <w:t>（三）绩效评价依据</w:t>
      </w:r>
      <w:r>
        <w:tab/>
      </w:r>
      <w:r>
        <w:fldChar w:fldCharType="begin"/>
      </w:r>
      <w:r>
        <w:instrText xml:space="preserve"> PAGEREF _Toc32157 \h </w:instrText>
      </w:r>
      <w:r>
        <w:fldChar w:fldCharType="separate"/>
      </w:r>
      <w:r>
        <w:t>8</w:t>
      </w:r>
      <w:r>
        <w:fldChar w:fldCharType="end"/>
      </w:r>
      <w:r>
        <w:fldChar w:fldCharType="end"/>
      </w:r>
    </w:p>
    <w:p w14:paraId="26CF8D8A">
      <w:pPr>
        <w:pStyle w:val="8"/>
        <w:tabs>
          <w:tab w:val="right" w:leader="dot" w:pos="8306"/>
        </w:tabs>
      </w:pPr>
      <w:r>
        <w:fldChar w:fldCharType="begin"/>
      </w:r>
      <w:r>
        <w:instrText xml:space="preserve"> HYPERLINK \l _Toc31789 </w:instrText>
      </w:r>
      <w:r>
        <w:fldChar w:fldCharType="separate"/>
      </w:r>
      <w:r>
        <w:t>（四）绩效评价指标体系</w:t>
      </w:r>
      <w:r>
        <w:tab/>
      </w:r>
      <w:r>
        <w:fldChar w:fldCharType="begin"/>
      </w:r>
      <w:r>
        <w:instrText xml:space="preserve"> PAGEREF _Toc31789 \h </w:instrText>
      </w:r>
      <w:r>
        <w:fldChar w:fldCharType="separate"/>
      </w:r>
      <w:r>
        <w:t>10</w:t>
      </w:r>
      <w:r>
        <w:fldChar w:fldCharType="end"/>
      </w:r>
      <w:r>
        <w:fldChar w:fldCharType="end"/>
      </w:r>
    </w:p>
    <w:p w14:paraId="6775B1FE">
      <w:pPr>
        <w:pStyle w:val="8"/>
        <w:tabs>
          <w:tab w:val="right" w:leader="dot" w:pos="8306"/>
        </w:tabs>
      </w:pPr>
      <w:r>
        <w:fldChar w:fldCharType="begin"/>
      </w:r>
      <w:r>
        <w:instrText xml:space="preserve"> HYPERLINK \l _Toc19275 </w:instrText>
      </w:r>
      <w:r>
        <w:fldChar w:fldCharType="separate"/>
      </w:r>
      <w:r>
        <w:t>（五）绩效评价方法</w:t>
      </w:r>
      <w:r>
        <w:tab/>
      </w:r>
      <w:r>
        <w:fldChar w:fldCharType="begin"/>
      </w:r>
      <w:r>
        <w:instrText xml:space="preserve"> PAGEREF _Toc19275 \h </w:instrText>
      </w:r>
      <w:r>
        <w:fldChar w:fldCharType="separate"/>
      </w:r>
      <w:r>
        <w:t>11</w:t>
      </w:r>
      <w:r>
        <w:fldChar w:fldCharType="end"/>
      </w:r>
      <w:r>
        <w:fldChar w:fldCharType="end"/>
      </w:r>
    </w:p>
    <w:p w14:paraId="00B81019">
      <w:pPr>
        <w:pStyle w:val="8"/>
        <w:tabs>
          <w:tab w:val="right" w:leader="dot" w:pos="8306"/>
        </w:tabs>
      </w:pPr>
      <w:r>
        <w:fldChar w:fldCharType="begin"/>
      </w:r>
      <w:r>
        <w:instrText xml:space="preserve"> HYPERLINK \l _Toc10359 </w:instrText>
      </w:r>
      <w:r>
        <w:fldChar w:fldCharType="separate"/>
      </w:r>
      <w:r>
        <w:t>（六）绩效评价标准</w:t>
      </w:r>
      <w:r>
        <w:tab/>
      </w:r>
      <w:r>
        <w:fldChar w:fldCharType="begin"/>
      </w:r>
      <w:r>
        <w:instrText xml:space="preserve"> PAGEREF _Toc10359 \h </w:instrText>
      </w:r>
      <w:r>
        <w:fldChar w:fldCharType="separate"/>
      </w:r>
      <w:r>
        <w:t>12</w:t>
      </w:r>
      <w:r>
        <w:fldChar w:fldCharType="end"/>
      </w:r>
      <w:r>
        <w:fldChar w:fldCharType="end"/>
      </w:r>
    </w:p>
    <w:p w14:paraId="1417357C">
      <w:pPr>
        <w:pStyle w:val="8"/>
        <w:tabs>
          <w:tab w:val="right" w:leader="dot" w:pos="8306"/>
        </w:tabs>
      </w:pPr>
      <w:r>
        <w:fldChar w:fldCharType="begin"/>
      </w:r>
      <w:r>
        <w:instrText xml:space="preserve"> HYPERLINK \l _Toc28816 </w:instrText>
      </w:r>
      <w:r>
        <w:fldChar w:fldCharType="separate"/>
      </w:r>
      <w:r>
        <w:t>（七）绩效评价过程</w:t>
      </w:r>
      <w:r>
        <w:tab/>
      </w:r>
      <w:r>
        <w:fldChar w:fldCharType="begin"/>
      </w:r>
      <w:r>
        <w:instrText xml:space="preserve"> PAGEREF _Toc28816 \h </w:instrText>
      </w:r>
      <w:r>
        <w:fldChar w:fldCharType="separate"/>
      </w:r>
      <w:r>
        <w:t>12</w:t>
      </w:r>
      <w:r>
        <w:fldChar w:fldCharType="end"/>
      </w:r>
      <w:r>
        <w:fldChar w:fldCharType="end"/>
      </w:r>
    </w:p>
    <w:p w14:paraId="2E8AC648">
      <w:pPr>
        <w:pStyle w:val="13"/>
        <w:tabs>
          <w:tab w:val="right" w:leader="dot" w:pos="8306"/>
        </w:tabs>
      </w:pPr>
      <w:r>
        <w:fldChar w:fldCharType="begin"/>
      </w:r>
      <w:r>
        <w:instrText xml:space="preserve"> HYPERLINK \l _Toc31707 </w:instrText>
      </w:r>
      <w:r>
        <w:fldChar w:fldCharType="separate"/>
      </w:r>
      <w:r>
        <w:rPr>
          <w:rFonts w:ascii="Times New Roman" w:hAnsi="Times New Roman" w:cs="Times New Roman"/>
          <w:bCs w:val="0"/>
        </w:rPr>
        <w:t>三、绩效评价结论</w:t>
      </w:r>
      <w:r>
        <w:tab/>
      </w:r>
      <w:r>
        <w:fldChar w:fldCharType="begin"/>
      </w:r>
      <w:r>
        <w:instrText xml:space="preserve"> PAGEREF _Toc31707 \h </w:instrText>
      </w:r>
      <w:r>
        <w:fldChar w:fldCharType="separate"/>
      </w:r>
      <w:r>
        <w:t>13</w:t>
      </w:r>
      <w:r>
        <w:fldChar w:fldCharType="end"/>
      </w:r>
      <w:r>
        <w:fldChar w:fldCharType="end"/>
      </w:r>
    </w:p>
    <w:p w14:paraId="64FEF214">
      <w:pPr>
        <w:pStyle w:val="8"/>
        <w:tabs>
          <w:tab w:val="right" w:leader="dot" w:pos="8306"/>
        </w:tabs>
      </w:pPr>
      <w:r>
        <w:fldChar w:fldCharType="begin"/>
      </w:r>
      <w:r>
        <w:instrText xml:space="preserve"> HYPERLINK \l _Toc26599 </w:instrText>
      </w:r>
      <w:r>
        <w:fldChar w:fldCharType="separate"/>
      </w:r>
      <w:r>
        <w:t>（一）绩效评价综合结论</w:t>
      </w:r>
      <w:r>
        <w:tab/>
      </w:r>
      <w:r>
        <w:fldChar w:fldCharType="begin"/>
      </w:r>
      <w:r>
        <w:instrText xml:space="preserve"> PAGEREF _Toc26599 \h </w:instrText>
      </w:r>
      <w:r>
        <w:fldChar w:fldCharType="separate"/>
      </w:r>
      <w:r>
        <w:t>13</w:t>
      </w:r>
      <w:r>
        <w:fldChar w:fldCharType="end"/>
      </w:r>
      <w:r>
        <w:fldChar w:fldCharType="end"/>
      </w:r>
    </w:p>
    <w:p w14:paraId="54709D2A">
      <w:pPr>
        <w:pStyle w:val="8"/>
        <w:tabs>
          <w:tab w:val="right" w:leader="dot" w:pos="8306"/>
        </w:tabs>
      </w:pPr>
      <w:r>
        <w:fldChar w:fldCharType="begin"/>
      </w:r>
      <w:r>
        <w:instrText xml:space="preserve"> HYPERLINK \l _Toc4075 </w:instrText>
      </w:r>
      <w:r>
        <w:fldChar w:fldCharType="separate"/>
      </w:r>
      <w:r>
        <w:t>（二）绩效目标实现情况</w:t>
      </w:r>
      <w:r>
        <w:tab/>
      </w:r>
      <w:r>
        <w:fldChar w:fldCharType="begin"/>
      </w:r>
      <w:r>
        <w:instrText xml:space="preserve"> PAGEREF _Toc4075 \h </w:instrText>
      </w:r>
      <w:r>
        <w:fldChar w:fldCharType="separate"/>
      </w:r>
      <w:r>
        <w:t>13</w:t>
      </w:r>
      <w:r>
        <w:fldChar w:fldCharType="end"/>
      </w:r>
      <w:r>
        <w:fldChar w:fldCharType="end"/>
      </w:r>
    </w:p>
    <w:p w14:paraId="75A4F639">
      <w:pPr>
        <w:pStyle w:val="13"/>
        <w:tabs>
          <w:tab w:val="right" w:leader="dot" w:pos="8306"/>
        </w:tabs>
      </w:pPr>
      <w:r>
        <w:fldChar w:fldCharType="begin"/>
      </w:r>
      <w:r>
        <w:instrText xml:space="preserve"> HYPERLINK \l _Toc20881 </w:instrText>
      </w:r>
      <w:r>
        <w:fldChar w:fldCharType="separate"/>
      </w:r>
      <w:r>
        <w:rPr>
          <w:rFonts w:ascii="Times New Roman" w:hAnsi="Times New Roman" w:cs="Times New Roman"/>
          <w:bCs w:val="0"/>
        </w:rPr>
        <w:t>四、绩效评价指标分析</w:t>
      </w:r>
      <w:r>
        <w:tab/>
      </w:r>
      <w:r>
        <w:fldChar w:fldCharType="begin"/>
      </w:r>
      <w:r>
        <w:instrText xml:space="preserve"> PAGEREF _Toc20881 \h </w:instrText>
      </w:r>
      <w:r>
        <w:fldChar w:fldCharType="separate"/>
      </w:r>
      <w:r>
        <w:t>14</w:t>
      </w:r>
      <w:r>
        <w:fldChar w:fldCharType="end"/>
      </w:r>
      <w:r>
        <w:fldChar w:fldCharType="end"/>
      </w:r>
    </w:p>
    <w:p w14:paraId="08307CA6">
      <w:pPr>
        <w:pStyle w:val="8"/>
        <w:tabs>
          <w:tab w:val="right" w:leader="dot" w:pos="8306"/>
        </w:tabs>
      </w:pPr>
      <w:r>
        <w:fldChar w:fldCharType="begin"/>
      </w:r>
      <w:r>
        <w:instrText xml:space="preserve"> HYPERLINK \l _Toc9464 </w:instrText>
      </w:r>
      <w:r>
        <w:fldChar w:fldCharType="separate"/>
      </w:r>
      <w:r>
        <w:t>A1．项目决策情况分析</w:t>
      </w:r>
      <w:r>
        <w:tab/>
      </w:r>
      <w:r>
        <w:fldChar w:fldCharType="begin"/>
      </w:r>
      <w:r>
        <w:instrText xml:space="preserve"> PAGEREF _Toc9464 \h </w:instrText>
      </w:r>
      <w:r>
        <w:fldChar w:fldCharType="separate"/>
      </w:r>
      <w:r>
        <w:t>14</w:t>
      </w:r>
      <w:r>
        <w:fldChar w:fldCharType="end"/>
      </w:r>
      <w:r>
        <w:fldChar w:fldCharType="end"/>
      </w:r>
    </w:p>
    <w:p w14:paraId="7C68B984">
      <w:pPr>
        <w:pStyle w:val="8"/>
        <w:tabs>
          <w:tab w:val="right" w:leader="dot" w:pos="8306"/>
        </w:tabs>
      </w:pPr>
      <w:r>
        <w:fldChar w:fldCharType="begin"/>
      </w:r>
      <w:r>
        <w:instrText xml:space="preserve"> HYPERLINK \l _Toc20845 </w:instrText>
      </w:r>
      <w:r>
        <w:fldChar w:fldCharType="separate"/>
      </w:r>
      <w:r>
        <w:t>B2．项目过程情况分析</w:t>
      </w:r>
      <w:r>
        <w:tab/>
      </w:r>
      <w:r>
        <w:fldChar w:fldCharType="begin"/>
      </w:r>
      <w:r>
        <w:instrText xml:space="preserve"> PAGEREF _Toc20845 \h </w:instrText>
      </w:r>
      <w:r>
        <w:fldChar w:fldCharType="separate"/>
      </w:r>
      <w:r>
        <w:t>17</w:t>
      </w:r>
      <w:r>
        <w:fldChar w:fldCharType="end"/>
      </w:r>
      <w:r>
        <w:fldChar w:fldCharType="end"/>
      </w:r>
    </w:p>
    <w:p w14:paraId="153F6112">
      <w:pPr>
        <w:pStyle w:val="8"/>
        <w:tabs>
          <w:tab w:val="right" w:leader="dot" w:pos="8306"/>
        </w:tabs>
      </w:pPr>
      <w:r>
        <w:fldChar w:fldCharType="begin"/>
      </w:r>
      <w:r>
        <w:instrText xml:space="preserve"> HYPERLINK \l _Toc18695 </w:instrText>
      </w:r>
      <w:r>
        <w:fldChar w:fldCharType="separate"/>
      </w:r>
      <w:r>
        <w:t>C3．项目产出情况分析</w:t>
      </w:r>
      <w:r>
        <w:tab/>
      </w:r>
      <w:r>
        <w:fldChar w:fldCharType="begin"/>
      </w:r>
      <w:r>
        <w:instrText xml:space="preserve"> PAGEREF _Toc18695 \h </w:instrText>
      </w:r>
      <w:r>
        <w:fldChar w:fldCharType="separate"/>
      </w:r>
      <w:r>
        <w:t>22</w:t>
      </w:r>
      <w:r>
        <w:fldChar w:fldCharType="end"/>
      </w:r>
      <w:r>
        <w:fldChar w:fldCharType="end"/>
      </w:r>
    </w:p>
    <w:p w14:paraId="26DAE79E">
      <w:pPr>
        <w:pStyle w:val="8"/>
        <w:tabs>
          <w:tab w:val="right" w:leader="dot" w:pos="8306"/>
        </w:tabs>
      </w:pPr>
      <w:r>
        <w:fldChar w:fldCharType="begin"/>
      </w:r>
      <w:r>
        <w:instrText xml:space="preserve"> HYPERLINK \l _Toc22651 </w:instrText>
      </w:r>
      <w:r>
        <w:fldChar w:fldCharType="separate"/>
      </w:r>
      <w:r>
        <w:t>D4．项目效益情况分析</w:t>
      </w:r>
      <w:r>
        <w:tab/>
      </w:r>
      <w:r>
        <w:fldChar w:fldCharType="begin"/>
      </w:r>
      <w:r>
        <w:instrText xml:space="preserve"> PAGEREF _Toc22651 \h </w:instrText>
      </w:r>
      <w:r>
        <w:fldChar w:fldCharType="separate"/>
      </w:r>
      <w:r>
        <w:t>24</w:t>
      </w:r>
      <w:r>
        <w:fldChar w:fldCharType="end"/>
      </w:r>
      <w:r>
        <w:fldChar w:fldCharType="end"/>
      </w:r>
    </w:p>
    <w:p w14:paraId="7C708A68">
      <w:pPr>
        <w:pStyle w:val="13"/>
        <w:tabs>
          <w:tab w:val="right" w:leader="dot" w:pos="8306"/>
        </w:tabs>
      </w:pPr>
      <w:r>
        <w:fldChar w:fldCharType="begin"/>
      </w:r>
      <w:r>
        <w:instrText xml:space="preserve"> HYPERLINK \l _Toc16326 </w:instrText>
      </w:r>
      <w:r>
        <w:fldChar w:fldCharType="separate"/>
      </w:r>
      <w:r>
        <w:rPr>
          <w:rFonts w:ascii="Times New Roman" w:hAnsi="Times New Roman" w:cs="Times New Roman"/>
          <w:bCs w:val="0"/>
        </w:rPr>
        <w:t>五、主要经验及做法、存在的问题</w:t>
      </w:r>
      <w:r>
        <w:tab/>
      </w:r>
      <w:r>
        <w:fldChar w:fldCharType="begin"/>
      </w:r>
      <w:r>
        <w:instrText xml:space="preserve"> PAGEREF _Toc16326 \h </w:instrText>
      </w:r>
      <w:r>
        <w:fldChar w:fldCharType="separate"/>
      </w:r>
      <w:r>
        <w:t>27</w:t>
      </w:r>
      <w:r>
        <w:fldChar w:fldCharType="end"/>
      </w:r>
      <w:r>
        <w:fldChar w:fldCharType="end"/>
      </w:r>
    </w:p>
    <w:p w14:paraId="2C709C97">
      <w:pPr>
        <w:pStyle w:val="8"/>
        <w:tabs>
          <w:tab w:val="right" w:leader="dot" w:pos="8306"/>
        </w:tabs>
      </w:pPr>
      <w:r>
        <w:fldChar w:fldCharType="begin"/>
      </w:r>
      <w:r>
        <w:instrText xml:space="preserve"> HYPERLINK \l _Toc8098 </w:instrText>
      </w:r>
      <w:r>
        <w:fldChar w:fldCharType="separate"/>
      </w:r>
      <w:r>
        <w:t>（一）项目主要经验及做法</w:t>
      </w:r>
      <w:r>
        <w:tab/>
      </w:r>
      <w:r>
        <w:fldChar w:fldCharType="begin"/>
      </w:r>
      <w:r>
        <w:instrText xml:space="preserve"> PAGEREF _Toc8098 \h </w:instrText>
      </w:r>
      <w:r>
        <w:fldChar w:fldCharType="separate"/>
      </w:r>
      <w:r>
        <w:t>27</w:t>
      </w:r>
      <w:r>
        <w:fldChar w:fldCharType="end"/>
      </w:r>
      <w:r>
        <w:fldChar w:fldCharType="end"/>
      </w:r>
    </w:p>
    <w:p w14:paraId="1CD497FF">
      <w:pPr>
        <w:pStyle w:val="8"/>
        <w:tabs>
          <w:tab w:val="right" w:leader="dot" w:pos="8306"/>
        </w:tabs>
      </w:pPr>
      <w:r>
        <w:fldChar w:fldCharType="begin"/>
      </w:r>
      <w:r>
        <w:instrText xml:space="preserve"> HYPERLINK \l _Toc31428 </w:instrText>
      </w:r>
      <w:r>
        <w:fldChar w:fldCharType="separate"/>
      </w:r>
      <w:r>
        <w:t>（二）存在的主要问题</w:t>
      </w:r>
      <w:r>
        <w:tab/>
      </w:r>
      <w:r>
        <w:fldChar w:fldCharType="begin"/>
      </w:r>
      <w:r>
        <w:instrText xml:space="preserve"> PAGEREF _Toc31428 \h </w:instrText>
      </w:r>
      <w:r>
        <w:fldChar w:fldCharType="separate"/>
      </w:r>
      <w:r>
        <w:t>28</w:t>
      </w:r>
      <w:r>
        <w:fldChar w:fldCharType="end"/>
      </w:r>
      <w:r>
        <w:fldChar w:fldCharType="end"/>
      </w:r>
    </w:p>
    <w:p w14:paraId="3CE6C794">
      <w:pPr>
        <w:pStyle w:val="13"/>
        <w:tabs>
          <w:tab w:val="right" w:leader="dot" w:pos="8306"/>
        </w:tabs>
      </w:pPr>
      <w:r>
        <w:fldChar w:fldCharType="begin"/>
      </w:r>
      <w:r>
        <w:instrText xml:space="preserve"> HYPERLINK \l _Toc1390 </w:instrText>
      </w:r>
      <w:r>
        <w:fldChar w:fldCharType="separate"/>
      </w:r>
      <w:r>
        <w:rPr>
          <w:rFonts w:ascii="Times New Roman" w:hAnsi="Times New Roman" w:cs="Times New Roman"/>
          <w:bCs w:val="0"/>
        </w:rPr>
        <w:t>六、相关建议和措施</w:t>
      </w:r>
      <w:r>
        <w:tab/>
      </w:r>
      <w:r>
        <w:fldChar w:fldCharType="begin"/>
      </w:r>
      <w:r>
        <w:instrText xml:space="preserve"> PAGEREF _Toc1390 \h </w:instrText>
      </w:r>
      <w:r>
        <w:fldChar w:fldCharType="separate"/>
      </w:r>
      <w:r>
        <w:t>28</w:t>
      </w:r>
      <w:r>
        <w:fldChar w:fldCharType="end"/>
      </w:r>
      <w:r>
        <w:fldChar w:fldCharType="end"/>
      </w:r>
    </w:p>
    <w:p w14:paraId="559D4690">
      <w:pPr>
        <w:pStyle w:val="13"/>
        <w:tabs>
          <w:tab w:val="right" w:leader="dot" w:pos="8306"/>
        </w:tabs>
      </w:pPr>
      <w:r>
        <w:fldChar w:fldCharType="begin"/>
      </w:r>
      <w:r>
        <w:instrText xml:space="preserve"> HYPERLINK \l _Toc11441 </w:instrText>
      </w:r>
      <w:r>
        <w:fldChar w:fldCharType="separate"/>
      </w:r>
      <w:r>
        <w:rPr>
          <w:rFonts w:ascii="Times New Roman" w:hAnsi="Times New Roman" w:cs="Times New Roman"/>
          <w:bCs w:val="0"/>
        </w:rPr>
        <w:t>七</w:t>
      </w:r>
      <w:r>
        <w:rPr>
          <w:rFonts w:hint="eastAsia" w:ascii="Times New Roman" w:hAnsi="Times New Roman" w:cs="Times New Roman"/>
          <w:bCs w:val="0"/>
        </w:rPr>
        <w:t>、其他</w:t>
      </w:r>
      <w:r>
        <w:rPr>
          <w:rFonts w:ascii="Times New Roman" w:hAnsi="Times New Roman" w:cs="Times New Roman"/>
          <w:bCs w:val="0"/>
        </w:rPr>
        <w:t>需要说明的问题</w:t>
      </w:r>
      <w:r>
        <w:tab/>
      </w:r>
      <w:r>
        <w:fldChar w:fldCharType="begin"/>
      </w:r>
      <w:r>
        <w:instrText xml:space="preserve"> PAGEREF _Toc11441 \h </w:instrText>
      </w:r>
      <w:r>
        <w:fldChar w:fldCharType="separate"/>
      </w:r>
      <w:r>
        <w:t>28</w:t>
      </w:r>
      <w:r>
        <w:fldChar w:fldCharType="end"/>
      </w:r>
      <w:r>
        <w:fldChar w:fldCharType="end"/>
      </w:r>
    </w:p>
    <w:p w14:paraId="56A30F3B">
      <w:pPr>
        <w:pStyle w:val="8"/>
        <w:tabs>
          <w:tab w:val="right" w:leader="dot" w:pos="8306"/>
        </w:tabs>
      </w:pPr>
      <w:r>
        <w:fldChar w:fldCharType="begin"/>
      </w:r>
      <w:r>
        <w:instrText xml:space="preserve"> HYPERLINK \l _Toc20185 </w:instrText>
      </w:r>
      <w:r>
        <w:fldChar w:fldCharType="separate"/>
      </w:r>
      <w:r>
        <w:rPr>
          <w:rFonts w:hint="eastAsia"/>
        </w:rPr>
        <w:t>（一）评价工作依据</w:t>
      </w:r>
      <w:r>
        <w:tab/>
      </w:r>
      <w:r>
        <w:fldChar w:fldCharType="begin"/>
      </w:r>
      <w:r>
        <w:instrText xml:space="preserve"> PAGEREF _Toc20185 \h </w:instrText>
      </w:r>
      <w:r>
        <w:fldChar w:fldCharType="separate"/>
      </w:r>
      <w:r>
        <w:t>28</w:t>
      </w:r>
      <w:r>
        <w:fldChar w:fldCharType="end"/>
      </w:r>
      <w:r>
        <w:fldChar w:fldCharType="end"/>
      </w:r>
    </w:p>
    <w:p w14:paraId="44750FA2">
      <w:pPr>
        <w:pStyle w:val="8"/>
        <w:tabs>
          <w:tab w:val="right" w:leader="dot" w:pos="8306"/>
        </w:tabs>
      </w:pPr>
      <w:r>
        <w:fldChar w:fldCharType="begin"/>
      </w:r>
      <w:r>
        <w:instrText xml:space="preserve"> HYPERLINK \l _Toc6013 </w:instrText>
      </w:r>
      <w:r>
        <w:fldChar w:fldCharType="separate"/>
      </w:r>
      <w:r>
        <w:rPr>
          <w:rFonts w:hint="eastAsia"/>
        </w:rPr>
        <w:t>（二）评价报告适用范围</w:t>
      </w:r>
      <w:r>
        <w:tab/>
      </w:r>
      <w:r>
        <w:fldChar w:fldCharType="begin"/>
      </w:r>
      <w:r>
        <w:instrText xml:space="preserve"> PAGEREF _Toc6013 \h </w:instrText>
      </w:r>
      <w:r>
        <w:fldChar w:fldCharType="separate"/>
      </w:r>
      <w:r>
        <w:t>29</w:t>
      </w:r>
      <w:r>
        <w:fldChar w:fldCharType="end"/>
      </w:r>
      <w:r>
        <w:fldChar w:fldCharType="end"/>
      </w:r>
    </w:p>
    <w:p w14:paraId="208F5B8E">
      <w:pPr>
        <w:pStyle w:val="12"/>
        <w:tabs>
          <w:tab w:val="right" w:leader="dot" w:pos="8306"/>
        </w:tabs>
        <w:ind w:firstLine="640"/>
        <w:rPr>
          <w:b/>
          <w:bCs/>
        </w:rPr>
      </w:pPr>
      <w:r>
        <w:fldChar w:fldCharType="end"/>
      </w:r>
    </w:p>
    <w:p w14:paraId="4DEF167C">
      <w:pPr>
        <w:ind w:firstLine="562"/>
        <w:rPr>
          <w:rFonts w:eastAsia="方正小标宋简体"/>
          <w:b/>
          <w:bCs/>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12CAE08">
      <w:pPr>
        <w:pStyle w:val="2"/>
        <w:spacing w:before="340" w:after="330" w:line="578" w:lineRule="auto"/>
        <w:ind w:firstLine="325" w:firstLineChars="90"/>
      </w:pPr>
      <w:bookmarkStart w:id="0" w:name="_Toc29214"/>
      <w:bookmarkStart w:id="1" w:name="_Toc27686"/>
      <w:bookmarkStart w:id="2" w:name="_Toc32089"/>
      <w:bookmarkStart w:id="3" w:name="_Toc25184"/>
      <w:bookmarkStart w:id="4" w:name="_Toc15979"/>
      <w:bookmarkStart w:id="5" w:name="_Toc3596"/>
      <w:bookmarkStart w:id="6" w:name="_Toc2826"/>
      <w:bookmarkStart w:id="7" w:name="_Toc24380"/>
      <w:bookmarkStart w:id="8" w:name="_Toc12506"/>
      <w:r>
        <w:t>摘  要</w:t>
      </w:r>
      <w:bookmarkEnd w:id="0"/>
      <w:bookmarkEnd w:id="1"/>
      <w:bookmarkEnd w:id="2"/>
      <w:bookmarkEnd w:id="3"/>
      <w:bookmarkEnd w:id="4"/>
      <w:bookmarkEnd w:id="5"/>
      <w:bookmarkEnd w:id="6"/>
      <w:bookmarkEnd w:id="7"/>
      <w:bookmarkEnd w:id="8"/>
    </w:p>
    <w:p w14:paraId="3A1D3EB3">
      <w:pPr>
        <w:pStyle w:val="3"/>
        <w:bidi w:val="0"/>
      </w:pPr>
      <w:bookmarkStart w:id="9" w:name="_Toc1806"/>
      <w:bookmarkStart w:id="10" w:name="_Toc27648"/>
      <w:bookmarkStart w:id="11" w:name="_Toc2004"/>
      <w:bookmarkStart w:id="12" w:name="_Toc17519"/>
      <w:bookmarkStart w:id="13" w:name="_Toc24290"/>
      <w:bookmarkStart w:id="14" w:name="_Toc22331"/>
      <w:bookmarkStart w:id="15" w:name="_Toc9252"/>
      <w:bookmarkStart w:id="16" w:name="_Toc22790"/>
      <w:r>
        <w:t>一、项目基本情况</w:t>
      </w:r>
      <w:bookmarkEnd w:id="9"/>
      <w:bookmarkEnd w:id="10"/>
      <w:bookmarkEnd w:id="11"/>
      <w:bookmarkEnd w:id="12"/>
      <w:bookmarkEnd w:id="13"/>
      <w:bookmarkEnd w:id="14"/>
      <w:bookmarkEnd w:id="15"/>
      <w:bookmarkEnd w:id="16"/>
    </w:p>
    <w:p w14:paraId="0EFB320C">
      <w:pPr>
        <w:bidi w:val="0"/>
        <w:rPr>
          <w:highlight w:val="none"/>
        </w:rPr>
      </w:pPr>
      <w:r>
        <w:rPr>
          <w:rFonts w:hint="eastAsia"/>
        </w:rPr>
        <w:t>根据《安宁市加强基本养老服务体系建设实施方案》（安办发〔2023〕13号），以习近平新时代中国特色社会主义思想为指导，全面贯彻</w:t>
      </w:r>
      <w:r>
        <w:rPr>
          <w:rFonts w:hint="eastAsia"/>
          <w:lang w:eastAsia="zh-CN"/>
        </w:rPr>
        <w:t>党的二十大精神</w:t>
      </w:r>
      <w:r>
        <w:rPr>
          <w:rFonts w:hint="eastAsia"/>
        </w:rPr>
        <w:t>，深入贯彻习近平总书记关于养老服务工作重要指示批示和考察云南重要讲话精神，坚持以人民为中心的发展思想，坚持政府统筹、保障基本、因地制宜、精准施策、尽力而为、量力而行，充分发挥市场机制作用，积极构建覆盖城乡、布局合理、共建共享的养老服务基本格局，推进养老服务市场化和普惠化共同发展。到2025年，安宁市基本养老服务制度体系基本健全，老年助餐服务基本覆盖，建成区“一刻钟”养老服务圈基本建成，养老服务标准化、制度化建设取得新进展、新突破，基本养老服务清单持续完善，服务供</w:t>
      </w:r>
      <w:r>
        <w:rPr>
          <w:rFonts w:hint="eastAsia"/>
          <w:highlight w:val="none"/>
        </w:rPr>
        <w:t>给、保障、监管等机制不断健全，在老有所养、老有所医、老有所为、老有所乐上取得新成就，老年人多样化、多层次、高品质的健康养老基本满足。</w:t>
      </w:r>
    </w:p>
    <w:p w14:paraId="1A38D662">
      <w:pPr>
        <w:pStyle w:val="3"/>
        <w:ind w:firstLine="562"/>
        <w:rPr>
          <w:rFonts w:ascii="Times New Roman" w:hAnsi="Times New Roman" w:cs="Times New Roman"/>
          <w:b/>
          <w:bCs w:val="0"/>
          <w:highlight w:val="none"/>
        </w:rPr>
      </w:pPr>
      <w:bookmarkStart w:id="17" w:name="_Toc6414"/>
      <w:bookmarkStart w:id="18" w:name="_Toc4448"/>
      <w:bookmarkStart w:id="19" w:name="_Toc22527"/>
      <w:bookmarkStart w:id="20" w:name="_Toc25079"/>
      <w:bookmarkStart w:id="21" w:name="_Toc13655"/>
      <w:bookmarkStart w:id="22" w:name="_Toc16291"/>
      <w:bookmarkStart w:id="23" w:name="_Toc25911"/>
      <w:bookmarkStart w:id="24" w:name="_Toc21880"/>
      <w:r>
        <w:rPr>
          <w:rFonts w:ascii="Times New Roman" w:hAnsi="Times New Roman" w:cs="Times New Roman"/>
          <w:b/>
          <w:bCs w:val="0"/>
          <w:highlight w:val="none"/>
        </w:rPr>
        <w:t>二、绩效评价结论</w:t>
      </w:r>
      <w:bookmarkEnd w:id="17"/>
      <w:bookmarkEnd w:id="18"/>
      <w:bookmarkEnd w:id="19"/>
      <w:bookmarkEnd w:id="20"/>
      <w:bookmarkEnd w:id="21"/>
      <w:bookmarkEnd w:id="22"/>
      <w:bookmarkEnd w:id="23"/>
      <w:bookmarkEnd w:id="24"/>
    </w:p>
    <w:p w14:paraId="6A74DC0B">
      <w:pPr>
        <w:ind w:firstLine="560"/>
        <w:rPr>
          <w:rFonts w:hint="eastAsia"/>
          <w:highlight w:val="none"/>
        </w:rPr>
      </w:pPr>
      <w:r>
        <w:rPr>
          <w:rFonts w:hint="eastAsia"/>
          <w:highlight w:val="none"/>
        </w:rPr>
        <w:t>2024年度养老服务设施建设及运营、管理服务补助经费（老年食堂）项目绩效评价得分88.72分，评价等级为“良”。</w:t>
      </w:r>
    </w:p>
    <w:p w14:paraId="17DA1656">
      <w:pPr>
        <w:ind w:firstLine="560"/>
        <w:rPr>
          <w:rFonts w:hint="eastAsia"/>
          <w:highlight w:val="none"/>
        </w:rPr>
      </w:pPr>
      <w:r>
        <w:rPr>
          <w:rFonts w:hint="eastAsia"/>
          <w:highlight w:val="none"/>
        </w:rPr>
        <w:t>在项目决策方面，2024年度养老服务设施建设及运营、管理服务补助经费（老年食堂）项目立项符合政府政策要求；项目绩效目标与实际工作内容相关，绩效指标明确、清晰，资金分配合理。</w:t>
      </w:r>
    </w:p>
    <w:p w14:paraId="5DF6C2FC">
      <w:pPr>
        <w:ind w:firstLine="560"/>
        <w:rPr>
          <w:rFonts w:hint="eastAsia"/>
          <w:highlight w:val="none"/>
        </w:rPr>
      </w:pPr>
      <w:r>
        <w:rPr>
          <w:rFonts w:hint="eastAsia"/>
          <w:highlight w:val="none"/>
        </w:rPr>
        <w:t>在项目过程方面，项目资金到位及时，资金使用规范，会计核算规范，管理制度健全，按安宁市财政局要求的自评工作程序开展自评工作。</w:t>
      </w:r>
    </w:p>
    <w:p w14:paraId="0A850B7B">
      <w:pPr>
        <w:ind w:firstLine="560"/>
        <w:rPr>
          <w:rFonts w:hint="eastAsia"/>
          <w:highlight w:val="none"/>
        </w:rPr>
      </w:pPr>
      <w:r>
        <w:rPr>
          <w:rFonts w:hint="eastAsia"/>
          <w:highlight w:val="none"/>
        </w:rPr>
        <w:t>在项目产出方面，安宁市民政局下发老年食堂老年人用餐服务补助、工作人员补助，补助资金发放及时、准确，但存在部分老年食堂停止营业的情况。</w:t>
      </w:r>
    </w:p>
    <w:p w14:paraId="52213244">
      <w:pPr>
        <w:ind w:firstLine="560"/>
        <w:rPr>
          <w:highlight w:val="none"/>
        </w:rPr>
      </w:pPr>
      <w:r>
        <w:rPr>
          <w:rFonts w:hint="eastAsia"/>
          <w:highlight w:val="none"/>
        </w:rPr>
        <w:t>在项目效益方面，2024年安宁市老年食堂正常运营47家，为老年人提供送餐服务，不断满足多层次、多元化养老服务需求，提高老年人的幸福感、获得感，促进社会和谐稳定。但存在部分老年食堂停止营业的情况。</w:t>
      </w:r>
    </w:p>
    <w:p w14:paraId="5E9231D8">
      <w:pPr>
        <w:pStyle w:val="3"/>
        <w:ind w:firstLine="562"/>
        <w:rPr>
          <w:rFonts w:ascii="Times New Roman" w:hAnsi="Times New Roman" w:cs="Times New Roman"/>
          <w:b/>
          <w:bCs w:val="0"/>
          <w:highlight w:val="none"/>
        </w:rPr>
      </w:pPr>
      <w:bookmarkStart w:id="25" w:name="_Toc2318"/>
      <w:bookmarkStart w:id="26" w:name="_Toc1966"/>
      <w:bookmarkStart w:id="27" w:name="_Toc15531"/>
      <w:bookmarkStart w:id="28" w:name="_Toc7295"/>
      <w:bookmarkStart w:id="29" w:name="_Toc15980"/>
      <w:bookmarkStart w:id="30" w:name="_Toc12606"/>
      <w:bookmarkStart w:id="31" w:name="_Toc3473"/>
      <w:bookmarkStart w:id="32" w:name="_Toc26703"/>
      <w:r>
        <w:rPr>
          <w:rFonts w:ascii="Times New Roman" w:hAnsi="Times New Roman" w:cs="Times New Roman"/>
          <w:b/>
          <w:bCs w:val="0"/>
          <w:highlight w:val="none"/>
        </w:rPr>
        <w:t>三、主要业绩与经验</w:t>
      </w:r>
      <w:bookmarkEnd w:id="25"/>
      <w:bookmarkEnd w:id="26"/>
    </w:p>
    <w:p w14:paraId="298F0ED3">
      <w:pPr>
        <w:ind w:firstLine="560"/>
        <w:rPr>
          <w:highlight w:val="none"/>
        </w:rPr>
      </w:pPr>
      <w:r>
        <w:rPr>
          <w:rFonts w:hint="eastAsia"/>
          <w:highlight w:val="none"/>
        </w:rPr>
        <w:t>2024年安宁市民政局根据补助标准，按评估结果下拨2023年7至12月、2024年1至3月老年人用餐服务补助，核拨2024年4至6月老年人用餐服务补助，预拨2024年7至12月老年人用餐服务补助，核拨2023年及2024年1至9月工作人员补助，各街道根据安宁市民政局下拨文件转拨2024年补助资金，按照年初计划完成工作任务。</w:t>
      </w:r>
    </w:p>
    <w:p w14:paraId="703888F2">
      <w:pPr>
        <w:pStyle w:val="3"/>
        <w:ind w:firstLine="562"/>
        <w:rPr>
          <w:rFonts w:ascii="Times New Roman" w:hAnsi="Times New Roman" w:cs="Times New Roman"/>
          <w:b/>
          <w:bCs w:val="0"/>
          <w:highlight w:val="none"/>
        </w:rPr>
      </w:pPr>
      <w:bookmarkStart w:id="33" w:name="_Toc15063"/>
      <w:bookmarkStart w:id="34" w:name="_Toc18415"/>
      <w:r>
        <w:rPr>
          <w:rFonts w:ascii="Times New Roman" w:hAnsi="Times New Roman" w:cs="Times New Roman"/>
          <w:b/>
          <w:bCs w:val="0"/>
          <w:highlight w:val="none"/>
        </w:rPr>
        <w:t>四、存在的主要问题</w:t>
      </w:r>
      <w:bookmarkEnd w:id="27"/>
      <w:bookmarkEnd w:id="28"/>
      <w:bookmarkEnd w:id="29"/>
      <w:bookmarkEnd w:id="30"/>
      <w:bookmarkEnd w:id="31"/>
      <w:bookmarkEnd w:id="32"/>
      <w:bookmarkEnd w:id="33"/>
      <w:bookmarkEnd w:id="34"/>
    </w:p>
    <w:p w14:paraId="7095C71E">
      <w:pPr>
        <w:ind w:firstLine="560"/>
        <w:rPr>
          <w:highlight w:val="none"/>
        </w:rPr>
      </w:pPr>
      <w:r>
        <w:rPr>
          <w:rFonts w:hint="eastAsia"/>
        </w:rPr>
        <w:t>农村老年食堂运营困难</w:t>
      </w:r>
      <w:r>
        <w:rPr>
          <w:rFonts w:hint="eastAsia"/>
          <w:lang w:eastAsia="zh-CN"/>
        </w:rPr>
        <w:t>。</w:t>
      </w:r>
      <w:r>
        <w:rPr>
          <w:rFonts w:hint="eastAsia"/>
          <w:highlight w:val="none"/>
        </w:rPr>
        <w:t>安宁市63家老年食堂，停运16家，整体运营率为75%，其中14家为农村老年食堂，运营呈现城乡差异，农村老年食堂运营困境较为凸显。农村老年食堂运营困难因素较多，农村地区老人的消费习惯、食堂的菜品和服务、补助资金拨付速度、村集体资金支持程度等都影响农村老年食堂运营。</w:t>
      </w:r>
    </w:p>
    <w:p w14:paraId="3D04C36F">
      <w:pPr>
        <w:pStyle w:val="3"/>
        <w:ind w:firstLine="562"/>
        <w:rPr>
          <w:rFonts w:ascii="Times New Roman" w:hAnsi="Times New Roman" w:cs="Times New Roman"/>
          <w:b/>
          <w:bCs w:val="0"/>
          <w:highlight w:val="none"/>
        </w:rPr>
      </w:pPr>
      <w:bookmarkStart w:id="35" w:name="_Toc5436"/>
      <w:bookmarkStart w:id="36" w:name="_Toc19849"/>
      <w:bookmarkStart w:id="37" w:name="_Toc14228"/>
      <w:bookmarkStart w:id="38" w:name="_Toc25333"/>
      <w:bookmarkStart w:id="39" w:name="_Toc791"/>
      <w:bookmarkStart w:id="40" w:name="_Toc6364"/>
      <w:bookmarkStart w:id="41" w:name="_Toc24821"/>
      <w:bookmarkStart w:id="42" w:name="_Toc20868"/>
      <w:r>
        <w:rPr>
          <w:rFonts w:ascii="Times New Roman" w:hAnsi="Times New Roman" w:cs="Times New Roman"/>
          <w:b/>
          <w:bCs w:val="0"/>
          <w:highlight w:val="none"/>
        </w:rPr>
        <w:t>五、相关建议和措施</w:t>
      </w:r>
      <w:bookmarkEnd w:id="35"/>
      <w:bookmarkEnd w:id="36"/>
      <w:bookmarkEnd w:id="37"/>
      <w:bookmarkEnd w:id="38"/>
      <w:bookmarkEnd w:id="39"/>
      <w:bookmarkEnd w:id="40"/>
      <w:bookmarkEnd w:id="41"/>
      <w:bookmarkEnd w:id="42"/>
    </w:p>
    <w:p w14:paraId="0E65EF0B">
      <w:pPr>
        <w:ind w:firstLine="560"/>
        <w:rPr>
          <w:rFonts w:hint="eastAsia"/>
          <w:highlight w:val="none"/>
          <w:lang w:eastAsia="zh-CN"/>
        </w:rPr>
      </w:pPr>
      <w:r>
        <w:rPr>
          <w:rFonts w:hint="eastAsia"/>
          <w:highlight w:val="none"/>
          <w:lang w:eastAsia="zh-CN"/>
        </w:rPr>
        <w:t>1.以市场化运营降本增效</w:t>
      </w:r>
    </w:p>
    <w:p w14:paraId="77AAD86D">
      <w:pPr>
        <w:ind w:firstLine="560"/>
        <w:rPr>
          <w:highlight w:val="none"/>
        </w:rPr>
      </w:pPr>
      <w:r>
        <w:rPr>
          <w:rFonts w:hint="eastAsia"/>
          <w:highlight w:val="none"/>
          <w:lang w:eastAsia="zh-CN"/>
        </w:rPr>
        <w:t>结合农村老年食堂运营实际及市场经济下行带来的营收难题，坚持“降本增效、提质扩面、控量优化”核心方向，整合资源，以市场化运营来破解发展难题。推行阶梯定价与自愿加餐结合的收费机制，确保运营的可持续性。通过批量集采食材等方式降低采购成本；优化人员配置，引入市场化绩效考核提升服务效率。贴合老人需求提质菜品、拓展助餐、送餐服务，同时健全社会捐赠、市场化营收互补的多元资金保障机制，严控资金支出，集中资源提升保留食堂运营实效，破解农村老年食堂运营难题。</w:t>
      </w:r>
      <w:r>
        <w:rPr>
          <w:rFonts w:hint="eastAsia"/>
          <w:highlight w:val="none"/>
        </w:rPr>
        <w:t>‌</w:t>
      </w:r>
    </w:p>
    <w:p w14:paraId="703DCA6D">
      <w:pPr>
        <w:ind w:firstLine="562"/>
        <w:rPr>
          <w:b/>
          <w:bCs/>
        </w:rPr>
      </w:pPr>
    </w:p>
    <w:p w14:paraId="25FFEE08">
      <w:pPr>
        <w:spacing w:line="276" w:lineRule="auto"/>
        <w:ind w:left="-178" w:firstLine="964"/>
        <w:jc w:val="center"/>
        <w:rPr>
          <w:b/>
          <w:sz w:val="48"/>
          <w:szCs w:val="48"/>
        </w:rPr>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41E39E91">
      <w:pPr>
        <w:spacing w:line="276" w:lineRule="auto"/>
        <w:ind w:left="-178" w:firstLine="0" w:firstLineChars="0"/>
        <w:jc w:val="center"/>
        <w:rPr>
          <w:rFonts w:ascii="宋体" w:hAnsi="宋体" w:eastAsia="宋体" w:cs="宋体"/>
          <w:b/>
          <w:sz w:val="48"/>
          <w:szCs w:val="48"/>
        </w:rPr>
      </w:pPr>
      <w:r>
        <w:rPr>
          <w:rFonts w:hint="eastAsia" w:ascii="宋体" w:hAnsi="宋体" w:eastAsia="宋体" w:cs="宋体"/>
          <w:b/>
          <w:sz w:val="48"/>
          <w:szCs w:val="48"/>
        </w:rPr>
        <w:t>昆明正宇会计师事务所有限公司</w:t>
      </w:r>
    </w:p>
    <w:p w14:paraId="54470321">
      <w:pPr>
        <w:spacing w:before="156" w:beforeLines="50" w:line="480" w:lineRule="auto"/>
        <w:ind w:firstLine="560" w:firstLineChars="0"/>
        <w:jc w:val="center"/>
        <w:rPr>
          <w:rFonts w:ascii="宋体" w:hAnsi="宋体" w:eastAsia="宋体" w:cs="宋体"/>
          <w:szCs w:val="28"/>
        </w:rPr>
      </w:pPr>
      <w:r>
        <w:rPr>
          <w:rFonts w:hint="eastAsia" w:ascii="宋体" w:hAnsi="宋体" w:eastAsia="宋体" w:cs="宋体"/>
          <w:szCs w:val="28"/>
        </w:rPr>
        <w:t>昆正宇审字〔</w:t>
      </w:r>
      <w:r>
        <w:rPr>
          <w:rFonts w:hint="default" w:ascii="Times New Roman" w:hAnsi="Times New Roman" w:eastAsia="宋体" w:cs="Times New Roman"/>
          <w:szCs w:val="28"/>
        </w:rPr>
        <w:t>202</w:t>
      </w:r>
      <w:r>
        <w:rPr>
          <w:rFonts w:hint="eastAsia" w:eastAsia="宋体" w:cs="Times New Roman"/>
          <w:szCs w:val="28"/>
          <w:lang w:val="en-US" w:eastAsia="zh-CN"/>
        </w:rPr>
        <w:t>6</w:t>
      </w:r>
      <w:r>
        <w:rPr>
          <w:rFonts w:hint="default" w:ascii="Times New Roman" w:hAnsi="Times New Roman" w:eastAsia="宋体" w:cs="Times New Roman"/>
          <w:szCs w:val="28"/>
        </w:rPr>
        <w:t>〕第</w:t>
      </w:r>
      <w:r>
        <w:rPr>
          <w:rFonts w:hint="eastAsia" w:eastAsia="宋体" w:cs="Times New Roman"/>
          <w:szCs w:val="28"/>
          <w:lang w:val="en-US" w:eastAsia="zh-CN"/>
        </w:rPr>
        <w:t>XXX</w:t>
      </w:r>
      <w:r>
        <w:rPr>
          <w:rFonts w:hint="eastAsia" w:ascii="宋体" w:hAnsi="宋体" w:eastAsia="宋体" w:cs="宋体"/>
          <w:szCs w:val="28"/>
        </w:rPr>
        <w:t>号</w:t>
      </w:r>
    </w:p>
    <w:p w14:paraId="434FFCC1">
      <w:pPr>
        <w:spacing w:line="200" w:lineRule="exact"/>
        <w:ind w:firstLine="560"/>
        <w:rPr>
          <w:b/>
          <w:szCs w:val="32"/>
        </w:rPr>
      </w:pPr>
      <w:r>
        <w:rPr>
          <w:szCs w:val="32"/>
        </w:rPr>
        <mc:AlternateContent>
          <mc:Choice Requires="wps">
            <w:drawing>
              <wp:anchor distT="0" distB="0" distL="114300" distR="114300" simplePos="0" relativeHeight="251659264" behindDoc="0" locked="0" layoutInCell="0" allowOverlap="1">
                <wp:simplePos x="0" y="0"/>
                <wp:positionH relativeFrom="column">
                  <wp:posOffset>-114935</wp:posOffset>
                </wp:positionH>
                <wp:positionV relativeFrom="paragraph">
                  <wp:posOffset>96520</wp:posOffset>
                </wp:positionV>
                <wp:extent cx="534352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343277"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9.05pt;margin-top:7.6pt;height:0pt;width:420.75pt;z-index:251659264;mso-width-relative:page;mso-height-relative:page;" filled="f" stroked="t" coordsize="21600,21600" o:allowincell="f" o:gfxdata="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Ozr5NUA&#10;AAAJAQAADwAAAAAAAAABACAAAAAiAAAAZHJzL2Rvd25yZXYueG1sUEsBAhQAFAAAAAgAh07iQFy3&#10;nxfpAQAAuQMAAA4AAAAAAAAAAQAgAAAAJAEAAGRycy9lMm9Eb2MueG1sUEsFBgAAAAAGAAYAWQEA&#10;AH8FAAAAAA==&#10;">
                <v:fill on="f" focussize="0,0"/>
                <v:stroke weight="1.5pt" color="#000000" joinstyle="round"/>
                <v:imagedata o:title=""/>
                <o:lock v:ext="edit" aspectratio="f"/>
              </v:line>
            </w:pict>
          </mc:Fallback>
        </mc:AlternateContent>
      </w:r>
    </w:p>
    <w:p w14:paraId="6002E17C">
      <w:pPr>
        <w:pStyle w:val="2"/>
      </w:pPr>
      <w:bookmarkStart w:id="43" w:name="_Toc12996"/>
      <w:bookmarkStart w:id="44" w:name="_Toc14713"/>
      <w:bookmarkStart w:id="45" w:name="_Toc16547"/>
      <w:bookmarkStart w:id="46" w:name="_Toc893"/>
      <w:bookmarkStart w:id="47" w:name="_Toc2220"/>
      <w:bookmarkStart w:id="48" w:name="_Toc21476"/>
      <w:bookmarkStart w:id="49" w:name="_Toc14782"/>
      <w:bookmarkStart w:id="50" w:name="_Toc23672"/>
      <w:bookmarkStart w:id="51" w:name="_Toc28673"/>
      <w:bookmarkStart w:id="52" w:name="_Toc26042"/>
      <w:r>
        <w:rPr>
          <w:rFonts w:hint="eastAsia"/>
        </w:rPr>
        <w:t>2024年度养老服务设施建设及运营、管理服务补助经费（老年食堂）项目支出</w:t>
      </w:r>
      <w:bookmarkEnd w:id="43"/>
      <w:r>
        <w:rPr>
          <w:rFonts w:hint="eastAsia"/>
        </w:rPr>
        <w:t>绩效评价</w:t>
      </w:r>
      <w:r>
        <w:t>报告</w:t>
      </w:r>
      <w:bookmarkEnd w:id="44"/>
      <w:bookmarkEnd w:id="45"/>
      <w:bookmarkEnd w:id="46"/>
      <w:bookmarkEnd w:id="47"/>
      <w:bookmarkEnd w:id="48"/>
      <w:bookmarkEnd w:id="49"/>
      <w:bookmarkEnd w:id="50"/>
      <w:bookmarkEnd w:id="51"/>
      <w:bookmarkEnd w:id="52"/>
    </w:p>
    <w:p w14:paraId="489C513B">
      <w:pPr>
        <w:pStyle w:val="2"/>
        <w:rPr>
          <w:rFonts w:hint="eastAsia" w:eastAsia="方正小标宋简体"/>
          <w:lang w:val="en-US" w:eastAsia="zh-CN"/>
        </w:rPr>
      </w:pPr>
      <w:bookmarkStart w:id="53" w:name="_Toc28714"/>
      <w:bookmarkStart w:id="54" w:name="_Toc2073"/>
      <w:r>
        <w:rPr>
          <w:rFonts w:hint="eastAsia"/>
          <w:lang w:eastAsia="zh-CN"/>
        </w:rPr>
        <w:t>（</w:t>
      </w:r>
      <w:r>
        <w:rPr>
          <w:rFonts w:hint="eastAsia"/>
          <w:lang w:val="en-US" w:eastAsia="zh-CN"/>
        </w:rPr>
        <w:t>征求意见稿</w:t>
      </w:r>
      <w:r>
        <w:rPr>
          <w:rFonts w:hint="eastAsia"/>
          <w:lang w:eastAsia="zh-CN"/>
        </w:rPr>
        <w:t>）</w:t>
      </w:r>
      <w:bookmarkEnd w:id="53"/>
      <w:bookmarkEnd w:id="54"/>
    </w:p>
    <w:p w14:paraId="155B4780">
      <w:pPr>
        <w:ind w:firstLine="560"/>
        <w:rPr>
          <w:szCs w:val="32"/>
        </w:rPr>
      </w:pPr>
      <w:r>
        <w:rPr>
          <w:szCs w:val="32"/>
        </w:rPr>
        <w:t>为贯彻落实《中共中央 国务院关于全面实施预算绩效管理的意</w:t>
      </w:r>
      <w:r>
        <w:rPr>
          <w:rFonts w:hint="eastAsia"/>
          <w:szCs w:val="32"/>
        </w:rPr>
        <w:t>》《</w:t>
      </w:r>
      <w:r>
        <w:rPr>
          <w:szCs w:val="32"/>
        </w:rPr>
        <w:t>中共云南省委 云南省人民政府关于全面实施预算绩效管理的实施意见》精神及上级关于加强预算绩效管理工作的要求，进一步规范财政资金运行和绩效监管，提升财政资金使用效益，全面加强和提升安宁市预算绩效管理水平，根据《安宁市预算绩效管理暂行办法》（安政发〔2018〕10号），昆明正宇会计师事务所有限公司接受安宁市财政局委托，于202</w:t>
      </w:r>
      <w:r>
        <w:rPr>
          <w:rFonts w:hint="eastAsia"/>
          <w:szCs w:val="32"/>
          <w:lang w:val="en-US" w:eastAsia="zh-CN"/>
        </w:rPr>
        <w:t>5</w:t>
      </w:r>
      <w:r>
        <w:rPr>
          <w:szCs w:val="32"/>
        </w:rPr>
        <w:t>年</w:t>
      </w:r>
      <w:r>
        <w:rPr>
          <w:rFonts w:hint="eastAsia"/>
          <w:szCs w:val="32"/>
          <w:lang w:val="en-US" w:eastAsia="zh-CN"/>
        </w:rPr>
        <w:t>11</w:t>
      </w:r>
      <w:r>
        <w:rPr>
          <w:szCs w:val="32"/>
        </w:rPr>
        <w:t>月至</w:t>
      </w:r>
      <w:r>
        <w:rPr>
          <w:rFonts w:hint="eastAsia"/>
          <w:szCs w:val="32"/>
          <w:lang w:val="en-US" w:eastAsia="zh-CN"/>
        </w:rPr>
        <w:t>12</w:t>
      </w:r>
      <w:r>
        <w:rPr>
          <w:szCs w:val="32"/>
        </w:rPr>
        <w:t>月对</w:t>
      </w:r>
      <w:r>
        <w:rPr>
          <w:rFonts w:hint="eastAsia"/>
          <w:szCs w:val="32"/>
        </w:rPr>
        <w:t>2024年度养老服务设施建设及运营、管理服务补助经费（老年食堂）项目支出</w:t>
      </w:r>
      <w:r>
        <w:rPr>
          <w:szCs w:val="32"/>
        </w:rPr>
        <w:t>开展绩效评价。现将评价情况报告如下：</w:t>
      </w:r>
    </w:p>
    <w:p w14:paraId="69D2AFF8">
      <w:pPr>
        <w:pStyle w:val="3"/>
        <w:ind w:firstLine="562"/>
        <w:rPr>
          <w:rFonts w:ascii="Times New Roman" w:hAnsi="Times New Roman" w:cs="Times New Roman"/>
          <w:b/>
          <w:bCs w:val="0"/>
        </w:rPr>
      </w:pPr>
      <w:bookmarkStart w:id="55" w:name="_Toc3403"/>
      <w:bookmarkStart w:id="56" w:name="_Toc31311"/>
      <w:bookmarkStart w:id="57" w:name="_Toc21127"/>
      <w:bookmarkStart w:id="58" w:name="_Toc9789"/>
      <w:bookmarkStart w:id="59" w:name="_Toc22288"/>
      <w:bookmarkStart w:id="60" w:name="_Toc2772"/>
      <w:bookmarkStart w:id="61" w:name="_Toc3447"/>
      <w:bookmarkStart w:id="62" w:name="_Toc25597"/>
      <w:r>
        <w:rPr>
          <w:rFonts w:ascii="Times New Roman" w:hAnsi="Times New Roman" w:cs="Times New Roman"/>
          <w:b/>
          <w:bCs w:val="0"/>
        </w:rPr>
        <w:t>一、基本情况</w:t>
      </w:r>
      <w:bookmarkEnd w:id="55"/>
      <w:bookmarkEnd w:id="56"/>
      <w:bookmarkEnd w:id="57"/>
      <w:bookmarkEnd w:id="58"/>
      <w:bookmarkEnd w:id="59"/>
      <w:bookmarkEnd w:id="60"/>
      <w:bookmarkEnd w:id="61"/>
      <w:bookmarkEnd w:id="62"/>
    </w:p>
    <w:p w14:paraId="52B5BF51">
      <w:pPr>
        <w:pStyle w:val="4"/>
        <w:ind w:firstLine="560"/>
      </w:pPr>
      <w:bookmarkStart w:id="63" w:name="_Toc28663"/>
      <w:bookmarkStart w:id="64" w:name="_Toc20452"/>
      <w:bookmarkStart w:id="65" w:name="_Toc15282"/>
      <w:bookmarkStart w:id="66" w:name="_Toc22066"/>
      <w:bookmarkStart w:id="67" w:name="_Toc30441"/>
      <w:r>
        <w:t>（一）项目概况</w:t>
      </w:r>
      <w:bookmarkEnd w:id="63"/>
      <w:bookmarkEnd w:id="64"/>
      <w:bookmarkEnd w:id="65"/>
      <w:bookmarkEnd w:id="66"/>
      <w:bookmarkEnd w:id="67"/>
    </w:p>
    <w:p w14:paraId="21797ACB">
      <w:pPr>
        <w:pStyle w:val="5"/>
        <w:ind w:firstLine="560"/>
        <w:rPr>
          <w:rFonts w:ascii="Times New Roman" w:hAnsi="Times New Roman" w:cs="Times New Roman"/>
        </w:rPr>
      </w:pPr>
      <w:r>
        <w:rPr>
          <w:rFonts w:ascii="Times New Roman" w:hAnsi="Times New Roman" w:cs="Times New Roman"/>
        </w:rPr>
        <w:t>1．项目背景</w:t>
      </w:r>
    </w:p>
    <w:p w14:paraId="5E4DC38F">
      <w:pPr>
        <w:ind w:firstLine="560"/>
        <w:rPr>
          <w:rFonts w:hint="eastAsia" w:eastAsia="仿宋_GB2312"/>
          <w:szCs w:val="32"/>
          <w:lang w:eastAsia="zh-CN"/>
        </w:rPr>
      </w:pPr>
      <w:r>
        <w:rPr>
          <w:rFonts w:hint="eastAsia"/>
          <w:szCs w:val="32"/>
        </w:rPr>
        <w:t>根据</w:t>
      </w:r>
      <w:r>
        <w:rPr>
          <w:rFonts w:hint="eastAsia"/>
          <w:szCs w:val="32"/>
          <w:lang w:eastAsia="zh-CN"/>
        </w:rPr>
        <w:t>《安宁市加强基本养老服务体系建设实施方案》（安办发〔2023〕13号），以习近平新时代中国特色社会主义思想为指导，全面贯彻党的二十大精神，深入贯彻习近平总书记关于养老服务工作重要指示批示和考察云南重要讲话精神，坚持以人民为中心的发展思想，坚持政府统筹、保障基本、因地制宜、精准施策、尽力而为、量力而行，充分发挥市场机制作用，积极构建覆盖城乡、布局合理、共建共享的养老服务基本格局，推进养老服务市场化和普惠化共同发展。到2025年，安宁市基本养老服务制度体系基本健全，老年助餐服务基本覆盖，建成区“一刻钟”养老服务圈基本建成，养老服务标准化、制度化建设取得新进展、新突破，基本养老服务清单持续完善，服务供给、保障、监管等机制不断健全，在老有所养、老有所医、老有所为、老有所乐上取得新成就，老年人多样化、多层次、高品质的健康养老基本满足。</w:t>
      </w:r>
    </w:p>
    <w:p w14:paraId="685424B5">
      <w:pPr>
        <w:pStyle w:val="5"/>
        <w:ind w:firstLine="560"/>
        <w:rPr>
          <w:rFonts w:ascii="Times New Roman" w:hAnsi="Times New Roman" w:cs="Times New Roman"/>
        </w:rPr>
      </w:pPr>
      <w:r>
        <w:rPr>
          <w:rFonts w:ascii="Times New Roman" w:hAnsi="Times New Roman" w:cs="Times New Roman"/>
        </w:rPr>
        <w:t>2．主要内容</w:t>
      </w:r>
    </w:p>
    <w:p w14:paraId="7F1112D6">
      <w:pPr>
        <w:ind w:firstLine="560"/>
        <w:rPr>
          <w:szCs w:val="32"/>
        </w:rPr>
      </w:pPr>
      <w:r>
        <w:rPr>
          <w:rFonts w:hint="eastAsia"/>
          <w:szCs w:val="32"/>
        </w:rPr>
        <w:t>实施</w:t>
      </w:r>
      <w:r>
        <w:rPr>
          <w:szCs w:val="32"/>
        </w:rPr>
        <w:t>2</w:t>
      </w:r>
      <w:r>
        <w:rPr>
          <w:rFonts w:hint="eastAsia"/>
          <w:szCs w:val="32"/>
        </w:rPr>
        <w:t>024年度养老服务设施建设及运营、管理服务补助经费（老年食堂）项目，主要工作内容如下：</w:t>
      </w:r>
    </w:p>
    <w:p w14:paraId="74EA6590">
      <w:pPr>
        <w:ind w:firstLine="560"/>
        <w:rPr>
          <w:szCs w:val="32"/>
        </w:rPr>
      </w:pPr>
      <w:r>
        <w:rPr>
          <w:rFonts w:hint="eastAsia"/>
          <w:szCs w:val="32"/>
        </w:rPr>
        <w:t>（</w:t>
      </w:r>
      <w:r>
        <w:rPr>
          <w:rFonts w:hint="eastAsia"/>
          <w:szCs w:val="32"/>
          <w:lang w:val="en-US" w:eastAsia="zh-CN"/>
        </w:rPr>
        <w:t>1</w:t>
      </w:r>
      <w:r>
        <w:rPr>
          <w:rFonts w:hint="eastAsia"/>
          <w:szCs w:val="32"/>
        </w:rPr>
        <w:t>）对于提供助餐服务的居家养老服务单位，按照实际用餐老年人数给予服务机构200元/人/月的服务补助经费，其中城乡低收入老年人再增加200元/人/月的补助标准，食堂用餐标准不低于两荤两素一汤，补助老年人数按照每月用餐满22天为1人进行核定，用餐天数减半的，补助资金同时减半。</w:t>
      </w:r>
    </w:p>
    <w:p w14:paraId="5F472DC3">
      <w:pPr>
        <w:ind w:firstLine="560"/>
        <w:rPr>
          <w:szCs w:val="32"/>
        </w:rPr>
      </w:pPr>
      <w:r>
        <w:rPr>
          <w:rFonts w:hint="eastAsia"/>
          <w:szCs w:val="32"/>
        </w:rPr>
        <w:t>（</w:t>
      </w:r>
      <w:r>
        <w:rPr>
          <w:rFonts w:hint="eastAsia"/>
          <w:szCs w:val="32"/>
          <w:lang w:val="en-US" w:eastAsia="zh-CN"/>
        </w:rPr>
        <w:t>2</w:t>
      </w:r>
      <w:r>
        <w:rPr>
          <w:rFonts w:hint="eastAsia"/>
          <w:szCs w:val="32"/>
        </w:rPr>
        <w:t>）采取政府补助方式，补助各居家养老服务单位1-7名不等的工作人员，补助经费按照2300元/人/月执行，补助工作人员数按照1:15的比例（用餐老人&lt;40）和1:20的比例（用餐老人&gt;40）进行补助，同时结合服务内容的多少、好坏、距离城区的远近等因素适当增加1-2名不等的工作人员补助经费。</w:t>
      </w:r>
    </w:p>
    <w:p w14:paraId="13BD159B">
      <w:pPr>
        <w:pStyle w:val="5"/>
        <w:ind w:firstLine="56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预算单位（项目主管单位）和项目实施单位</w:t>
      </w:r>
    </w:p>
    <w:p w14:paraId="57F2A6FC">
      <w:pPr>
        <w:ind w:firstLine="560"/>
        <w:rPr>
          <w:szCs w:val="32"/>
        </w:rPr>
      </w:pPr>
      <w:r>
        <w:rPr>
          <w:rFonts w:hint="eastAsia"/>
        </w:rPr>
        <w:t>本项目预算单位（项目主管单位）为安宁市民政局，项目实施单位为安宁市各街道办。</w:t>
      </w:r>
    </w:p>
    <w:p w14:paraId="12FCFCEC">
      <w:pPr>
        <w:pStyle w:val="5"/>
        <w:ind w:firstLine="560"/>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．资金投入和使用情况</w:t>
      </w:r>
    </w:p>
    <w:p w14:paraId="0E7FA861">
      <w:pPr>
        <w:ind w:firstLine="560"/>
      </w:pPr>
      <w:r>
        <w:t>（1）资金来源</w:t>
      </w:r>
    </w:p>
    <w:p w14:paraId="526B3F05">
      <w:pPr>
        <w:ind w:firstLine="560"/>
      </w:pPr>
      <w:r>
        <w:rPr>
          <w:rFonts w:hint="eastAsia"/>
        </w:rPr>
        <w:t>安宁市财政局下达2024年度养老服务设施建设及运营、管理服务补助经费（老年食堂）项目本级预算资金15,612,000.00元。</w:t>
      </w:r>
    </w:p>
    <w:p w14:paraId="775D7BFA">
      <w:pPr>
        <w:ind w:firstLine="560"/>
      </w:pPr>
      <w:r>
        <w:t>（</w:t>
      </w:r>
      <w:r>
        <w:rPr>
          <w:rFonts w:hint="eastAsia"/>
        </w:rPr>
        <w:t>2</w:t>
      </w:r>
      <w:r>
        <w:t>）资金使用情况</w:t>
      </w:r>
    </w:p>
    <w:p w14:paraId="586A2BDE">
      <w:pPr>
        <w:ind w:firstLine="560"/>
      </w:pPr>
      <w:r>
        <w:rPr>
          <w:rFonts w:hint="eastAsia"/>
        </w:rPr>
        <w:t>2024年度养老服务设施建设及运营、管理服务补助经费（老年食堂）项目支出合计11,551,900.00元，结转结余预算指标4,060,100.00元，于年底返还财政。支出明细如下：</w:t>
      </w:r>
    </w:p>
    <w:p w14:paraId="7C21BBD6">
      <w:pPr>
        <w:ind w:firstLine="420"/>
        <w:jc w:val="right"/>
        <w:rPr>
          <w:rFonts w:hint="eastAsia"/>
          <w:sz w:val="21"/>
          <w:szCs w:val="21"/>
        </w:rPr>
      </w:pPr>
      <w:r>
        <w:rPr>
          <w:rFonts w:hint="eastAsia"/>
          <w:sz w:val="21"/>
          <w:szCs w:val="21"/>
        </w:rPr>
        <w:t>单位：元</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70"/>
        <w:gridCol w:w="1752"/>
        <w:gridCol w:w="1752"/>
        <w:gridCol w:w="1512"/>
        <w:gridCol w:w="1833"/>
      </w:tblGrid>
      <w:tr w14:paraId="5873B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68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所属街道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354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2024老年人用餐补助资金支出</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5C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2024工作人员补助补助资金支出</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CD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启动</w:t>
            </w:r>
            <w:r>
              <w:rPr>
                <w:rFonts w:hint="default" w:ascii="Times New Roman" w:hAnsi="Times New Roman" w:eastAsia="宋体" w:cs="Times New Roman"/>
                <w:b/>
                <w:bCs/>
                <w:i w:val="0"/>
                <w:iCs w:val="0"/>
                <w:color w:val="000000"/>
                <w:kern w:val="0"/>
                <w:sz w:val="18"/>
                <w:szCs w:val="18"/>
                <w:u w:val="none"/>
                <w:lang w:val="en-US" w:eastAsia="zh-CN" w:bidi="ar"/>
              </w:rPr>
              <w:t>运营补助资金支出</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2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街道资金支出小计</w:t>
            </w:r>
          </w:p>
        </w:tc>
      </w:tr>
      <w:tr w14:paraId="4039F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34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八街街道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6B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1,171,400.00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EB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566,900.00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095F">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3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1,738,300.00 </w:t>
            </w:r>
          </w:p>
        </w:tc>
      </w:tr>
      <w:tr w14:paraId="6D1E3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52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草铺街道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95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443,240.00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E7B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218,700.00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5DC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30,000.00 </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E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691,940.00 </w:t>
            </w:r>
          </w:p>
        </w:tc>
      </w:tr>
      <w:tr w14:paraId="5829D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49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金方街道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F9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278,200.00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C3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156,500.00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A66B">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B2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434,700.00 </w:t>
            </w:r>
          </w:p>
        </w:tc>
      </w:tr>
      <w:tr w14:paraId="78F72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2E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连然街道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2B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2,885,200.00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98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504,900.00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AB931">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70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3,390,100.00 </w:t>
            </w:r>
          </w:p>
        </w:tc>
      </w:tr>
      <w:tr w14:paraId="223B1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D8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禄脿街道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78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1,068,800.00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DD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483,400.00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BD49C">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95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1,552,200.00 </w:t>
            </w:r>
          </w:p>
        </w:tc>
      </w:tr>
      <w:tr w14:paraId="529E6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9F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青龙街道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5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544,200.00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8CD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171,900.00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C150">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D1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716,100.00 </w:t>
            </w:r>
          </w:p>
        </w:tc>
      </w:tr>
      <w:tr w14:paraId="4D979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D9F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太平新城街道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A0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242,200.00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5F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43,700.00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DE45">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C1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285,900.00 </w:t>
            </w:r>
          </w:p>
        </w:tc>
      </w:tr>
      <w:tr w14:paraId="5935A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FE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温泉街道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83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730,600.00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BC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226,220.00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C21F">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7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956,820.00 </w:t>
            </w:r>
          </w:p>
        </w:tc>
      </w:tr>
      <w:tr w14:paraId="71B93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54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县街街道</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3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1,290,000.00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97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495,840.00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38BB">
            <w:pPr>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2D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1,785,840.00 </w:t>
            </w:r>
          </w:p>
        </w:tc>
      </w:tr>
      <w:tr w14:paraId="46D56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6E2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26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8,653,840.00 </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68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2,868,060.00 </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9B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30,000.00 </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68B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11,551,900.00 </w:t>
            </w:r>
          </w:p>
        </w:tc>
      </w:tr>
    </w:tbl>
    <w:p w14:paraId="6369B148">
      <w:pPr>
        <w:pStyle w:val="4"/>
        <w:ind w:firstLine="560"/>
      </w:pPr>
      <w:bookmarkStart w:id="68" w:name="_Toc6121"/>
      <w:bookmarkStart w:id="69" w:name="_Toc1541"/>
      <w:bookmarkStart w:id="70" w:name="_Toc3977"/>
      <w:bookmarkStart w:id="71" w:name="_Toc16382"/>
      <w:bookmarkStart w:id="72" w:name="_Toc5504"/>
      <w:r>
        <w:t>（二）绩效目标设立情况</w:t>
      </w:r>
      <w:bookmarkEnd w:id="68"/>
      <w:bookmarkEnd w:id="69"/>
      <w:bookmarkEnd w:id="70"/>
      <w:bookmarkEnd w:id="71"/>
      <w:bookmarkEnd w:id="72"/>
    </w:p>
    <w:p w14:paraId="68C304C6">
      <w:pPr>
        <w:pStyle w:val="5"/>
        <w:ind w:firstLine="560"/>
        <w:rPr>
          <w:rFonts w:ascii="Times New Roman" w:hAnsi="Times New Roman" w:cs="Times New Roman"/>
        </w:rPr>
      </w:pPr>
      <w:r>
        <w:rPr>
          <w:rFonts w:ascii="Times New Roman" w:hAnsi="Times New Roman" w:cs="Times New Roman"/>
        </w:rPr>
        <w:t>1．预算批复（申报）绩效目标</w:t>
      </w:r>
    </w:p>
    <w:p w14:paraId="1C9B162B">
      <w:pPr>
        <w:ind w:firstLine="560"/>
      </w:pPr>
      <w:r>
        <w:rPr>
          <w:rFonts w:hint="eastAsia"/>
          <w:szCs w:val="32"/>
        </w:rPr>
        <w:t>（1）</w:t>
      </w:r>
      <w:r>
        <w:rPr>
          <w:szCs w:val="32"/>
        </w:rPr>
        <w:t>总体</w:t>
      </w:r>
      <w:r>
        <w:t>绩效目标</w:t>
      </w:r>
    </w:p>
    <w:p w14:paraId="04AE3B3A">
      <w:pPr>
        <w:ind w:firstLine="560"/>
        <w:rPr>
          <w:szCs w:val="32"/>
        </w:rPr>
      </w:pPr>
      <w:r>
        <w:rPr>
          <w:rFonts w:hint="eastAsia"/>
          <w:szCs w:val="32"/>
        </w:rPr>
        <w:t>为提供助餐服务的养老服务单位根据实际服务的老年人数和服务月数，给予服务机构200元/人/月的服务补助资金，其中城乡低收入老年人再增加200元/人/月的补助标准；为建成投入使用的城乡居家养老服务单位按2300元/人/月标准给予工作人员补助。</w:t>
      </w:r>
    </w:p>
    <w:p w14:paraId="2B22DE1D">
      <w:pPr>
        <w:ind w:firstLine="560"/>
      </w:pPr>
      <w:r>
        <w:rPr>
          <w:rFonts w:hint="eastAsia"/>
          <w:szCs w:val="32"/>
        </w:rPr>
        <w:t>（2）</w:t>
      </w:r>
      <w:r>
        <w:rPr>
          <w:szCs w:val="32"/>
        </w:rPr>
        <w:t>具体</w:t>
      </w:r>
      <w:r>
        <w:t>绩效指标</w:t>
      </w:r>
    </w:p>
    <w:tbl>
      <w:tblPr>
        <w:tblStyle w:val="17"/>
        <w:tblW w:w="8048" w:type="dxa"/>
        <w:tblInd w:w="1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954"/>
        <w:gridCol w:w="1187"/>
        <w:gridCol w:w="2748"/>
        <w:gridCol w:w="1622"/>
        <w:gridCol w:w="1537"/>
      </w:tblGrid>
      <w:tr w14:paraId="38047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2" w:hRule="atLeast"/>
          <w:tblHeader/>
        </w:trPr>
        <w:tc>
          <w:tcPr>
            <w:tcW w:w="954" w:type="dxa"/>
            <w:tcBorders>
              <w:tl2br w:val="nil"/>
              <w:tr2bl w:val="nil"/>
            </w:tcBorders>
            <w:shd w:val="clear" w:color="auto" w:fill="auto"/>
            <w:vAlign w:val="center"/>
          </w:tcPr>
          <w:p w14:paraId="70533F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一级指标</w:t>
            </w:r>
          </w:p>
        </w:tc>
        <w:tc>
          <w:tcPr>
            <w:tcW w:w="1187" w:type="dxa"/>
            <w:tcBorders>
              <w:tl2br w:val="nil"/>
              <w:tr2bl w:val="nil"/>
            </w:tcBorders>
            <w:shd w:val="clear" w:color="auto" w:fill="auto"/>
            <w:vAlign w:val="center"/>
          </w:tcPr>
          <w:p w14:paraId="543B1D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二级指标</w:t>
            </w:r>
          </w:p>
        </w:tc>
        <w:tc>
          <w:tcPr>
            <w:tcW w:w="2748" w:type="dxa"/>
            <w:tcBorders>
              <w:tl2br w:val="nil"/>
              <w:tr2bl w:val="nil"/>
            </w:tcBorders>
            <w:shd w:val="clear" w:color="auto" w:fill="auto"/>
            <w:vAlign w:val="center"/>
          </w:tcPr>
          <w:p w14:paraId="6A0FF2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三级指标</w:t>
            </w:r>
          </w:p>
        </w:tc>
        <w:tc>
          <w:tcPr>
            <w:tcW w:w="1622" w:type="dxa"/>
            <w:tcBorders>
              <w:tl2br w:val="nil"/>
              <w:tr2bl w:val="nil"/>
            </w:tcBorders>
            <w:shd w:val="clear" w:color="auto" w:fill="auto"/>
            <w:vAlign w:val="center"/>
          </w:tcPr>
          <w:p w14:paraId="23E944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指标值</w:t>
            </w:r>
          </w:p>
        </w:tc>
        <w:tc>
          <w:tcPr>
            <w:tcW w:w="1537" w:type="dxa"/>
            <w:tcBorders>
              <w:tl2br w:val="nil"/>
              <w:tr2bl w:val="nil"/>
            </w:tcBorders>
            <w:shd w:val="clear" w:color="auto" w:fill="auto"/>
            <w:vAlign w:val="center"/>
          </w:tcPr>
          <w:p w14:paraId="5E891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全年实际完成值</w:t>
            </w:r>
          </w:p>
        </w:tc>
      </w:tr>
      <w:tr w14:paraId="1B8AA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954" w:type="dxa"/>
            <w:vMerge w:val="restart"/>
            <w:tcBorders>
              <w:tl2br w:val="nil"/>
              <w:tr2bl w:val="nil"/>
            </w:tcBorders>
            <w:shd w:val="clear" w:color="auto" w:fill="auto"/>
            <w:vAlign w:val="center"/>
          </w:tcPr>
          <w:p w14:paraId="7D0061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187" w:type="dxa"/>
            <w:vMerge w:val="restart"/>
            <w:tcBorders>
              <w:tl2br w:val="nil"/>
              <w:tr2bl w:val="nil"/>
            </w:tcBorders>
            <w:shd w:val="clear" w:color="auto" w:fill="auto"/>
            <w:vAlign w:val="center"/>
          </w:tcPr>
          <w:p w14:paraId="70A1AB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748" w:type="dxa"/>
            <w:tcBorders>
              <w:tl2br w:val="nil"/>
              <w:tr2bl w:val="nil"/>
            </w:tcBorders>
            <w:shd w:val="clear" w:color="auto" w:fill="auto"/>
            <w:vAlign w:val="center"/>
          </w:tcPr>
          <w:p w14:paraId="6C095A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按评估结果核拨服务老年人补助经费</w:t>
            </w:r>
          </w:p>
        </w:tc>
        <w:tc>
          <w:tcPr>
            <w:tcW w:w="1622" w:type="dxa"/>
            <w:tcBorders>
              <w:tl2br w:val="nil"/>
              <w:tr2bl w:val="nil"/>
            </w:tcBorders>
            <w:shd w:val="clear" w:color="auto" w:fill="auto"/>
            <w:vAlign w:val="center"/>
          </w:tcPr>
          <w:p w14:paraId="459937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537" w:type="dxa"/>
            <w:tcBorders>
              <w:tl2br w:val="nil"/>
              <w:tr2bl w:val="nil"/>
            </w:tcBorders>
            <w:shd w:val="clear" w:color="auto" w:fill="auto"/>
            <w:vAlign w:val="center"/>
          </w:tcPr>
          <w:p w14:paraId="234919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r>
      <w:tr w14:paraId="2F077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954" w:type="dxa"/>
            <w:vMerge w:val="continue"/>
            <w:tcBorders>
              <w:tl2br w:val="nil"/>
              <w:tr2bl w:val="nil"/>
            </w:tcBorders>
            <w:shd w:val="clear" w:color="auto" w:fill="auto"/>
            <w:vAlign w:val="center"/>
          </w:tcPr>
          <w:p w14:paraId="519125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187" w:type="dxa"/>
            <w:vMerge w:val="continue"/>
            <w:tcBorders>
              <w:tl2br w:val="nil"/>
              <w:tr2bl w:val="nil"/>
            </w:tcBorders>
            <w:shd w:val="clear" w:color="auto" w:fill="auto"/>
            <w:vAlign w:val="center"/>
          </w:tcPr>
          <w:p w14:paraId="185C76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2748" w:type="dxa"/>
            <w:tcBorders>
              <w:tl2br w:val="nil"/>
              <w:tr2bl w:val="nil"/>
            </w:tcBorders>
            <w:shd w:val="clear" w:color="auto" w:fill="auto"/>
            <w:vAlign w:val="center"/>
          </w:tcPr>
          <w:p w14:paraId="7B7984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城乡居家养老服务单位工作人员补助保障程度</w:t>
            </w:r>
          </w:p>
        </w:tc>
        <w:tc>
          <w:tcPr>
            <w:tcW w:w="1622" w:type="dxa"/>
            <w:tcBorders>
              <w:tl2br w:val="nil"/>
              <w:tr2bl w:val="nil"/>
            </w:tcBorders>
            <w:shd w:val="clear" w:color="auto" w:fill="auto"/>
            <w:vAlign w:val="center"/>
          </w:tcPr>
          <w:p w14:paraId="482245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537" w:type="dxa"/>
            <w:tcBorders>
              <w:tl2br w:val="nil"/>
              <w:tr2bl w:val="nil"/>
            </w:tcBorders>
            <w:shd w:val="clear" w:color="auto" w:fill="auto"/>
            <w:vAlign w:val="center"/>
          </w:tcPr>
          <w:p w14:paraId="2921BA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r>
      <w:tr w14:paraId="55874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954" w:type="dxa"/>
            <w:vMerge w:val="continue"/>
            <w:tcBorders>
              <w:tl2br w:val="nil"/>
              <w:tr2bl w:val="nil"/>
            </w:tcBorders>
            <w:shd w:val="clear" w:color="auto" w:fill="auto"/>
            <w:vAlign w:val="center"/>
          </w:tcPr>
          <w:p w14:paraId="7C55F0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187" w:type="dxa"/>
            <w:vMerge w:val="restart"/>
            <w:tcBorders>
              <w:tl2br w:val="nil"/>
              <w:tr2bl w:val="nil"/>
            </w:tcBorders>
            <w:shd w:val="clear" w:color="auto" w:fill="auto"/>
            <w:vAlign w:val="center"/>
          </w:tcPr>
          <w:p w14:paraId="0F7AAA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748" w:type="dxa"/>
            <w:tcBorders>
              <w:tl2br w:val="nil"/>
              <w:tr2bl w:val="nil"/>
            </w:tcBorders>
            <w:shd w:val="clear" w:color="auto" w:fill="auto"/>
            <w:vAlign w:val="center"/>
          </w:tcPr>
          <w:p w14:paraId="45FF62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提高老年人生活质量</w:t>
            </w:r>
          </w:p>
        </w:tc>
        <w:tc>
          <w:tcPr>
            <w:tcW w:w="1622" w:type="dxa"/>
            <w:tcBorders>
              <w:tl2br w:val="nil"/>
              <w:tr2bl w:val="nil"/>
            </w:tcBorders>
            <w:shd w:val="clear" w:color="auto" w:fill="auto"/>
            <w:vAlign w:val="center"/>
          </w:tcPr>
          <w:p w14:paraId="4F89A8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不断提高</w:t>
            </w:r>
          </w:p>
        </w:tc>
        <w:tc>
          <w:tcPr>
            <w:tcW w:w="1537" w:type="dxa"/>
            <w:tcBorders>
              <w:tl2br w:val="nil"/>
              <w:tr2bl w:val="nil"/>
            </w:tcBorders>
            <w:shd w:val="clear" w:color="auto" w:fill="auto"/>
            <w:vAlign w:val="center"/>
          </w:tcPr>
          <w:p w14:paraId="261C31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不断提高</w:t>
            </w:r>
          </w:p>
        </w:tc>
      </w:tr>
      <w:tr w14:paraId="053E3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954" w:type="dxa"/>
            <w:vMerge w:val="continue"/>
            <w:tcBorders>
              <w:tl2br w:val="nil"/>
              <w:tr2bl w:val="nil"/>
            </w:tcBorders>
            <w:shd w:val="clear" w:color="auto" w:fill="auto"/>
            <w:vAlign w:val="center"/>
          </w:tcPr>
          <w:p w14:paraId="681BFF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187" w:type="dxa"/>
            <w:vMerge w:val="continue"/>
            <w:tcBorders>
              <w:tl2br w:val="nil"/>
              <w:tr2bl w:val="nil"/>
            </w:tcBorders>
            <w:shd w:val="clear" w:color="auto" w:fill="auto"/>
            <w:vAlign w:val="center"/>
          </w:tcPr>
          <w:p w14:paraId="250259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2748" w:type="dxa"/>
            <w:tcBorders>
              <w:tl2br w:val="nil"/>
              <w:tr2bl w:val="nil"/>
            </w:tcBorders>
            <w:shd w:val="clear" w:color="auto" w:fill="auto"/>
            <w:vAlign w:val="center"/>
          </w:tcPr>
          <w:p w14:paraId="03D720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按规定标准核拨城乡居家养老服务单位工作人员补助</w:t>
            </w:r>
          </w:p>
        </w:tc>
        <w:tc>
          <w:tcPr>
            <w:tcW w:w="1622" w:type="dxa"/>
            <w:tcBorders>
              <w:tl2br w:val="nil"/>
              <w:tr2bl w:val="nil"/>
            </w:tcBorders>
            <w:shd w:val="clear" w:color="auto" w:fill="auto"/>
            <w:vAlign w:val="center"/>
          </w:tcPr>
          <w:p w14:paraId="396F34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537" w:type="dxa"/>
            <w:tcBorders>
              <w:tl2br w:val="nil"/>
              <w:tr2bl w:val="nil"/>
            </w:tcBorders>
            <w:shd w:val="clear" w:color="auto" w:fill="auto"/>
            <w:vAlign w:val="center"/>
          </w:tcPr>
          <w:p w14:paraId="06B714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r>
      <w:tr w14:paraId="2D71D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trPr>
        <w:tc>
          <w:tcPr>
            <w:tcW w:w="954" w:type="dxa"/>
            <w:vMerge w:val="continue"/>
            <w:tcBorders>
              <w:tl2br w:val="nil"/>
              <w:tr2bl w:val="nil"/>
            </w:tcBorders>
            <w:shd w:val="clear" w:color="auto" w:fill="auto"/>
            <w:vAlign w:val="center"/>
          </w:tcPr>
          <w:p w14:paraId="5E96C5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187" w:type="dxa"/>
            <w:tcBorders>
              <w:tl2br w:val="nil"/>
              <w:tr2bl w:val="nil"/>
            </w:tcBorders>
            <w:shd w:val="clear" w:color="auto" w:fill="auto"/>
            <w:vAlign w:val="center"/>
          </w:tcPr>
          <w:p w14:paraId="1ACFA0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2748" w:type="dxa"/>
            <w:tcBorders>
              <w:tl2br w:val="nil"/>
              <w:tr2bl w:val="nil"/>
            </w:tcBorders>
            <w:shd w:val="clear" w:color="auto" w:fill="auto"/>
            <w:vAlign w:val="center"/>
          </w:tcPr>
          <w:p w14:paraId="43E2BE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及时性指标</w:t>
            </w:r>
          </w:p>
        </w:tc>
        <w:tc>
          <w:tcPr>
            <w:tcW w:w="1622" w:type="dxa"/>
            <w:tcBorders>
              <w:tl2br w:val="nil"/>
              <w:tr2bl w:val="nil"/>
            </w:tcBorders>
            <w:shd w:val="clear" w:color="auto" w:fill="auto"/>
            <w:vAlign w:val="center"/>
          </w:tcPr>
          <w:p w14:paraId="00A0AF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按时补助</w:t>
            </w:r>
          </w:p>
        </w:tc>
        <w:tc>
          <w:tcPr>
            <w:tcW w:w="1537" w:type="dxa"/>
            <w:tcBorders>
              <w:tl2br w:val="nil"/>
              <w:tr2bl w:val="nil"/>
            </w:tcBorders>
            <w:shd w:val="clear" w:color="auto" w:fill="auto"/>
            <w:vAlign w:val="center"/>
          </w:tcPr>
          <w:p w14:paraId="4BC4AF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按时补助</w:t>
            </w:r>
          </w:p>
        </w:tc>
      </w:tr>
      <w:tr w14:paraId="53ECC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trPr>
        <w:tc>
          <w:tcPr>
            <w:tcW w:w="954" w:type="dxa"/>
            <w:vMerge w:val="restart"/>
            <w:tcBorders>
              <w:tl2br w:val="nil"/>
              <w:tr2bl w:val="nil"/>
            </w:tcBorders>
            <w:shd w:val="clear" w:color="auto" w:fill="auto"/>
            <w:vAlign w:val="center"/>
          </w:tcPr>
          <w:p w14:paraId="3511BC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187" w:type="dxa"/>
            <w:tcBorders>
              <w:tl2br w:val="nil"/>
              <w:tr2bl w:val="nil"/>
            </w:tcBorders>
            <w:shd w:val="clear" w:color="auto" w:fill="auto"/>
            <w:vAlign w:val="center"/>
          </w:tcPr>
          <w:p w14:paraId="397F9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2748" w:type="dxa"/>
            <w:tcBorders>
              <w:tl2br w:val="nil"/>
              <w:tr2bl w:val="nil"/>
            </w:tcBorders>
            <w:shd w:val="clear" w:color="auto" w:fill="auto"/>
            <w:vAlign w:val="center"/>
          </w:tcPr>
          <w:p w14:paraId="4E21B4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落实政府政策</w:t>
            </w:r>
          </w:p>
        </w:tc>
        <w:tc>
          <w:tcPr>
            <w:tcW w:w="1622" w:type="dxa"/>
            <w:tcBorders>
              <w:tl2br w:val="nil"/>
              <w:tr2bl w:val="nil"/>
            </w:tcBorders>
            <w:shd w:val="clear" w:color="auto" w:fill="auto"/>
            <w:vAlign w:val="center"/>
          </w:tcPr>
          <w:p w14:paraId="2509DC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促进社会和谐，应对人口老龄化</w:t>
            </w:r>
          </w:p>
        </w:tc>
        <w:tc>
          <w:tcPr>
            <w:tcW w:w="1537" w:type="dxa"/>
            <w:tcBorders>
              <w:tl2br w:val="nil"/>
              <w:tr2bl w:val="nil"/>
            </w:tcBorders>
            <w:shd w:val="clear" w:color="auto" w:fill="auto"/>
            <w:vAlign w:val="center"/>
          </w:tcPr>
          <w:p w14:paraId="195E32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促进社会和谐，应对人口老龄化</w:t>
            </w:r>
          </w:p>
        </w:tc>
      </w:tr>
      <w:tr w14:paraId="11748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954" w:type="dxa"/>
            <w:vMerge w:val="continue"/>
            <w:tcBorders>
              <w:tl2br w:val="nil"/>
              <w:tr2bl w:val="nil"/>
            </w:tcBorders>
            <w:shd w:val="clear" w:color="auto" w:fill="auto"/>
            <w:vAlign w:val="center"/>
          </w:tcPr>
          <w:p w14:paraId="07E118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187" w:type="dxa"/>
            <w:tcBorders>
              <w:tl2br w:val="nil"/>
              <w:tr2bl w:val="nil"/>
            </w:tcBorders>
            <w:shd w:val="clear" w:color="auto" w:fill="auto"/>
            <w:vAlign w:val="center"/>
          </w:tcPr>
          <w:p w14:paraId="0F9AAD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2748" w:type="dxa"/>
            <w:tcBorders>
              <w:tl2br w:val="nil"/>
              <w:tr2bl w:val="nil"/>
            </w:tcBorders>
            <w:shd w:val="clear" w:color="auto" w:fill="auto"/>
            <w:vAlign w:val="center"/>
          </w:tcPr>
          <w:p w14:paraId="575F9D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持续运营指标</w:t>
            </w:r>
          </w:p>
        </w:tc>
        <w:tc>
          <w:tcPr>
            <w:tcW w:w="1622" w:type="dxa"/>
            <w:tcBorders>
              <w:tl2br w:val="nil"/>
              <w:tr2bl w:val="nil"/>
            </w:tcBorders>
            <w:shd w:val="clear" w:color="auto" w:fill="auto"/>
            <w:vAlign w:val="center"/>
          </w:tcPr>
          <w:p w14:paraId="07F8F6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不断增强</w:t>
            </w:r>
          </w:p>
        </w:tc>
        <w:tc>
          <w:tcPr>
            <w:tcW w:w="1537" w:type="dxa"/>
            <w:tcBorders>
              <w:tl2br w:val="nil"/>
              <w:tr2bl w:val="nil"/>
            </w:tcBorders>
            <w:shd w:val="clear" w:color="auto" w:fill="auto"/>
            <w:vAlign w:val="center"/>
          </w:tcPr>
          <w:p w14:paraId="698A19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不断增强</w:t>
            </w:r>
          </w:p>
        </w:tc>
      </w:tr>
      <w:tr w14:paraId="06A0B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954" w:type="dxa"/>
            <w:tcBorders>
              <w:tl2br w:val="nil"/>
              <w:tr2bl w:val="nil"/>
            </w:tcBorders>
            <w:shd w:val="clear" w:color="auto" w:fill="auto"/>
            <w:vAlign w:val="center"/>
          </w:tcPr>
          <w:p w14:paraId="42BD53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187" w:type="dxa"/>
            <w:tcBorders>
              <w:tl2br w:val="nil"/>
              <w:tr2bl w:val="nil"/>
            </w:tcBorders>
            <w:shd w:val="clear" w:color="auto" w:fill="auto"/>
            <w:vAlign w:val="center"/>
          </w:tcPr>
          <w:p w14:paraId="66E7BA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2748" w:type="dxa"/>
            <w:tcBorders>
              <w:tl2br w:val="nil"/>
              <w:tr2bl w:val="nil"/>
            </w:tcBorders>
            <w:shd w:val="clear" w:color="auto" w:fill="auto"/>
            <w:vAlign w:val="center"/>
          </w:tcPr>
          <w:p w14:paraId="721CD0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受益对象的满意度</w:t>
            </w:r>
          </w:p>
        </w:tc>
        <w:tc>
          <w:tcPr>
            <w:tcW w:w="1622" w:type="dxa"/>
            <w:tcBorders>
              <w:tl2br w:val="nil"/>
              <w:tr2bl w:val="nil"/>
            </w:tcBorders>
            <w:shd w:val="clear" w:color="auto" w:fill="auto"/>
            <w:vAlign w:val="center"/>
          </w:tcPr>
          <w:p w14:paraId="7450D0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537" w:type="dxa"/>
            <w:tcBorders>
              <w:tl2br w:val="nil"/>
              <w:tr2bl w:val="nil"/>
            </w:tcBorders>
            <w:shd w:val="clear" w:color="auto" w:fill="auto"/>
            <w:vAlign w:val="center"/>
          </w:tcPr>
          <w:p w14:paraId="656FD6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r>
    </w:tbl>
    <w:p w14:paraId="6324CA3E">
      <w:pPr>
        <w:pStyle w:val="5"/>
        <w:ind w:firstLine="560"/>
        <w:rPr>
          <w:rFonts w:ascii="Times New Roman" w:hAnsi="Times New Roman" w:cs="Times New Roman"/>
        </w:rPr>
      </w:pPr>
      <w:bookmarkStart w:id="73" w:name="_Toc32426"/>
      <w:r>
        <w:rPr>
          <w:rFonts w:ascii="Times New Roman" w:hAnsi="Times New Roman" w:cs="Times New Roman"/>
        </w:rPr>
        <w:t>2．绩效评价调整后的绩效目标和绩效指标情况</w:t>
      </w:r>
      <w:bookmarkEnd w:id="73"/>
    </w:p>
    <w:p w14:paraId="156FAB15">
      <w:pPr>
        <w:ind w:firstLine="560"/>
        <w:rPr>
          <w:rFonts w:hint="eastAsia"/>
          <w:color w:val="333333"/>
          <w:szCs w:val="32"/>
          <w:shd w:val="clear" w:color="auto" w:fill="FFFFFF"/>
        </w:rPr>
      </w:pPr>
      <w:bookmarkStart w:id="74" w:name="_Hlk183095906"/>
      <w:r>
        <w:rPr>
          <w:rFonts w:hint="eastAsia" w:ascii="仿宋_GB2312" w:hAnsi="仿宋_GB2312" w:cs="仿宋_GB2312"/>
          <w:szCs w:val="32"/>
        </w:rPr>
        <w:t>本项目</w:t>
      </w:r>
      <w:r>
        <w:rPr>
          <w:rFonts w:hint="eastAsia"/>
        </w:rPr>
        <w:t>安宁市民政局</w:t>
      </w:r>
      <w:r>
        <w:rPr>
          <w:rFonts w:hint="eastAsia" w:ascii="仿宋_GB2312" w:hAnsi="仿宋_GB2312" w:cs="仿宋_GB2312"/>
          <w:szCs w:val="32"/>
        </w:rPr>
        <w:t>所提供的绩效自评目标表的评价</w:t>
      </w:r>
      <w:r>
        <w:t>指标不够全面</w:t>
      </w:r>
      <w:r>
        <w:rPr>
          <w:rFonts w:hint="eastAsia"/>
        </w:rPr>
        <w:t>，不能整体反映项目决策阶段和执行过程</w:t>
      </w:r>
      <w:r>
        <w:rPr>
          <w:rFonts w:hint="eastAsia"/>
          <w:lang w:eastAsia="zh-CN"/>
        </w:rPr>
        <w:t>；</w:t>
      </w:r>
      <w:r>
        <w:rPr>
          <w:rFonts w:hint="eastAsia"/>
        </w:rPr>
        <w:t>项目自评所设定的效益指标比较单一，同时未能反映经济效益，</w:t>
      </w:r>
      <w:r>
        <w:rPr>
          <w:rFonts w:hint="eastAsia" w:ascii="仿宋_GB2312" w:hAnsi="仿宋_GB2312" w:cs="仿宋_GB2312"/>
          <w:szCs w:val="32"/>
        </w:rPr>
        <w:t>不能完全体现绩效评价的要求。</w:t>
      </w:r>
      <w:bookmarkEnd w:id="74"/>
      <w:r>
        <w:rPr>
          <w:rFonts w:hint="eastAsia"/>
          <w:color w:val="333333"/>
          <w:szCs w:val="32"/>
          <w:shd w:val="clear" w:color="auto" w:fill="FFFFFF"/>
        </w:rPr>
        <w:t>我们根据被评价单位前期资料收集和项目开展调查情况，结合单位项目开展的核心工作目标及工作内容，参考《云南省项目支出绩效评价管理办法》（云财绩〔2020〕11号）对决策、过程、产出和效益方面进行了审慎的调查和分析，针对项目开展的关键工作目标和评价内容进行了重新设定，其中：</w:t>
      </w:r>
      <w:r>
        <w:rPr>
          <w:rFonts w:hint="eastAsia"/>
          <w:color w:val="333333"/>
          <w:szCs w:val="32"/>
          <w:highlight w:val="none"/>
          <w:shd w:val="clear" w:color="auto" w:fill="FFFFFF"/>
        </w:rPr>
        <w:t>将</w:t>
      </w:r>
      <w:r>
        <w:rPr>
          <w:rFonts w:hint="eastAsia"/>
          <w:color w:val="333333"/>
          <w:szCs w:val="32"/>
          <w:highlight w:val="none"/>
          <w:shd w:val="clear" w:color="auto" w:fill="FFFFFF"/>
          <w:lang w:val="en-US" w:eastAsia="zh-CN"/>
        </w:rPr>
        <w:t>2</w:t>
      </w:r>
      <w:r>
        <w:rPr>
          <w:rFonts w:hint="eastAsia"/>
          <w:color w:val="333333"/>
          <w:szCs w:val="32"/>
          <w:highlight w:val="none"/>
          <w:shd w:val="clear" w:color="auto" w:fill="FFFFFF"/>
        </w:rPr>
        <w:t>个数量指标融合成“老年食堂运营率”指标，将质量指标中的“提高老年人生活质量”调至社会效益指标。</w:t>
      </w:r>
      <w:r>
        <w:rPr>
          <w:rFonts w:hint="eastAsia"/>
          <w:color w:val="333333"/>
          <w:szCs w:val="32"/>
          <w:shd w:val="clear" w:color="auto" w:fill="FFFFFF"/>
        </w:rPr>
        <w:t>调整后具体决策、过程、产出和效益绩效目标详见下表：</w:t>
      </w:r>
    </w:p>
    <w:tbl>
      <w:tblPr>
        <w:tblStyle w:val="1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972"/>
        <w:gridCol w:w="1360"/>
        <w:gridCol w:w="2163"/>
        <w:gridCol w:w="4024"/>
      </w:tblGrid>
      <w:tr w14:paraId="6D53A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0" w:hRule="atLeast"/>
          <w:tblHeader/>
        </w:trPr>
        <w:tc>
          <w:tcPr>
            <w:tcW w:w="571" w:type="pct"/>
            <w:tcBorders>
              <w:tl2br w:val="nil"/>
              <w:tr2bl w:val="nil"/>
            </w:tcBorders>
            <w:shd w:val="clear" w:color="auto" w:fill="auto"/>
            <w:vAlign w:val="center"/>
          </w:tcPr>
          <w:p w14:paraId="3B00E3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一级指标</w:t>
            </w:r>
          </w:p>
        </w:tc>
        <w:tc>
          <w:tcPr>
            <w:tcW w:w="798" w:type="pct"/>
            <w:tcBorders>
              <w:tl2br w:val="nil"/>
              <w:tr2bl w:val="nil"/>
            </w:tcBorders>
            <w:shd w:val="clear" w:color="auto" w:fill="auto"/>
            <w:vAlign w:val="center"/>
          </w:tcPr>
          <w:p w14:paraId="6ECF4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二级指标</w:t>
            </w:r>
          </w:p>
        </w:tc>
        <w:tc>
          <w:tcPr>
            <w:tcW w:w="1269" w:type="pct"/>
            <w:tcBorders>
              <w:tl2br w:val="nil"/>
              <w:tr2bl w:val="nil"/>
            </w:tcBorders>
            <w:shd w:val="clear" w:color="auto" w:fill="auto"/>
            <w:vAlign w:val="center"/>
          </w:tcPr>
          <w:p w14:paraId="1EC7DF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三级指标</w:t>
            </w:r>
          </w:p>
        </w:tc>
        <w:tc>
          <w:tcPr>
            <w:tcW w:w="2361" w:type="pct"/>
            <w:tcBorders>
              <w:tl2br w:val="nil"/>
              <w:tr2bl w:val="nil"/>
            </w:tcBorders>
            <w:shd w:val="clear" w:color="auto" w:fill="auto"/>
            <w:vAlign w:val="center"/>
          </w:tcPr>
          <w:p w14:paraId="689D29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指标解释</w:t>
            </w:r>
          </w:p>
        </w:tc>
      </w:tr>
      <w:tr w14:paraId="382AE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5" w:hRule="atLeast"/>
        </w:trPr>
        <w:tc>
          <w:tcPr>
            <w:tcW w:w="571" w:type="pct"/>
            <w:vMerge w:val="restart"/>
            <w:tcBorders>
              <w:tl2br w:val="nil"/>
              <w:tr2bl w:val="nil"/>
            </w:tcBorders>
            <w:shd w:val="clear" w:color="auto" w:fill="auto"/>
            <w:vAlign w:val="center"/>
          </w:tcPr>
          <w:p w14:paraId="4A05EC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A1决策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(15分)</w:t>
            </w:r>
          </w:p>
        </w:tc>
        <w:tc>
          <w:tcPr>
            <w:tcW w:w="798" w:type="pct"/>
            <w:vMerge w:val="restart"/>
            <w:tcBorders>
              <w:tl2br w:val="nil"/>
              <w:tr2bl w:val="nil"/>
            </w:tcBorders>
            <w:shd w:val="clear" w:color="auto" w:fill="auto"/>
            <w:vAlign w:val="center"/>
          </w:tcPr>
          <w:p w14:paraId="61388C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A11项目立项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(5分)</w:t>
            </w:r>
          </w:p>
        </w:tc>
        <w:tc>
          <w:tcPr>
            <w:tcW w:w="1269" w:type="pct"/>
            <w:tcBorders>
              <w:tl2br w:val="nil"/>
              <w:tr2bl w:val="nil"/>
            </w:tcBorders>
            <w:shd w:val="clear" w:color="auto" w:fill="auto"/>
            <w:vAlign w:val="center"/>
          </w:tcPr>
          <w:p w14:paraId="593716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A111立项依据充分性</w:t>
            </w:r>
          </w:p>
        </w:tc>
        <w:tc>
          <w:tcPr>
            <w:tcW w:w="2361" w:type="pct"/>
            <w:tcBorders>
              <w:tl2br w:val="nil"/>
              <w:tr2bl w:val="nil"/>
            </w:tcBorders>
            <w:shd w:val="clear" w:color="auto" w:fill="auto"/>
            <w:vAlign w:val="center"/>
          </w:tcPr>
          <w:p w14:paraId="0C1199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项目立项是否符合法律法规、相关政策、发展规划以及部门职责，用以反映和考核项目立项依据情况。</w:t>
            </w:r>
          </w:p>
        </w:tc>
      </w:tr>
      <w:tr w14:paraId="76640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trPr>
        <w:tc>
          <w:tcPr>
            <w:tcW w:w="571" w:type="pct"/>
            <w:vMerge w:val="continue"/>
            <w:tcBorders>
              <w:tl2br w:val="nil"/>
              <w:tr2bl w:val="nil"/>
            </w:tcBorders>
            <w:shd w:val="clear" w:color="auto" w:fill="auto"/>
            <w:vAlign w:val="center"/>
          </w:tcPr>
          <w:p w14:paraId="51F336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420D33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4CC0BB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A112立项程序规范性</w:t>
            </w:r>
          </w:p>
        </w:tc>
        <w:tc>
          <w:tcPr>
            <w:tcW w:w="2361" w:type="pct"/>
            <w:tcBorders>
              <w:tl2br w:val="nil"/>
              <w:tr2bl w:val="nil"/>
            </w:tcBorders>
            <w:shd w:val="clear" w:color="auto" w:fill="auto"/>
            <w:vAlign w:val="center"/>
          </w:tcPr>
          <w:p w14:paraId="50BD93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项目申请、设立过程是否符合相关要求，用以反映和考核项目立项的规范情况。</w:t>
            </w:r>
          </w:p>
        </w:tc>
      </w:tr>
      <w:tr w14:paraId="788D3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0" w:hRule="atLeast"/>
        </w:trPr>
        <w:tc>
          <w:tcPr>
            <w:tcW w:w="571" w:type="pct"/>
            <w:vMerge w:val="continue"/>
            <w:tcBorders>
              <w:tl2br w:val="nil"/>
              <w:tr2bl w:val="nil"/>
            </w:tcBorders>
            <w:shd w:val="clear" w:color="auto" w:fill="auto"/>
            <w:vAlign w:val="center"/>
          </w:tcPr>
          <w:p w14:paraId="79796E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restart"/>
            <w:tcBorders>
              <w:tl2br w:val="nil"/>
              <w:tr2bl w:val="nil"/>
            </w:tcBorders>
            <w:shd w:val="clear" w:color="auto" w:fill="auto"/>
            <w:vAlign w:val="center"/>
          </w:tcPr>
          <w:p w14:paraId="5EDCC4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A12绩效目标（4分）</w:t>
            </w:r>
          </w:p>
        </w:tc>
        <w:tc>
          <w:tcPr>
            <w:tcW w:w="1269" w:type="pct"/>
            <w:tcBorders>
              <w:tl2br w:val="nil"/>
              <w:tr2bl w:val="nil"/>
            </w:tcBorders>
            <w:shd w:val="clear" w:color="auto" w:fill="auto"/>
            <w:vAlign w:val="center"/>
          </w:tcPr>
          <w:p w14:paraId="34D386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A121绩效目标合理性</w:t>
            </w:r>
          </w:p>
        </w:tc>
        <w:tc>
          <w:tcPr>
            <w:tcW w:w="2361" w:type="pct"/>
            <w:tcBorders>
              <w:tl2br w:val="nil"/>
              <w:tr2bl w:val="nil"/>
            </w:tcBorders>
            <w:shd w:val="clear" w:color="auto" w:fill="auto"/>
            <w:vAlign w:val="center"/>
          </w:tcPr>
          <w:p w14:paraId="72036E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项目所设定的绩效目标是否依据充分，是否符合客观实际，用以反映和考核项目绩效目标与项目实施的相符情况。</w:t>
            </w:r>
          </w:p>
        </w:tc>
      </w:tr>
      <w:tr w14:paraId="1AB59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rPr>
        <w:tc>
          <w:tcPr>
            <w:tcW w:w="571" w:type="pct"/>
            <w:vMerge w:val="continue"/>
            <w:tcBorders>
              <w:tl2br w:val="nil"/>
              <w:tr2bl w:val="nil"/>
            </w:tcBorders>
            <w:shd w:val="clear" w:color="auto" w:fill="auto"/>
            <w:vAlign w:val="center"/>
          </w:tcPr>
          <w:p w14:paraId="68723B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4F4A31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21EE7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A122绩效指标明确性</w:t>
            </w:r>
          </w:p>
        </w:tc>
        <w:tc>
          <w:tcPr>
            <w:tcW w:w="2361" w:type="pct"/>
            <w:tcBorders>
              <w:tl2br w:val="nil"/>
              <w:tr2bl w:val="nil"/>
            </w:tcBorders>
            <w:shd w:val="clear" w:color="auto" w:fill="auto"/>
            <w:vAlign w:val="center"/>
          </w:tcPr>
          <w:p w14:paraId="014947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依据绩效目标设定的绩效指标是否清晰、细化、可衡量等，用以反映和考核项目绩效目标的明细化情况。</w:t>
            </w:r>
          </w:p>
        </w:tc>
      </w:tr>
      <w:tr w14:paraId="3748D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9" w:hRule="atLeast"/>
        </w:trPr>
        <w:tc>
          <w:tcPr>
            <w:tcW w:w="571" w:type="pct"/>
            <w:vMerge w:val="continue"/>
            <w:tcBorders>
              <w:tl2br w:val="nil"/>
              <w:tr2bl w:val="nil"/>
            </w:tcBorders>
            <w:shd w:val="clear" w:color="auto" w:fill="auto"/>
            <w:vAlign w:val="center"/>
          </w:tcPr>
          <w:p w14:paraId="3E45F5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restart"/>
            <w:tcBorders>
              <w:tl2br w:val="nil"/>
              <w:tr2bl w:val="nil"/>
            </w:tcBorders>
            <w:shd w:val="clear" w:color="auto" w:fill="auto"/>
            <w:vAlign w:val="center"/>
          </w:tcPr>
          <w:p w14:paraId="531DDC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A13资金投入</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(6分)</w:t>
            </w:r>
          </w:p>
        </w:tc>
        <w:tc>
          <w:tcPr>
            <w:tcW w:w="1269" w:type="pct"/>
            <w:tcBorders>
              <w:tl2br w:val="nil"/>
              <w:tr2bl w:val="nil"/>
            </w:tcBorders>
            <w:shd w:val="clear" w:color="auto" w:fill="auto"/>
            <w:vAlign w:val="center"/>
          </w:tcPr>
          <w:p w14:paraId="5E3598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A131预算编制科学性</w:t>
            </w:r>
          </w:p>
        </w:tc>
        <w:tc>
          <w:tcPr>
            <w:tcW w:w="2361" w:type="pct"/>
            <w:tcBorders>
              <w:tl2br w:val="nil"/>
              <w:tr2bl w:val="nil"/>
            </w:tcBorders>
            <w:shd w:val="clear" w:color="auto" w:fill="auto"/>
            <w:vAlign w:val="center"/>
          </w:tcPr>
          <w:p w14:paraId="6F8DA4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r>
      <w:tr w14:paraId="727E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2" w:hRule="atLeast"/>
        </w:trPr>
        <w:tc>
          <w:tcPr>
            <w:tcW w:w="571" w:type="pct"/>
            <w:vMerge w:val="continue"/>
            <w:tcBorders>
              <w:tl2br w:val="nil"/>
              <w:tr2bl w:val="nil"/>
            </w:tcBorders>
            <w:shd w:val="clear" w:color="auto" w:fill="auto"/>
            <w:vAlign w:val="center"/>
          </w:tcPr>
          <w:p w14:paraId="682A78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0255EC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512A84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A132资金分配合理性</w:t>
            </w:r>
          </w:p>
        </w:tc>
        <w:tc>
          <w:tcPr>
            <w:tcW w:w="2361" w:type="pct"/>
            <w:tcBorders>
              <w:tl2br w:val="nil"/>
              <w:tr2bl w:val="nil"/>
            </w:tcBorders>
            <w:shd w:val="clear" w:color="auto" w:fill="auto"/>
            <w:vAlign w:val="center"/>
          </w:tcPr>
          <w:p w14:paraId="7BF6AF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项目预算资金分配是否有测算依据，与补助单位或地方实际是否相适应，用以反映和考核项目预算资金分配的科学性、合理性情况。</w:t>
            </w:r>
          </w:p>
        </w:tc>
      </w:tr>
      <w:tr w14:paraId="33F47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71" w:type="pct"/>
            <w:vMerge w:val="restart"/>
            <w:tcBorders>
              <w:tl2br w:val="nil"/>
              <w:tr2bl w:val="nil"/>
            </w:tcBorders>
            <w:shd w:val="clear" w:color="auto" w:fill="auto"/>
            <w:vAlign w:val="center"/>
          </w:tcPr>
          <w:p w14:paraId="3F6E02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B2过程（25分）</w:t>
            </w:r>
          </w:p>
        </w:tc>
        <w:tc>
          <w:tcPr>
            <w:tcW w:w="798" w:type="pct"/>
            <w:vMerge w:val="restart"/>
            <w:tcBorders>
              <w:tl2br w:val="nil"/>
              <w:tr2bl w:val="nil"/>
            </w:tcBorders>
            <w:shd w:val="clear" w:color="auto" w:fill="auto"/>
            <w:vAlign w:val="center"/>
          </w:tcPr>
          <w:p w14:paraId="6B3085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B21资金管理（11分）</w:t>
            </w:r>
          </w:p>
        </w:tc>
        <w:tc>
          <w:tcPr>
            <w:tcW w:w="1269" w:type="pct"/>
            <w:tcBorders>
              <w:tl2br w:val="nil"/>
              <w:tr2bl w:val="nil"/>
            </w:tcBorders>
            <w:shd w:val="clear" w:color="auto" w:fill="auto"/>
            <w:vAlign w:val="center"/>
          </w:tcPr>
          <w:p w14:paraId="759475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B211资金到位率</w:t>
            </w:r>
          </w:p>
        </w:tc>
        <w:tc>
          <w:tcPr>
            <w:tcW w:w="2361" w:type="pct"/>
            <w:tcBorders>
              <w:tl2br w:val="nil"/>
              <w:tr2bl w:val="nil"/>
            </w:tcBorders>
            <w:shd w:val="clear" w:color="auto" w:fill="auto"/>
            <w:vAlign w:val="center"/>
          </w:tcPr>
          <w:p w14:paraId="499027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实际到位资金与预算资金的比率，用以反映和考核资金落实情况对项目实施的总体保障程度。</w:t>
            </w:r>
          </w:p>
        </w:tc>
      </w:tr>
      <w:tr w14:paraId="1B52E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3" w:hRule="atLeast"/>
        </w:trPr>
        <w:tc>
          <w:tcPr>
            <w:tcW w:w="571" w:type="pct"/>
            <w:vMerge w:val="continue"/>
            <w:tcBorders>
              <w:tl2br w:val="nil"/>
              <w:tr2bl w:val="nil"/>
            </w:tcBorders>
            <w:shd w:val="clear" w:color="auto" w:fill="auto"/>
            <w:vAlign w:val="center"/>
          </w:tcPr>
          <w:p w14:paraId="353259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065737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64769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B212预算执行率</w:t>
            </w:r>
          </w:p>
        </w:tc>
        <w:tc>
          <w:tcPr>
            <w:tcW w:w="2361" w:type="pct"/>
            <w:tcBorders>
              <w:tl2br w:val="nil"/>
              <w:tr2bl w:val="nil"/>
            </w:tcBorders>
            <w:shd w:val="clear" w:color="auto" w:fill="auto"/>
            <w:vAlign w:val="center"/>
          </w:tcPr>
          <w:p w14:paraId="3B5EF9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项目预算资金是否按照计划执行，用以反映或考核项目预算执行情况。</w:t>
            </w:r>
          </w:p>
        </w:tc>
      </w:tr>
      <w:tr w14:paraId="7CACB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trPr>
        <w:tc>
          <w:tcPr>
            <w:tcW w:w="571" w:type="pct"/>
            <w:vMerge w:val="continue"/>
            <w:tcBorders>
              <w:tl2br w:val="nil"/>
              <w:tr2bl w:val="nil"/>
            </w:tcBorders>
            <w:shd w:val="clear" w:color="auto" w:fill="auto"/>
            <w:vAlign w:val="center"/>
          </w:tcPr>
          <w:p w14:paraId="038AA8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7A4BFC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3F1012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B213资金使用合规性</w:t>
            </w:r>
          </w:p>
        </w:tc>
        <w:tc>
          <w:tcPr>
            <w:tcW w:w="2361" w:type="pct"/>
            <w:tcBorders>
              <w:tl2br w:val="nil"/>
              <w:tr2bl w:val="nil"/>
            </w:tcBorders>
            <w:shd w:val="clear" w:color="auto" w:fill="auto"/>
            <w:vAlign w:val="center"/>
          </w:tcPr>
          <w:p w14:paraId="10FE18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项目资金使用是否符合预算规定的内容，用以反映和考核项目资金的规范运行情况。</w:t>
            </w:r>
          </w:p>
        </w:tc>
      </w:tr>
      <w:tr w14:paraId="7AC38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1" w:hRule="atLeast"/>
        </w:trPr>
        <w:tc>
          <w:tcPr>
            <w:tcW w:w="571" w:type="pct"/>
            <w:vMerge w:val="continue"/>
            <w:tcBorders>
              <w:tl2br w:val="nil"/>
              <w:tr2bl w:val="nil"/>
            </w:tcBorders>
            <w:shd w:val="clear" w:color="auto" w:fill="auto"/>
            <w:vAlign w:val="center"/>
          </w:tcPr>
          <w:p w14:paraId="7C5939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75E792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615FE7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B214会计核算规范性</w:t>
            </w:r>
          </w:p>
        </w:tc>
        <w:tc>
          <w:tcPr>
            <w:tcW w:w="2361" w:type="pct"/>
            <w:tcBorders>
              <w:tl2br w:val="nil"/>
              <w:tr2bl w:val="nil"/>
            </w:tcBorders>
            <w:shd w:val="clear" w:color="auto" w:fill="auto"/>
            <w:vAlign w:val="center"/>
          </w:tcPr>
          <w:p w14:paraId="4EAA27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项目实施单位的项目资金会计核算是否符合相关的财务管理制度规定，用以反映和考核项目资金会计核算的规范情况。</w:t>
            </w:r>
          </w:p>
        </w:tc>
      </w:tr>
      <w:tr w14:paraId="56E5F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1" w:hRule="atLeast"/>
        </w:trPr>
        <w:tc>
          <w:tcPr>
            <w:tcW w:w="571" w:type="pct"/>
            <w:vMerge w:val="continue"/>
            <w:tcBorders>
              <w:tl2br w:val="nil"/>
              <w:tr2bl w:val="nil"/>
            </w:tcBorders>
            <w:shd w:val="clear" w:color="auto" w:fill="auto"/>
            <w:vAlign w:val="center"/>
          </w:tcPr>
          <w:p w14:paraId="1EDA5D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restart"/>
            <w:tcBorders>
              <w:tl2br w:val="nil"/>
              <w:tr2bl w:val="nil"/>
            </w:tcBorders>
            <w:shd w:val="clear" w:color="auto" w:fill="auto"/>
            <w:vAlign w:val="center"/>
          </w:tcPr>
          <w:p w14:paraId="31D200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B22组织实施（14分）</w:t>
            </w:r>
          </w:p>
        </w:tc>
        <w:tc>
          <w:tcPr>
            <w:tcW w:w="1269" w:type="pct"/>
            <w:tcBorders>
              <w:tl2br w:val="nil"/>
              <w:tr2bl w:val="nil"/>
            </w:tcBorders>
            <w:shd w:val="clear" w:color="auto" w:fill="auto"/>
            <w:vAlign w:val="center"/>
          </w:tcPr>
          <w:p w14:paraId="47626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B221绩效自评</w:t>
            </w:r>
          </w:p>
        </w:tc>
        <w:tc>
          <w:tcPr>
            <w:tcW w:w="2361" w:type="pct"/>
            <w:tcBorders>
              <w:tl2br w:val="nil"/>
              <w:tr2bl w:val="nil"/>
            </w:tcBorders>
            <w:shd w:val="clear" w:color="auto" w:fill="auto"/>
            <w:vAlign w:val="center"/>
          </w:tcPr>
          <w:p w14:paraId="0D3DAD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项目实施单位是否对项目开展自评工作，用以反映和考核项目的完成及自我评价情况。</w:t>
            </w:r>
          </w:p>
        </w:tc>
      </w:tr>
      <w:tr w14:paraId="1F72A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9" w:hRule="atLeast"/>
        </w:trPr>
        <w:tc>
          <w:tcPr>
            <w:tcW w:w="571" w:type="pct"/>
            <w:vMerge w:val="continue"/>
            <w:tcBorders>
              <w:tl2br w:val="nil"/>
              <w:tr2bl w:val="nil"/>
            </w:tcBorders>
            <w:shd w:val="clear" w:color="auto" w:fill="auto"/>
            <w:vAlign w:val="center"/>
          </w:tcPr>
          <w:p w14:paraId="701E54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427636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noWrap/>
            <w:vAlign w:val="center"/>
          </w:tcPr>
          <w:p w14:paraId="01DD46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B222管理制度健全性</w:t>
            </w:r>
          </w:p>
        </w:tc>
        <w:tc>
          <w:tcPr>
            <w:tcW w:w="2361" w:type="pct"/>
            <w:tcBorders>
              <w:tl2br w:val="nil"/>
              <w:tr2bl w:val="nil"/>
            </w:tcBorders>
            <w:shd w:val="clear" w:color="auto" w:fill="auto"/>
            <w:vAlign w:val="center"/>
          </w:tcPr>
          <w:p w14:paraId="566BE3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项目实施单位的财务和业务管理制度是否健全，用以反映和考核财务和业务管理制度对项目顺利实施的保障情况。</w:t>
            </w:r>
          </w:p>
        </w:tc>
      </w:tr>
      <w:tr w14:paraId="18B86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7" w:hRule="atLeast"/>
        </w:trPr>
        <w:tc>
          <w:tcPr>
            <w:tcW w:w="571" w:type="pct"/>
            <w:vMerge w:val="continue"/>
            <w:tcBorders>
              <w:tl2br w:val="nil"/>
              <w:tr2bl w:val="nil"/>
            </w:tcBorders>
            <w:shd w:val="clear" w:color="auto" w:fill="auto"/>
            <w:vAlign w:val="center"/>
          </w:tcPr>
          <w:p w14:paraId="35C896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61B839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noWrap/>
            <w:vAlign w:val="center"/>
          </w:tcPr>
          <w:p w14:paraId="03140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B223制度执行有效性</w:t>
            </w:r>
          </w:p>
        </w:tc>
        <w:tc>
          <w:tcPr>
            <w:tcW w:w="2361" w:type="pct"/>
            <w:tcBorders>
              <w:tl2br w:val="nil"/>
              <w:tr2bl w:val="nil"/>
            </w:tcBorders>
            <w:shd w:val="clear" w:color="auto" w:fill="auto"/>
            <w:vAlign w:val="center"/>
          </w:tcPr>
          <w:p w14:paraId="3E0AD2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项目实施是否符合相关管理规定，用以反映和考核相关管理制度的有效执行情况。</w:t>
            </w:r>
          </w:p>
        </w:tc>
      </w:tr>
      <w:tr w14:paraId="00172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1" w:hRule="atLeast"/>
        </w:trPr>
        <w:tc>
          <w:tcPr>
            <w:tcW w:w="571" w:type="pct"/>
            <w:vMerge w:val="continue"/>
            <w:tcBorders>
              <w:tl2br w:val="nil"/>
              <w:tr2bl w:val="nil"/>
            </w:tcBorders>
            <w:shd w:val="clear" w:color="auto" w:fill="auto"/>
            <w:vAlign w:val="center"/>
          </w:tcPr>
          <w:p w14:paraId="34CF24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3424F1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noWrap/>
            <w:vAlign w:val="center"/>
          </w:tcPr>
          <w:p w14:paraId="6BE816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B224监督检查</w:t>
            </w:r>
          </w:p>
        </w:tc>
        <w:tc>
          <w:tcPr>
            <w:tcW w:w="2361" w:type="pct"/>
            <w:tcBorders>
              <w:tl2br w:val="nil"/>
              <w:tr2bl w:val="nil"/>
            </w:tcBorders>
            <w:shd w:val="clear" w:color="auto" w:fill="auto"/>
            <w:vAlign w:val="center"/>
          </w:tcPr>
          <w:p w14:paraId="6F0007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2024年项目主管单位是否对老年食堂工作情况采取了必要的监督措施，用以反映和考核项目主管单位对项目运行的控制情况。</w:t>
            </w:r>
          </w:p>
        </w:tc>
      </w:tr>
      <w:tr w14:paraId="1C7F4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8" w:hRule="atLeast"/>
        </w:trPr>
        <w:tc>
          <w:tcPr>
            <w:tcW w:w="571" w:type="pct"/>
            <w:vMerge w:val="continue"/>
            <w:tcBorders>
              <w:tl2br w:val="nil"/>
              <w:tr2bl w:val="nil"/>
            </w:tcBorders>
            <w:shd w:val="clear" w:color="auto" w:fill="auto"/>
            <w:vAlign w:val="center"/>
          </w:tcPr>
          <w:p w14:paraId="6AB98C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502922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5C076A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B225档案管理规范性</w:t>
            </w:r>
          </w:p>
        </w:tc>
        <w:tc>
          <w:tcPr>
            <w:tcW w:w="2361" w:type="pct"/>
            <w:tcBorders>
              <w:tl2br w:val="nil"/>
              <w:tr2bl w:val="nil"/>
            </w:tcBorders>
            <w:shd w:val="clear" w:color="auto" w:fill="auto"/>
            <w:vAlign w:val="center"/>
          </w:tcPr>
          <w:p w14:paraId="411983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项目实施单位是否指定专人对项目相关资料进行收集、分类、整理、归档，专门管理，用以反映和考核项目实施单位对项目档案管理的情况。</w:t>
            </w:r>
          </w:p>
        </w:tc>
      </w:tr>
      <w:tr w14:paraId="0B322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2" w:hRule="atLeast"/>
        </w:trPr>
        <w:tc>
          <w:tcPr>
            <w:tcW w:w="571" w:type="pct"/>
            <w:vMerge w:val="restart"/>
            <w:tcBorders>
              <w:tl2br w:val="nil"/>
              <w:tr2bl w:val="nil"/>
            </w:tcBorders>
            <w:shd w:val="clear" w:color="auto" w:fill="auto"/>
            <w:vAlign w:val="center"/>
          </w:tcPr>
          <w:p w14:paraId="01FC4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C3产出</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(30分)</w:t>
            </w:r>
          </w:p>
        </w:tc>
        <w:tc>
          <w:tcPr>
            <w:tcW w:w="798" w:type="pct"/>
            <w:tcBorders>
              <w:tl2br w:val="nil"/>
              <w:tr2bl w:val="nil"/>
            </w:tcBorders>
            <w:shd w:val="clear" w:color="auto" w:fill="auto"/>
            <w:vAlign w:val="center"/>
          </w:tcPr>
          <w:p w14:paraId="2C1E5A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C31产出数量（10分）</w:t>
            </w:r>
          </w:p>
        </w:tc>
        <w:tc>
          <w:tcPr>
            <w:tcW w:w="1269" w:type="pct"/>
            <w:tcBorders>
              <w:tl2br w:val="nil"/>
              <w:tr2bl w:val="nil"/>
            </w:tcBorders>
            <w:shd w:val="clear" w:color="auto" w:fill="auto"/>
            <w:vAlign w:val="center"/>
          </w:tcPr>
          <w:p w14:paraId="47C339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C311老年食堂运营率</w:t>
            </w:r>
          </w:p>
        </w:tc>
        <w:tc>
          <w:tcPr>
            <w:tcW w:w="2361" w:type="pct"/>
            <w:tcBorders>
              <w:tl2br w:val="nil"/>
              <w:tr2bl w:val="nil"/>
            </w:tcBorders>
            <w:shd w:val="clear" w:color="auto" w:fill="auto"/>
            <w:vAlign w:val="center"/>
          </w:tcPr>
          <w:p w14:paraId="7D4DBE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老年食堂的运营情况，用以反映和考核老年食堂的运营效率。</w:t>
            </w:r>
          </w:p>
        </w:tc>
      </w:tr>
      <w:tr w14:paraId="31B97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7" w:hRule="atLeast"/>
        </w:trPr>
        <w:tc>
          <w:tcPr>
            <w:tcW w:w="571" w:type="pct"/>
            <w:vMerge w:val="continue"/>
            <w:tcBorders>
              <w:tl2br w:val="nil"/>
              <w:tr2bl w:val="nil"/>
            </w:tcBorders>
            <w:shd w:val="clear" w:color="auto" w:fill="auto"/>
            <w:vAlign w:val="center"/>
          </w:tcPr>
          <w:p w14:paraId="43510C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restart"/>
            <w:tcBorders>
              <w:tl2br w:val="nil"/>
              <w:tr2bl w:val="nil"/>
            </w:tcBorders>
            <w:shd w:val="clear" w:color="auto" w:fill="auto"/>
            <w:vAlign w:val="center"/>
          </w:tcPr>
          <w:p w14:paraId="22FA90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C32产出质量（12分）</w:t>
            </w:r>
          </w:p>
        </w:tc>
        <w:tc>
          <w:tcPr>
            <w:tcW w:w="1269" w:type="pct"/>
            <w:tcBorders>
              <w:tl2br w:val="nil"/>
              <w:tr2bl w:val="nil"/>
            </w:tcBorders>
            <w:shd w:val="clear" w:color="auto" w:fill="auto"/>
            <w:vAlign w:val="center"/>
          </w:tcPr>
          <w:p w14:paraId="5D97D0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C321补助发放准确</w:t>
            </w:r>
          </w:p>
        </w:tc>
        <w:tc>
          <w:tcPr>
            <w:tcW w:w="2361" w:type="pct"/>
            <w:tcBorders>
              <w:tl2br w:val="nil"/>
              <w:tr2bl w:val="nil"/>
            </w:tcBorders>
            <w:shd w:val="clear" w:color="auto" w:fill="auto"/>
            <w:vAlign w:val="center"/>
          </w:tcPr>
          <w:p w14:paraId="4933F7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补助发放准确度，用以反映和考核项目补助金额的资金使用质量。</w:t>
            </w:r>
          </w:p>
        </w:tc>
      </w:tr>
      <w:tr w14:paraId="4E556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9" w:hRule="atLeast"/>
        </w:trPr>
        <w:tc>
          <w:tcPr>
            <w:tcW w:w="571" w:type="pct"/>
            <w:vMerge w:val="continue"/>
            <w:tcBorders>
              <w:tl2br w:val="nil"/>
              <w:tr2bl w:val="nil"/>
            </w:tcBorders>
            <w:shd w:val="clear" w:color="auto" w:fill="auto"/>
            <w:vAlign w:val="center"/>
          </w:tcPr>
          <w:p w14:paraId="587B73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56A588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71E688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C322老年人用餐数据真实性</w:t>
            </w:r>
          </w:p>
        </w:tc>
        <w:tc>
          <w:tcPr>
            <w:tcW w:w="2361" w:type="pct"/>
            <w:tcBorders>
              <w:tl2br w:val="nil"/>
              <w:tr2bl w:val="nil"/>
            </w:tcBorders>
            <w:shd w:val="clear" w:color="auto" w:fill="auto"/>
            <w:vAlign w:val="center"/>
          </w:tcPr>
          <w:p w14:paraId="0440A6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老年人用餐数据真实性，用以反映和考核补助数据的真实程度。</w:t>
            </w:r>
          </w:p>
        </w:tc>
      </w:tr>
      <w:tr w14:paraId="1F359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3" w:hRule="atLeast"/>
        </w:trPr>
        <w:tc>
          <w:tcPr>
            <w:tcW w:w="571" w:type="pct"/>
            <w:vMerge w:val="continue"/>
            <w:tcBorders>
              <w:tl2br w:val="nil"/>
              <w:tr2bl w:val="nil"/>
            </w:tcBorders>
            <w:shd w:val="clear" w:color="auto" w:fill="auto"/>
            <w:vAlign w:val="center"/>
          </w:tcPr>
          <w:p w14:paraId="50C8CD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tcBorders>
              <w:tl2br w:val="nil"/>
              <w:tr2bl w:val="nil"/>
            </w:tcBorders>
            <w:shd w:val="clear" w:color="auto" w:fill="auto"/>
            <w:vAlign w:val="center"/>
          </w:tcPr>
          <w:p w14:paraId="60851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C33产出时效（8分）</w:t>
            </w:r>
          </w:p>
        </w:tc>
        <w:tc>
          <w:tcPr>
            <w:tcW w:w="1269" w:type="pct"/>
            <w:tcBorders>
              <w:tl2br w:val="nil"/>
              <w:tr2bl w:val="nil"/>
            </w:tcBorders>
            <w:shd w:val="clear" w:color="auto" w:fill="auto"/>
            <w:vAlign w:val="center"/>
          </w:tcPr>
          <w:p w14:paraId="2F4E57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C331补助资金发放及时率</w:t>
            </w:r>
          </w:p>
        </w:tc>
        <w:tc>
          <w:tcPr>
            <w:tcW w:w="2361" w:type="pct"/>
            <w:tcBorders>
              <w:tl2br w:val="nil"/>
              <w:tr2bl w:val="nil"/>
            </w:tcBorders>
            <w:shd w:val="clear" w:color="auto" w:fill="auto"/>
            <w:vAlign w:val="center"/>
          </w:tcPr>
          <w:p w14:paraId="4A8333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民政局2024年实际发放的补助与2024年应发放补助的比较，用以反映和考核项目资金使用的及时程度。</w:t>
            </w:r>
          </w:p>
        </w:tc>
      </w:tr>
      <w:tr w14:paraId="26263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atLeast"/>
        </w:trPr>
        <w:tc>
          <w:tcPr>
            <w:tcW w:w="571" w:type="pct"/>
            <w:vMerge w:val="restart"/>
            <w:tcBorders>
              <w:tl2br w:val="nil"/>
              <w:tr2bl w:val="nil"/>
            </w:tcBorders>
            <w:shd w:val="clear" w:color="auto" w:fill="auto"/>
            <w:vAlign w:val="center"/>
          </w:tcPr>
          <w:p w14:paraId="5E729B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D4效益（30分）</w:t>
            </w:r>
          </w:p>
        </w:tc>
        <w:tc>
          <w:tcPr>
            <w:tcW w:w="798" w:type="pct"/>
            <w:vMerge w:val="restart"/>
            <w:tcBorders>
              <w:tl2br w:val="nil"/>
              <w:tr2bl w:val="nil"/>
            </w:tcBorders>
            <w:shd w:val="clear" w:color="auto" w:fill="auto"/>
            <w:vAlign w:val="center"/>
          </w:tcPr>
          <w:p w14:paraId="797D3A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D41项目效益（24分）</w:t>
            </w:r>
          </w:p>
        </w:tc>
        <w:tc>
          <w:tcPr>
            <w:tcW w:w="1269" w:type="pct"/>
            <w:tcBorders>
              <w:tl2br w:val="nil"/>
              <w:tr2bl w:val="nil"/>
            </w:tcBorders>
            <w:shd w:val="clear" w:color="auto" w:fill="auto"/>
            <w:vAlign w:val="center"/>
          </w:tcPr>
          <w:p w14:paraId="5792B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D411社会效益</w:t>
            </w:r>
          </w:p>
        </w:tc>
        <w:tc>
          <w:tcPr>
            <w:tcW w:w="2361" w:type="pct"/>
            <w:tcBorders>
              <w:tl2br w:val="nil"/>
              <w:tr2bl w:val="nil"/>
            </w:tcBorders>
            <w:shd w:val="clear" w:color="auto" w:fill="auto"/>
            <w:vAlign w:val="center"/>
          </w:tcPr>
          <w:p w14:paraId="09D2AD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项目实施对社会发展所带来的直接或间接影响情况。</w:t>
            </w:r>
          </w:p>
        </w:tc>
      </w:tr>
      <w:tr w14:paraId="06363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2" w:hRule="atLeast"/>
        </w:trPr>
        <w:tc>
          <w:tcPr>
            <w:tcW w:w="571" w:type="pct"/>
            <w:vMerge w:val="continue"/>
            <w:tcBorders>
              <w:tl2br w:val="nil"/>
              <w:tr2bl w:val="nil"/>
            </w:tcBorders>
            <w:shd w:val="clear" w:color="auto" w:fill="auto"/>
            <w:vAlign w:val="center"/>
          </w:tcPr>
          <w:p w14:paraId="4E4E47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3922A7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75B12F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D412经济效益</w:t>
            </w:r>
          </w:p>
        </w:tc>
        <w:tc>
          <w:tcPr>
            <w:tcW w:w="2361" w:type="pct"/>
            <w:tcBorders>
              <w:tl2br w:val="nil"/>
              <w:tr2bl w:val="nil"/>
            </w:tcBorders>
            <w:shd w:val="clear" w:color="auto" w:fill="auto"/>
            <w:vAlign w:val="center"/>
          </w:tcPr>
          <w:p w14:paraId="2E981B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项目实施对经济发展所带来的直接或间接影响情况。</w:t>
            </w:r>
          </w:p>
        </w:tc>
      </w:tr>
      <w:tr w14:paraId="74530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trPr>
        <w:tc>
          <w:tcPr>
            <w:tcW w:w="571" w:type="pct"/>
            <w:vMerge w:val="continue"/>
            <w:tcBorders>
              <w:tl2br w:val="nil"/>
              <w:tr2bl w:val="nil"/>
            </w:tcBorders>
            <w:shd w:val="clear" w:color="auto" w:fill="auto"/>
            <w:vAlign w:val="center"/>
          </w:tcPr>
          <w:p w14:paraId="77DC27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vMerge w:val="continue"/>
            <w:tcBorders>
              <w:tl2br w:val="nil"/>
              <w:tr2bl w:val="nil"/>
            </w:tcBorders>
            <w:shd w:val="clear" w:color="auto" w:fill="auto"/>
            <w:vAlign w:val="center"/>
          </w:tcPr>
          <w:p w14:paraId="6FC52D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1269" w:type="pct"/>
            <w:tcBorders>
              <w:tl2br w:val="nil"/>
              <w:tr2bl w:val="nil"/>
            </w:tcBorders>
            <w:shd w:val="clear" w:color="auto" w:fill="auto"/>
            <w:vAlign w:val="center"/>
          </w:tcPr>
          <w:p w14:paraId="170FB2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D413可持续影响</w:t>
            </w:r>
          </w:p>
        </w:tc>
        <w:tc>
          <w:tcPr>
            <w:tcW w:w="2361" w:type="pct"/>
            <w:tcBorders>
              <w:tl2br w:val="nil"/>
              <w:tr2bl w:val="nil"/>
            </w:tcBorders>
            <w:shd w:val="clear" w:color="auto" w:fill="auto"/>
            <w:vAlign w:val="center"/>
          </w:tcPr>
          <w:p w14:paraId="569BA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项目后续运行及成效发挥的可持续影响情况。</w:t>
            </w:r>
          </w:p>
        </w:tc>
      </w:tr>
      <w:tr w14:paraId="3DF53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trPr>
        <w:tc>
          <w:tcPr>
            <w:tcW w:w="571" w:type="pct"/>
            <w:vMerge w:val="continue"/>
            <w:tcBorders>
              <w:tl2br w:val="nil"/>
              <w:tr2bl w:val="nil"/>
            </w:tcBorders>
            <w:shd w:val="clear" w:color="auto" w:fill="auto"/>
            <w:vAlign w:val="center"/>
          </w:tcPr>
          <w:p w14:paraId="08E3B7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18"/>
                <w:szCs w:val="18"/>
                <w:u w:val="none"/>
              </w:rPr>
            </w:pPr>
          </w:p>
        </w:tc>
        <w:tc>
          <w:tcPr>
            <w:tcW w:w="798" w:type="pct"/>
            <w:tcBorders>
              <w:tl2br w:val="nil"/>
              <w:tr2bl w:val="nil"/>
            </w:tcBorders>
            <w:shd w:val="clear" w:color="auto" w:fill="auto"/>
            <w:vAlign w:val="center"/>
          </w:tcPr>
          <w:p w14:paraId="102DD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D42社会满意度</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（6分）</w:t>
            </w:r>
          </w:p>
        </w:tc>
        <w:tc>
          <w:tcPr>
            <w:tcW w:w="1269" w:type="pct"/>
            <w:tcBorders>
              <w:tl2br w:val="nil"/>
              <w:tr2bl w:val="nil"/>
            </w:tcBorders>
            <w:shd w:val="clear" w:color="auto" w:fill="auto"/>
            <w:vAlign w:val="center"/>
          </w:tcPr>
          <w:p w14:paraId="00BA0D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D421服务对象满意度</w:t>
            </w:r>
          </w:p>
        </w:tc>
        <w:tc>
          <w:tcPr>
            <w:tcW w:w="2361" w:type="pct"/>
            <w:tcBorders>
              <w:tl2br w:val="nil"/>
              <w:tr2bl w:val="nil"/>
            </w:tcBorders>
            <w:shd w:val="clear" w:color="auto" w:fill="auto"/>
            <w:vAlign w:val="center"/>
          </w:tcPr>
          <w:p w14:paraId="26A316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通过问卷调查的方式，了解相关对象对于养老服务设施建设及运营、管理服务补助经费（老年食堂）项目开展的满意度。</w:t>
            </w:r>
          </w:p>
        </w:tc>
      </w:tr>
    </w:tbl>
    <w:p w14:paraId="135CD8FD">
      <w:pPr>
        <w:pStyle w:val="4"/>
        <w:ind w:firstLine="560"/>
      </w:pPr>
      <w:bookmarkStart w:id="75" w:name="_Toc118282076"/>
      <w:bookmarkEnd w:id="75"/>
      <w:bookmarkStart w:id="76" w:name="_Toc20584"/>
      <w:bookmarkStart w:id="77" w:name="_Toc12964"/>
      <w:bookmarkStart w:id="78" w:name="_Toc28793"/>
      <w:bookmarkStart w:id="79" w:name="_Toc25033"/>
      <w:bookmarkStart w:id="80" w:name="_Toc30930"/>
      <w:r>
        <w:t>（三）组织管理情况</w:t>
      </w:r>
      <w:bookmarkEnd w:id="76"/>
      <w:bookmarkEnd w:id="77"/>
      <w:bookmarkEnd w:id="78"/>
      <w:bookmarkEnd w:id="79"/>
      <w:bookmarkEnd w:id="80"/>
    </w:p>
    <w:p w14:paraId="6BFD172F">
      <w:pPr>
        <w:ind w:firstLine="560"/>
        <w:rPr>
          <w:szCs w:val="32"/>
          <w:highlight w:val="none"/>
        </w:rPr>
      </w:pPr>
      <w:r>
        <w:rPr>
          <w:rFonts w:hint="eastAsia"/>
          <w:lang w:val="en-US" w:eastAsia="zh-CN"/>
        </w:rPr>
        <w:t>安宁市发展目标是</w:t>
      </w:r>
      <w:r>
        <w:rPr>
          <w:rFonts w:hint="eastAsia"/>
        </w:rPr>
        <w:t>到2025年，安宁市基本养老服务制度体系基本健全，老年助餐服务基本覆盖，建成区“一刻钟”养老服务圈基本建成，养老服务标准化、制度化建设取得新进展、新突破，基本养老服务清单持续完善，服务供给、保障、监管等机制不断健全，在老有所养、老有所医、老有所为、老有所乐上取得新成就，老年人多样化、多层次、高品质的健康养老基本满足</w:t>
      </w:r>
      <w:r>
        <w:t>。</w:t>
      </w:r>
      <w:r>
        <w:rPr>
          <w:rFonts w:hint="eastAsia"/>
        </w:rPr>
        <w:t>老年幸福食堂老年人用餐服务补贴审核</w:t>
      </w:r>
      <w:r>
        <w:rPr>
          <w:rFonts w:hint="eastAsia"/>
          <w:lang w:val="en-US" w:eastAsia="zh-CN"/>
        </w:rPr>
        <w:t>机制为按照主体负责、属地审核、部门抽查方式推进补贴分级审核工作，提高补贴资金准确度。监督机制为按照“部门履职、行业指导、属地监管、主体负责”原则推进养老服务单位监督管理，分级分类履行指导监管责任。补助资金下拨顺</w:t>
      </w:r>
      <w:r>
        <w:rPr>
          <w:rFonts w:hint="eastAsia"/>
          <w:highlight w:val="none"/>
          <w:lang w:val="en-US" w:eastAsia="zh-CN"/>
        </w:rPr>
        <w:t>序为</w:t>
      </w:r>
      <w:r>
        <w:rPr>
          <w:highlight w:val="none"/>
        </w:rPr>
        <w:t>安宁市民政局</w:t>
      </w:r>
      <w:r>
        <w:rPr>
          <w:rFonts w:hint="eastAsia"/>
          <w:highlight w:val="none"/>
        </w:rPr>
        <w:t>作为养老服务设施建设及运营、管理服务补助经费（老年食堂）项目的主管单位，负责下拨补助资金，并监管资金支出；各街道向养老服务单位转拨补助资金，监管居家养老服务单位，提升安宁市养老服务质量。</w:t>
      </w:r>
    </w:p>
    <w:p w14:paraId="676F4588">
      <w:pPr>
        <w:pStyle w:val="3"/>
        <w:ind w:firstLine="562"/>
        <w:rPr>
          <w:rFonts w:ascii="Times New Roman" w:hAnsi="Times New Roman" w:cs="Times New Roman"/>
          <w:b/>
          <w:bCs w:val="0"/>
        </w:rPr>
      </w:pPr>
      <w:bookmarkStart w:id="81" w:name="_Toc31604"/>
      <w:bookmarkStart w:id="82" w:name="_Toc9029"/>
      <w:bookmarkStart w:id="83" w:name="_Toc22748"/>
      <w:bookmarkStart w:id="84" w:name="_Toc14035"/>
      <w:bookmarkStart w:id="85" w:name="_Toc3648"/>
      <w:bookmarkStart w:id="86" w:name="_Toc16772"/>
      <w:bookmarkStart w:id="87" w:name="_Toc22222"/>
      <w:r>
        <w:rPr>
          <w:rFonts w:ascii="Times New Roman" w:hAnsi="Times New Roman" w:cs="Times New Roman"/>
          <w:b/>
          <w:bCs w:val="0"/>
        </w:rPr>
        <w:t>二、绩效评价工作开展情况</w:t>
      </w:r>
      <w:bookmarkEnd w:id="81"/>
      <w:bookmarkEnd w:id="82"/>
      <w:bookmarkEnd w:id="83"/>
      <w:bookmarkEnd w:id="84"/>
      <w:bookmarkEnd w:id="85"/>
      <w:bookmarkEnd w:id="86"/>
      <w:bookmarkEnd w:id="87"/>
    </w:p>
    <w:p w14:paraId="32CB5C22">
      <w:pPr>
        <w:pStyle w:val="4"/>
        <w:ind w:firstLine="560"/>
      </w:pPr>
      <w:bookmarkStart w:id="88" w:name="_Toc2624"/>
      <w:bookmarkStart w:id="89" w:name="_Toc19635"/>
      <w:bookmarkStart w:id="90" w:name="_Toc26904"/>
      <w:bookmarkStart w:id="91" w:name="_Toc3161"/>
      <w:bookmarkStart w:id="92" w:name="_Toc5477"/>
      <w:r>
        <w:t>（一）绩效评价目的、对象和范围</w:t>
      </w:r>
      <w:bookmarkEnd w:id="88"/>
      <w:bookmarkEnd w:id="89"/>
      <w:bookmarkEnd w:id="90"/>
      <w:bookmarkEnd w:id="91"/>
      <w:bookmarkEnd w:id="92"/>
    </w:p>
    <w:p w14:paraId="3E9A4324">
      <w:pPr>
        <w:pStyle w:val="5"/>
        <w:ind w:firstLine="560"/>
        <w:rPr>
          <w:rFonts w:ascii="Times New Roman" w:hAnsi="Times New Roman" w:cs="Times New Roman"/>
        </w:rPr>
      </w:pPr>
      <w:r>
        <w:rPr>
          <w:rFonts w:ascii="Times New Roman" w:hAnsi="Times New Roman" w:cs="Times New Roman"/>
        </w:rPr>
        <w:t>1．绩效评价目的</w:t>
      </w:r>
    </w:p>
    <w:p w14:paraId="3F0E9E29">
      <w:pPr>
        <w:ind w:firstLine="560"/>
        <w:rPr>
          <w:szCs w:val="32"/>
        </w:rPr>
      </w:pPr>
      <w:r>
        <w:rPr>
          <w:szCs w:val="32"/>
        </w:rPr>
        <w:t>根据</w:t>
      </w:r>
      <w:r>
        <w:rPr>
          <w:rFonts w:hint="eastAsia"/>
          <w:szCs w:val="32"/>
        </w:rPr>
        <w:t>2024年度养老服务设施建设及运营、管理服务补助经费（老年食堂）项目</w:t>
      </w:r>
      <w:r>
        <w:rPr>
          <w:szCs w:val="32"/>
        </w:rPr>
        <w:t>前期调研情况、项目立项讨论及会议决议情况，从整体决策层面把握项目支出的目标和规划情况。对项目支出管理情况、资金使用管理情况、资金到位情况、项目支出成本控制及项目数量产出结果等进行分析，验证已决策的目标任务是否清晰合理；在实现决策预期成效过程中，是否被有效执行，资源是否得到优化利用，财政支出的受益对象是否满意；确定决策目标任务与现实完成之间的差异，总结发现的问题和经验教训，为安宁市财政和被评价部门改善政府管理，纠正决策目标任务与实际工作执行的偏差提供依据。</w:t>
      </w:r>
    </w:p>
    <w:p w14:paraId="2ED65BD2">
      <w:pPr>
        <w:pStyle w:val="5"/>
        <w:ind w:firstLine="560"/>
        <w:rPr>
          <w:rFonts w:ascii="Times New Roman" w:hAnsi="Times New Roman" w:cs="Times New Roman"/>
        </w:rPr>
      </w:pPr>
      <w:r>
        <w:rPr>
          <w:rFonts w:ascii="Times New Roman" w:hAnsi="Times New Roman" w:cs="Times New Roman"/>
        </w:rPr>
        <w:t>2．绩效评价对象</w:t>
      </w:r>
    </w:p>
    <w:p w14:paraId="708D415B">
      <w:pPr>
        <w:ind w:firstLine="560"/>
        <w:rPr>
          <w:szCs w:val="32"/>
        </w:rPr>
      </w:pPr>
      <w:r>
        <w:rPr>
          <w:szCs w:val="32"/>
        </w:rPr>
        <w:t>本次绩效评价对象：</w:t>
      </w:r>
      <w:r>
        <w:rPr>
          <w:rFonts w:hint="eastAsia"/>
          <w:szCs w:val="32"/>
        </w:rPr>
        <w:t>2024年度养老服务设施建设及运营、管理服务补助经费（老年食堂）项目。</w:t>
      </w:r>
    </w:p>
    <w:p w14:paraId="7611377E">
      <w:pPr>
        <w:pStyle w:val="5"/>
        <w:ind w:firstLine="560"/>
        <w:rPr>
          <w:rFonts w:ascii="Times New Roman" w:hAnsi="Times New Roman" w:cs="Times New Roman"/>
        </w:rPr>
      </w:pPr>
      <w:r>
        <w:rPr>
          <w:rFonts w:ascii="Times New Roman" w:hAnsi="Times New Roman" w:cs="Times New Roman"/>
        </w:rPr>
        <w:t>3．绩效评价范围</w:t>
      </w:r>
    </w:p>
    <w:p w14:paraId="0D8ACB4C">
      <w:pPr>
        <w:ind w:firstLine="560"/>
        <w:rPr>
          <w:szCs w:val="32"/>
        </w:rPr>
      </w:pPr>
      <w:r>
        <w:rPr>
          <w:szCs w:val="32"/>
        </w:rPr>
        <w:t>本次绩效评价范围：本次绩效评价为项目年度绩效评价，评价范围为</w:t>
      </w:r>
      <w:r>
        <w:rPr>
          <w:rFonts w:hint="eastAsia"/>
          <w:szCs w:val="32"/>
        </w:rPr>
        <w:t>2024年度养老服务设施建设及运营、管理服务补助经费（老年食堂）项目11,551,900.00元</w:t>
      </w:r>
      <w:r>
        <w:rPr>
          <w:szCs w:val="32"/>
        </w:rPr>
        <w:t>。</w:t>
      </w:r>
    </w:p>
    <w:p w14:paraId="20A5D317">
      <w:pPr>
        <w:pStyle w:val="5"/>
        <w:ind w:firstLine="560"/>
        <w:rPr>
          <w:rFonts w:ascii="Times New Roman" w:hAnsi="Times New Roman" w:cs="Times New Roman"/>
        </w:rPr>
      </w:pPr>
      <w:r>
        <w:rPr>
          <w:rFonts w:ascii="Times New Roman" w:hAnsi="Times New Roman" w:cs="Times New Roman"/>
        </w:rPr>
        <w:t>4．评价时间段</w:t>
      </w:r>
    </w:p>
    <w:p w14:paraId="149FE0D7">
      <w:pPr>
        <w:ind w:firstLine="560"/>
        <w:rPr>
          <w:szCs w:val="32"/>
        </w:rPr>
      </w:pPr>
      <w:r>
        <w:rPr>
          <w:szCs w:val="32"/>
        </w:rPr>
        <w:t>本次绩效评价的时段为：202</w:t>
      </w:r>
      <w:r>
        <w:rPr>
          <w:rFonts w:hint="eastAsia"/>
          <w:szCs w:val="32"/>
          <w:lang w:val="en-US" w:eastAsia="zh-CN"/>
        </w:rPr>
        <w:t>4</w:t>
      </w:r>
      <w:r>
        <w:rPr>
          <w:szCs w:val="32"/>
        </w:rPr>
        <w:t>年1月1日</w:t>
      </w:r>
      <w:r>
        <w:rPr>
          <w:rFonts w:hint="eastAsia" w:ascii="仿宋_GB2312" w:hAnsi="仿宋_GB2312" w:cs="仿宋_GB2312"/>
          <w:szCs w:val="32"/>
        </w:rPr>
        <w:t>—</w:t>
      </w:r>
      <w:r>
        <w:rPr>
          <w:szCs w:val="32"/>
        </w:rPr>
        <w:t>202</w:t>
      </w:r>
      <w:r>
        <w:rPr>
          <w:rFonts w:hint="eastAsia"/>
          <w:szCs w:val="32"/>
          <w:lang w:val="en-US" w:eastAsia="zh-CN"/>
        </w:rPr>
        <w:t>4</w:t>
      </w:r>
      <w:r>
        <w:rPr>
          <w:szCs w:val="32"/>
        </w:rPr>
        <w:t>年12月31日。</w:t>
      </w:r>
    </w:p>
    <w:p w14:paraId="54815685">
      <w:pPr>
        <w:pStyle w:val="4"/>
        <w:ind w:firstLine="560"/>
      </w:pPr>
      <w:bookmarkStart w:id="93" w:name="_Toc32748"/>
      <w:bookmarkStart w:id="94" w:name="_Toc8743"/>
      <w:bookmarkStart w:id="95" w:name="_Toc23115"/>
      <w:bookmarkStart w:id="96" w:name="_Toc23434"/>
      <w:bookmarkStart w:id="97" w:name="_Toc12788"/>
      <w:r>
        <w:t>（二）绩效评价原则</w:t>
      </w:r>
      <w:bookmarkEnd w:id="93"/>
      <w:bookmarkEnd w:id="94"/>
      <w:bookmarkEnd w:id="95"/>
      <w:bookmarkEnd w:id="96"/>
      <w:bookmarkEnd w:id="97"/>
    </w:p>
    <w:p w14:paraId="00E111EC">
      <w:pPr>
        <w:ind w:firstLine="560"/>
        <w:rPr>
          <w:szCs w:val="32"/>
        </w:rPr>
      </w:pPr>
      <w:r>
        <w:rPr>
          <w:szCs w:val="32"/>
        </w:rPr>
        <w:t>1．相关性原则。应当与绩效目标有直接的联系，能够恰当反映目标实现程度。</w:t>
      </w:r>
    </w:p>
    <w:p w14:paraId="557949E6">
      <w:pPr>
        <w:ind w:firstLine="560"/>
        <w:rPr>
          <w:szCs w:val="32"/>
        </w:rPr>
      </w:pPr>
      <w:r>
        <w:rPr>
          <w:szCs w:val="32"/>
        </w:rPr>
        <w:t>2．重要性原则。应当优先使用最具绩效管理对象代表性、最能反映绩效管理要求的核心指标。</w:t>
      </w:r>
    </w:p>
    <w:p w14:paraId="2914DB1E">
      <w:pPr>
        <w:ind w:firstLine="560"/>
        <w:rPr>
          <w:szCs w:val="32"/>
        </w:rPr>
      </w:pPr>
      <w:r>
        <w:rPr>
          <w:szCs w:val="32"/>
        </w:rPr>
        <w:t>3．可比性原则。对同类绩效管理对象要设定共性的绩效指标，以便于评价结果可以相互比较。</w:t>
      </w:r>
    </w:p>
    <w:p w14:paraId="2026D5AF">
      <w:pPr>
        <w:ind w:firstLine="560"/>
        <w:rPr>
          <w:szCs w:val="32"/>
        </w:rPr>
      </w:pPr>
      <w:r>
        <w:rPr>
          <w:szCs w:val="32"/>
        </w:rPr>
        <w:t>4．系统性原则。应当将定量指标与定性指标相结合，系统反映预算支出所产</w:t>
      </w:r>
      <w:r>
        <w:rPr>
          <w:rFonts w:hint="eastAsia"/>
          <w:szCs w:val="32"/>
        </w:rPr>
        <w:t>生</w:t>
      </w:r>
      <w:r>
        <w:rPr>
          <w:szCs w:val="32"/>
        </w:rPr>
        <w:t>的社会效益、经济效益、生态效益和可持续影响等。</w:t>
      </w:r>
    </w:p>
    <w:p w14:paraId="0CE04E81">
      <w:pPr>
        <w:ind w:firstLine="560"/>
      </w:pPr>
      <w:r>
        <w:t>5．经济性原则。应当通俗易懂、简便易行，数据的获得应当考虑现实条件和可操作性，符合成本效益原则。</w:t>
      </w:r>
    </w:p>
    <w:p w14:paraId="1430599F">
      <w:pPr>
        <w:pStyle w:val="4"/>
        <w:ind w:firstLine="560"/>
      </w:pPr>
      <w:bookmarkStart w:id="98" w:name="_Toc1258"/>
      <w:bookmarkStart w:id="99" w:name="_Toc20299"/>
      <w:bookmarkStart w:id="100" w:name="_Toc20271"/>
      <w:bookmarkStart w:id="101" w:name="_Toc32157"/>
      <w:bookmarkStart w:id="102" w:name="_Toc11592"/>
      <w:r>
        <w:t>（三）绩效评价依据</w:t>
      </w:r>
      <w:bookmarkEnd w:id="98"/>
      <w:bookmarkEnd w:id="99"/>
      <w:bookmarkEnd w:id="100"/>
      <w:bookmarkEnd w:id="101"/>
      <w:bookmarkEnd w:id="102"/>
    </w:p>
    <w:p w14:paraId="1DEAE96D">
      <w:pPr>
        <w:ind w:firstLine="560"/>
        <w:rPr>
          <w:szCs w:val="32"/>
        </w:rPr>
      </w:pPr>
      <w:r>
        <w:rPr>
          <w:szCs w:val="32"/>
        </w:rPr>
        <w:t>1．《中华人民共和国预算法》（2018年12月29日修订）；</w:t>
      </w:r>
    </w:p>
    <w:p w14:paraId="5809CB12">
      <w:pPr>
        <w:ind w:firstLine="560"/>
        <w:rPr>
          <w:szCs w:val="32"/>
        </w:rPr>
      </w:pPr>
      <w:r>
        <w:rPr>
          <w:szCs w:val="32"/>
        </w:rPr>
        <w:t>2．《中共</w:t>
      </w:r>
      <w:r>
        <w:rPr>
          <w:rFonts w:hint="eastAsia"/>
          <w:szCs w:val="32"/>
          <w:lang w:eastAsia="zh-CN"/>
        </w:rPr>
        <w:t>中央、国务院</w:t>
      </w:r>
      <w:bookmarkStart w:id="225" w:name="_GoBack"/>
      <w:bookmarkEnd w:id="225"/>
      <w:r>
        <w:rPr>
          <w:szCs w:val="32"/>
        </w:rPr>
        <w:t>关于全面实施预算绩效管理的意见的通知》（中发〔2018〕34号）；</w:t>
      </w:r>
    </w:p>
    <w:p w14:paraId="0AC04E87">
      <w:pPr>
        <w:ind w:firstLine="560"/>
        <w:rPr>
          <w:szCs w:val="32"/>
        </w:rPr>
      </w:pPr>
      <w:r>
        <w:rPr>
          <w:szCs w:val="32"/>
        </w:rPr>
        <w:t>3．财政部《项目支出绩效评价管理办法》（财预〔2020〕10号）；</w:t>
      </w:r>
    </w:p>
    <w:p w14:paraId="0E91547B">
      <w:pPr>
        <w:ind w:firstLine="560"/>
        <w:rPr>
          <w:szCs w:val="32"/>
        </w:rPr>
      </w:pPr>
      <w:r>
        <w:rPr>
          <w:szCs w:val="32"/>
        </w:rPr>
        <w:t>4．《云南省项目支出绩效评价管理办法》（云财绩〔2020〕11号）；</w:t>
      </w:r>
    </w:p>
    <w:p w14:paraId="7862B870">
      <w:pPr>
        <w:ind w:firstLine="560"/>
        <w:rPr>
          <w:szCs w:val="32"/>
        </w:rPr>
      </w:pPr>
      <w:r>
        <w:rPr>
          <w:szCs w:val="32"/>
        </w:rPr>
        <w:t>5．《安宁市预算绩效管理暂行办法》（安政发〔2018〕10号）；</w:t>
      </w:r>
    </w:p>
    <w:p w14:paraId="1A4FD750">
      <w:pPr>
        <w:ind w:firstLine="560"/>
        <w:rPr>
          <w:rFonts w:hint="eastAsia" w:eastAsia="仿宋_GB2312"/>
          <w:szCs w:val="32"/>
          <w:highlight w:val="none"/>
          <w:lang w:eastAsia="zh-CN"/>
        </w:rPr>
      </w:pPr>
      <w:r>
        <w:rPr>
          <w:szCs w:val="32"/>
          <w:highlight w:val="none"/>
        </w:rPr>
        <w:t>6．</w:t>
      </w:r>
      <w:r>
        <w:rPr>
          <w:rFonts w:hint="eastAsia"/>
          <w:szCs w:val="32"/>
          <w:highlight w:val="none"/>
        </w:rPr>
        <w:t>《安宁市关于进一步推进养老服务事业发展的实施方案》（安政办〔2021〕38号）</w:t>
      </w:r>
      <w:r>
        <w:rPr>
          <w:rFonts w:hint="eastAsia"/>
          <w:szCs w:val="32"/>
          <w:highlight w:val="none"/>
          <w:lang w:eastAsia="zh-CN"/>
        </w:rPr>
        <w:t>；</w:t>
      </w:r>
    </w:p>
    <w:p w14:paraId="7E4AA502">
      <w:pPr>
        <w:ind w:firstLine="560"/>
        <w:rPr>
          <w:szCs w:val="32"/>
          <w:highlight w:val="none"/>
        </w:rPr>
      </w:pPr>
      <w:r>
        <w:rPr>
          <w:rFonts w:hint="eastAsia"/>
          <w:szCs w:val="32"/>
          <w:highlight w:val="none"/>
        </w:rPr>
        <w:t>7</w:t>
      </w:r>
      <w:r>
        <w:rPr>
          <w:szCs w:val="32"/>
          <w:highlight w:val="none"/>
        </w:rPr>
        <w:t>．</w:t>
      </w:r>
      <w:r>
        <w:rPr>
          <w:rFonts w:hint="eastAsia"/>
          <w:szCs w:val="32"/>
          <w:highlight w:val="none"/>
        </w:rPr>
        <w:t>《安宁市加强基本养老服务体系建设实施方案》（安办发〔2023〕13号）；</w:t>
      </w:r>
    </w:p>
    <w:p w14:paraId="10A9358A">
      <w:pPr>
        <w:ind w:firstLine="560"/>
        <w:rPr>
          <w:szCs w:val="32"/>
          <w:highlight w:val="none"/>
        </w:rPr>
      </w:pPr>
      <w:r>
        <w:rPr>
          <w:rFonts w:hint="eastAsia"/>
          <w:szCs w:val="32"/>
          <w:highlight w:val="none"/>
          <w:lang w:val="en-US" w:eastAsia="zh-CN"/>
        </w:rPr>
        <w:t>8</w:t>
      </w:r>
      <w:r>
        <w:rPr>
          <w:szCs w:val="32"/>
          <w:highlight w:val="none"/>
        </w:rPr>
        <w:t>．</w:t>
      </w:r>
      <w:r>
        <w:rPr>
          <w:rFonts w:hint="eastAsia"/>
          <w:szCs w:val="32"/>
          <w:highlight w:val="none"/>
        </w:rPr>
        <w:t>《安宁市老年幸福食堂老年人用餐卡管理办法》（安民〔2024〕8号）；</w:t>
      </w:r>
    </w:p>
    <w:p w14:paraId="4677B3B1">
      <w:pPr>
        <w:ind w:firstLine="560"/>
        <w:rPr>
          <w:szCs w:val="32"/>
          <w:highlight w:val="none"/>
        </w:rPr>
      </w:pPr>
      <w:r>
        <w:rPr>
          <w:rFonts w:hint="eastAsia"/>
          <w:szCs w:val="32"/>
          <w:highlight w:val="none"/>
          <w:lang w:val="en-US" w:eastAsia="zh-CN"/>
        </w:rPr>
        <w:t>9</w:t>
      </w:r>
      <w:r>
        <w:rPr>
          <w:szCs w:val="32"/>
          <w:highlight w:val="none"/>
        </w:rPr>
        <w:t>．</w:t>
      </w:r>
      <w:r>
        <w:rPr>
          <w:rFonts w:hint="eastAsia"/>
          <w:szCs w:val="32"/>
          <w:highlight w:val="none"/>
        </w:rPr>
        <w:t>《安宁市老年幸福食堂老年人用餐服务补贴审核管理办法(试行)》（安民〔2024〕20号）；</w:t>
      </w:r>
    </w:p>
    <w:p w14:paraId="79356EDB">
      <w:pPr>
        <w:ind w:firstLine="560"/>
        <w:rPr>
          <w:szCs w:val="32"/>
          <w:highlight w:val="none"/>
        </w:rPr>
      </w:pPr>
      <w:r>
        <w:rPr>
          <w:rFonts w:hint="eastAsia"/>
          <w:szCs w:val="32"/>
          <w:highlight w:val="none"/>
          <w:lang w:val="en-US" w:eastAsia="zh-CN"/>
        </w:rPr>
        <w:t>10</w:t>
      </w:r>
      <w:r>
        <w:rPr>
          <w:szCs w:val="32"/>
          <w:highlight w:val="none"/>
        </w:rPr>
        <w:t>．</w:t>
      </w:r>
      <w:r>
        <w:rPr>
          <w:rFonts w:hint="eastAsia"/>
          <w:szCs w:val="32"/>
          <w:highlight w:val="none"/>
        </w:rPr>
        <w:t>《安宁市城乡居家养老服务单位工作人员核定及资金使用管理办法》（安民〔2024〕10号）；</w:t>
      </w:r>
    </w:p>
    <w:p w14:paraId="2973D64D">
      <w:pPr>
        <w:ind w:firstLine="560"/>
        <w:rPr>
          <w:rFonts w:hint="eastAsia"/>
          <w:szCs w:val="32"/>
          <w:highlight w:val="none"/>
        </w:rPr>
      </w:pPr>
      <w:r>
        <w:rPr>
          <w:rFonts w:hint="eastAsia"/>
          <w:szCs w:val="32"/>
          <w:highlight w:val="none"/>
        </w:rPr>
        <w:t>1</w:t>
      </w:r>
      <w:r>
        <w:rPr>
          <w:rFonts w:hint="eastAsia"/>
          <w:szCs w:val="32"/>
          <w:highlight w:val="none"/>
          <w:lang w:val="en-US" w:eastAsia="zh-CN"/>
        </w:rPr>
        <w:t>1</w:t>
      </w:r>
      <w:r>
        <w:rPr>
          <w:szCs w:val="32"/>
          <w:highlight w:val="none"/>
        </w:rPr>
        <w:t>．</w:t>
      </w:r>
      <w:r>
        <w:rPr>
          <w:rFonts w:hint="eastAsia"/>
          <w:szCs w:val="32"/>
          <w:highlight w:val="none"/>
        </w:rPr>
        <w:t>《安宁市养老服务单位分级分类监督检查管理实施方案》（安民〔2024〕18号）</w:t>
      </w:r>
    </w:p>
    <w:p w14:paraId="2B97B4B5">
      <w:pPr>
        <w:ind w:firstLine="560"/>
        <w:rPr>
          <w:rFonts w:hint="eastAsia"/>
          <w:szCs w:val="32"/>
          <w:highlight w:val="none"/>
          <w:lang w:eastAsia="zh-CN"/>
        </w:rPr>
      </w:pPr>
      <w:r>
        <w:rPr>
          <w:rFonts w:hint="eastAsia"/>
          <w:szCs w:val="32"/>
          <w:highlight w:val="none"/>
        </w:rPr>
        <w:t>1</w:t>
      </w:r>
      <w:r>
        <w:rPr>
          <w:rFonts w:hint="eastAsia"/>
          <w:szCs w:val="32"/>
          <w:highlight w:val="none"/>
          <w:lang w:val="en-US" w:eastAsia="zh-CN"/>
        </w:rPr>
        <w:t>2</w:t>
      </w:r>
      <w:r>
        <w:rPr>
          <w:szCs w:val="32"/>
          <w:highlight w:val="none"/>
        </w:rPr>
        <w:t>．</w:t>
      </w:r>
      <w:r>
        <w:rPr>
          <w:rFonts w:hint="eastAsia"/>
          <w:szCs w:val="32"/>
          <w:highlight w:val="none"/>
        </w:rPr>
        <w:t>《昆明市积极开展老年助餐服务工作方案》（昆民联发〔2024〕23号）</w:t>
      </w:r>
      <w:r>
        <w:rPr>
          <w:rFonts w:hint="eastAsia"/>
          <w:szCs w:val="32"/>
          <w:highlight w:val="none"/>
          <w:lang w:eastAsia="zh-CN"/>
        </w:rPr>
        <w:t>；</w:t>
      </w:r>
    </w:p>
    <w:p w14:paraId="17A82048">
      <w:pPr>
        <w:ind w:firstLine="560"/>
        <w:rPr>
          <w:rFonts w:hint="eastAsia" w:ascii="Times New Roman" w:hAnsi="Times New Roman" w:cs="Times New Roman"/>
          <w:sz w:val="28"/>
          <w:szCs w:val="28"/>
          <w:highlight w:val="none"/>
          <w:lang w:eastAsia="zh-CN"/>
        </w:rPr>
      </w:pPr>
      <w:r>
        <w:rPr>
          <w:rFonts w:hint="eastAsia"/>
          <w:szCs w:val="32"/>
          <w:highlight w:val="none"/>
        </w:rPr>
        <w:t>1</w:t>
      </w:r>
      <w:r>
        <w:rPr>
          <w:rFonts w:hint="eastAsia"/>
          <w:szCs w:val="32"/>
          <w:highlight w:val="none"/>
          <w:lang w:val="en-US" w:eastAsia="zh-CN"/>
        </w:rPr>
        <w:t>3</w:t>
      </w:r>
      <w:r>
        <w:rPr>
          <w:szCs w:val="32"/>
          <w:highlight w:val="none"/>
        </w:rPr>
        <w:t>．</w:t>
      </w:r>
      <w:r>
        <w:rPr>
          <w:rFonts w:hint="eastAsia" w:ascii="Times New Roman" w:hAnsi="Times New Roman" w:eastAsia="仿宋_GB2312" w:cs="Times New Roman"/>
          <w:sz w:val="28"/>
          <w:szCs w:val="28"/>
          <w:highlight w:val="none"/>
        </w:rPr>
        <w:t>《安宁市2024年养老服务设施建设及运营、管理服务补助经费（项目）绩效目标自评表》《安宁市民政局关于2024“养老服务设施建设及运营、管理服务补助经费”预算项目自查自评报告》</w:t>
      </w:r>
      <w:r>
        <w:rPr>
          <w:rFonts w:hint="eastAsia" w:ascii="Times New Roman" w:hAnsi="Times New Roman" w:cs="Times New Roman"/>
          <w:sz w:val="28"/>
          <w:szCs w:val="28"/>
          <w:highlight w:val="none"/>
          <w:lang w:eastAsia="zh-CN"/>
        </w:rPr>
        <w:t>；</w:t>
      </w:r>
    </w:p>
    <w:p w14:paraId="77F43AA7">
      <w:pPr>
        <w:ind w:firstLine="560"/>
        <w:rPr>
          <w:rFonts w:hint="eastAsia"/>
          <w:szCs w:val="32"/>
          <w:highlight w:val="none"/>
          <w:lang w:eastAsia="zh-CN"/>
        </w:rPr>
      </w:pPr>
      <w:r>
        <w:rPr>
          <w:rFonts w:hint="eastAsia"/>
          <w:szCs w:val="32"/>
          <w:highlight w:val="none"/>
        </w:rPr>
        <w:t>1</w:t>
      </w:r>
      <w:r>
        <w:rPr>
          <w:rFonts w:hint="eastAsia"/>
          <w:szCs w:val="32"/>
          <w:highlight w:val="none"/>
          <w:lang w:val="en-US" w:eastAsia="zh-CN"/>
        </w:rPr>
        <w:t>4</w:t>
      </w:r>
      <w:r>
        <w:rPr>
          <w:szCs w:val="32"/>
          <w:highlight w:val="none"/>
        </w:rPr>
        <w:t>．</w:t>
      </w:r>
      <w:r>
        <w:rPr>
          <w:rFonts w:hint="eastAsia"/>
          <w:szCs w:val="32"/>
          <w:highlight w:val="none"/>
        </w:rPr>
        <w:t>2024年度养老服务设施建设及运营、管理服务补助经费（老年食堂）项目支出会计凭证</w:t>
      </w:r>
      <w:r>
        <w:rPr>
          <w:rFonts w:hint="eastAsia"/>
          <w:szCs w:val="32"/>
          <w:highlight w:val="none"/>
          <w:lang w:eastAsia="zh-CN"/>
        </w:rPr>
        <w:t>；</w:t>
      </w:r>
    </w:p>
    <w:p w14:paraId="77BA8EA5">
      <w:pPr>
        <w:ind w:firstLine="560"/>
        <w:rPr>
          <w:rFonts w:hint="eastAsia"/>
          <w:szCs w:val="32"/>
          <w:highlight w:val="none"/>
        </w:rPr>
      </w:pPr>
      <w:r>
        <w:rPr>
          <w:rFonts w:hint="eastAsia"/>
          <w:szCs w:val="32"/>
          <w:highlight w:val="none"/>
        </w:rPr>
        <w:t>1</w:t>
      </w:r>
      <w:r>
        <w:rPr>
          <w:rFonts w:hint="eastAsia"/>
          <w:szCs w:val="32"/>
          <w:highlight w:val="none"/>
          <w:lang w:val="en-US" w:eastAsia="zh-CN"/>
        </w:rPr>
        <w:t>5</w:t>
      </w:r>
      <w:r>
        <w:rPr>
          <w:szCs w:val="32"/>
          <w:highlight w:val="none"/>
        </w:rPr>
        <w:t>．</w:t>
      </w:r>
      <w:r>
        <w:rPr>
          <w:rFonts w:hint="eastAsia"/>
          <w:szCs w:val="32"/>
          <w:highlight w:val="none"/>
        </w:rPr>
        <w:t>《安宁市老年人用餐补助评估报告(2023年7月至12月)》《安宁市老年人用餐补助评估报告(2024年1月至3月)》、2024年4-12月老年人用餐系统导出数据《机构统计报表》；</w:t>
      </w:r>
    </w:p>
    <w:p w14:paraId="11EAB46F">
      <w:pPr>
        <w:ind w:firstLine="560"/>
        <w:rPr>
          <w:rFonts w:hint="eastAsia"/>
          <w:szCs w:val="32"/>
          <w:highlight w:val="none"/>
          <w:lang w:eastAsia="zh-CN"/>
        </w:rPr>
      </w:pPr>
      <w:r>
        <w:rPr>
          <w:rFonts w:hint="eastAsia"/>
          <w:szCs w:val="32"/>
          <w:highlight w:val="none"/>
          <w:lang w:val="en-US" w:eastAsia="zh-CN"/>
        </w:rPr>
        <w:t>16</w:t>
      </w:r>
      <w:r>
        <w:rPr>
          <w:szCs w:val="32"/>
          <w:highlight w:val="none"/>
        </w:rPr>
        <w:t>．</w:t>
      </w:r>
      <w:r>
        <w:rPr>
          <w:rFonts w:hint="eastAsia"/>
          <w:szCs w:val="32"/>
          <w:highlight w:val="none"/>
        </w:rPr>
        <w:t>《2024年老龄事务经费预算编制说明》</w:t>
      </w:r>
      <w:r>
        <w:rPr>
          <w:rFonts w:hint="eastAsia"/>
          <w:szCs w:val="32"/>
          <w:highlight w:val="none"/>
          <w:lang w:eastAsia="zh-CN"/>
        </w:rPr>
        <w:t>；</w:t>
      </w:r>
    </w:p>
    <w:p w14:paraId="30493758">
      <w:pPr>
        <w:ind w:firstLine="560"/>
        <w:rPr>
          <w:rFonts w:hint="eastAsia"/>
          <w:szCs w:val="32"/>
          <w:highlight w:val="none"/>
          <w:lang w:eastAsia="zh-CN"/>
        </w:rPr>
      </w:pPr>
      <w:r>
        <w:rPr>
          <w:rFonts w:hint="eastAsia"/>
          <w:szCs w:val="32"/>
          <w:highlight w:val="none"/>
          <w:lang w:val="en-US" w:eastAsia="zh-CN"/>
        </w:rPr>
        <w:t>17</w:t>
      </w:r>
      <w:r>
        <w:rPr>
          <w:szCs w:val="32"/>
          <w:highlight w:val="none"/>
        </w:rPr>
        <w:t>．</w:t>
      </w:r>
      <w:r>
        <w:rPr>
          <w:rFonts w:hint="eastAsia"/>
          <w:szCs w:val="32"/>
          <w:highlight w:val="none"/>
        </w:rPr>
        <w:t>《安宁市民政局关于申请调剂养老服务设施建设及运营、管理服务补助经费的请示》（安民请〔2024〕14号）、《安宁市民政局关于申请调剂养老服务设施建设及运营、管理服务补助经费的请示》（安民请〔2024〕43号）等资金下发文件</w:t>
      </w:r>
      <w:r>
        <w:rPr>
          <w:rFonts w:hint="eastAsia"/>
          <w:szCs w:val="32"/>
          <w:highlight w:val="none"/>
          <w:lang w:eastAsia="zh-CN"/>
        </w:rPr>
        <w:t>；</w:t>
      </w:r>
    </w:p>
    <w:p w14:paraId="522FF2D0">
      <w:pPr>
        <w:ind w:firstLine="560"/>
        <w:rPr>
          <w:rFonts w:hint="eastAsia"/>
          <w:szCs w:val="32"/>
          <w:highlight w:val="none"/>
          <w:lang w:eastAsia="zh-CN"/>
        </w:rPr>
      </w:pPr>
      <w:r>
        <w:rPr>
          <w:rFonts w:hint="eastAsia"/>
          <w:szCs w:val="32"/>
          <w:highlight w:val="none"/>
          <w:lang w:val="en-US" w:eastAsia="zh-CN"/>
        </w:rPr>
        <w:t>18</w:t>
      </w:r>
      <w:r>
        <w:rPr>
          <w:szCs w:val="32"/>
          <w:highlight w:val="none"/>
        </w:rPr>
        <w:t>．</w:t>
      </w:r>
      <w:r>
        <w:rPr>
          <w:rFonts w:hint="eastAsia"/>
          <w:szCs w:val="32"/>
          <w:highlight w:val="none"/>
        </w:rPr>
        <w:t>2024年6月安宁市民政局、安宁市财政局开展养老服务资金专项抽查检查资料</w:t>
      </w:r>
      <w:r>
        <w:rPr>
          <w:rFonts w:hint="eastAsia"/>
          <w:szCs w:val="32"/>
          <w:highlight w:val="none"/>
          <w:lang w:eastAsia="zh-CN"/>
        </w:rPr>
        <w:t>；</w:t>
      </w:r>
    </w:p>
    <w:p w14:paraId="1774AB63">
      <w:pPr>
        <w:ind w:firstLine="560"/>
        <w:rPr>
          <w:rFonts w:hint="eastAsia" w:eastAsia="仿宋_GB2312"/>
          <w:szCs w:val="32"/>
          <w:highlight w:val="none"/>
          <w:lang w:eastAsia="zh-CN"/>
        </w:rPr>
      </w:pPr>
      <w:r>
        <w:rPr>
          <w:rFonts w:hint="eastAsia"/>
          <w:szCs w:val="32"/>
          <w:highlight w:val="none"/>
          <w:lang w:val="en-US" w:eastAsia="zh-CN"/>
        </w:rPr>
        <w:t>19</w:t>
      </w:r>
      <w:r>
        <w:rPr>
          <w:szCs w:val="32"/>
          <w:highlight w:val="none"/>
        </w:rPr>
        <w:t>．</w:t>
      </w:r>
      <w:r>
        <w:rPr>
          <w:rFonts w:hint="eastAsia" w:ascii="Times New Roman" w:hAnsi="Times New Roman" w:eastAsia="仿宋_GB2312" w:cs="Times New Roman"/>
          <w:sz w:val="28"/>
          <w:szCs w:val="28"/>
          <w:highlight w:val="none"/>
        </w:rPr>
        <w:t>其他相关资料</w:t>
      </w:r>
      <w:r>
        <w:rPr>
          <w:rFonts w:hint="eastAsia" w:ascii="Times New Roman" w:hAnsi="Times New Roman" w:cs="Times New Roman"/>
          <w:sz w:val="28"/>
          <w:szCs w:val="28"/>
          <w:highlight w:val="none"/>
          <w:lang w:eastAsia="zh-CN"/>
        </w:rPr>
        <w:t>。</w:t>
      </w:r>
    </w:p>
    <w:p w14:paraId="7418B6F3">
      <w:pPr>
        <w:pStyle w:val="4"/>
        <w:ind w:firstLine="560"/>
      </w:pPr>
      <w:bookmarkStart w:id="103" w:name="_Toc10036"/>
      <w:bookmarkStart w:id="104" w:name="_Toc17450"/>
      <w:bookmarkStart w:id="105" w:name="_Toc7831"/>
      <w:bookmarkStart w:id="106" w:name="_Toc31789"/>
      <w:bookmarkStart w:id="107" w:name="_Toc7718"/>
      <w:r>
        <w:t>（四）绩效评价指标体系</w:t>
      </w:r>
      <w:bookmarkEnd w:id="103"/>
      <w:bookmarkEnd w:id="104"/>
      <w:bookmarkEnd w:id="105"/>
      <w:bookmarkEnd w:id="106"/>
      <w:bookmarkEnd w:id="107"/>
    </w:p>
    <w:p w14:paraId="732F840E">
      <w:pPr>
        <w:ind w:firstLine="560"/>
        <w:rPr>
          <w:szCs w:val="32"/>
        </w:rPr>
      </w:pPr>
      <w:r>
        <w:rPr>
          <w:szCs w:val="32"/>
        </w:rPr>
        <w:t>根据《云南省财政厅关于印发</w:t>
      </w:r>
      <w:r>
        <w:rPr>
          <w:rFonts w:hint="eastAsia"/>
          <w:szCs w:val="32"/>
        </w:rPr>
        <w:t>〈</w:t>
      </w:r>
      <w:r>
        <w:rPr>
          <w:szCs w:val="32"/>
        </w:rPr>
        <w:t>云南省项目支出绩效评价管理办法</w:t>
      </w:r>
      <w:r>
        <w:rPr>
          <w:rFonts w:hint="eastAsia"/>
          <w:szCs w:val="32"/>
        </w:rPr>
        <w:t>〉</w:t>
      </w:r>
      <w:r>
        <w:rPr>
          <w:szCs w:val="32"/>
        </w:rPr>
        <w:t>的通知》</w:t>
      </w:r>
      <w:r>
        <w:rPr>
          <w:rFonts w:hint="eastAsia"/>
          <w:szCs w:val="32"/>
        </w:rPr>
        <w:t>（</w:t>
      </w:r>
      <w:r>
        <w:rPr>
          <w:szCs w:val="32"/>
        </w:rPr>
        <w:t>云财绩〔2020〕11号</w:t>
      </w:r>
      <w:r>
        <w:rPr>
          <w:rFonts w:hint="eastAsia"/>
          <w:szCs w:val="32"/>
        </w:rPr>
        <w:t>）</w:t>
      </w:r>
      <w:r>
        <w:rPr>
          <w:szCs w:val="32"/>
        </w:rPr>
        <w:t>相关要求，结合本次评价项目实际情况，以100分计，设置</w:t>
      </w:r>
      <w:r>
        <w:rPr>
          <w:rFonts w:hint="eastAsia"/>
          <w:szCs w:val="32"/>
        </w:rPr>
        <w:t>“</w:t>
      </w:r>
      <w:r>
        <w:rPr>
          <w:szCs w:val="32"/>
        </w:rPr>
        <w:t>决策、过程、产出、效益</w:t>
      </w:r>
      <w:r>
        <w:rPr>
          <w:rFonts w:hint="eastAsia"/>
          <w:szCs w:val="32"/>
        </w:rPr>
        <w:t>”</w:t>
      </w:r>
      <w:r>
        <w:rPr>
          <w:szCs w:val="32"/>
        </w:rPr>
        <w:t>4个一级指标。权重分别为决策15%、过程25%、产出3</w:t>
      </w:r>
      <w:r>
        <w:rPr>
          <w:rFonts w:hint="eastAsia"/>
          <w:szCs w:val="32"/>
        </w:rPr>
        <w:t>0</w:t>
      </w:r>
      <w:r>
        <w:rPr>
          <w:szCs w:val="32"/>
        </w:rPr>
        <w:t>%、效益</w:t>
      </w:r>
      <w:r>
        <w:rPr>
          <w:rFonts w:hint="eastAsia"/>
          <w:szCs w:val="32"/>
        </w:rPr>
        <w:t>30</w:t>
      </w:r>
      <w:r>
        <w:rPr>
          <w:szCs w:val="32"/>
        </w:rPr>
        <w:t>%。</w:t>
      </w:r>
    </w:p>
    <w:p w14:paraId="00EA0FFD">
      <w:pPr>
        <w:ind w:firstLine="560"/>
        <w:rPr>
          <w:szCs w:val="32"/>
        </w:rPr>
      </w:pPr>
      <w:r>
        <w:rPr>
          <w:rFonts w:hint="eastAsia"/>
          <w:szCs w:val="32"/>
        </w:rPr>
        <w:t>“</w:t>
      </w:r>
      <w:r>
        <w:rPr>
          <w:szCs w:val="32"/>
        </w:rPr>
        <w:t>决策</w:t>
      </w:r>
      <w:r>
        <w:rPr>
          <w:rFonts w:hint="eastAsia"/>
          <w:szCs w:val="32"/>
        </w:rPr>
        <w:t>”</w:t>
      </w:r>
      <w:r>
        <w:rPr>
          <w:szCs w:val="32"/>
        </w:rPr>
        <w:t>指标反映项目前期工作准备情况。包括</w:t>
      </w:r>
      <w:r>
        <w:rPr>
          <w:rFonts w:hint="eastAsia"/>
          <w:szCs w:val="32"/>
        </w:rPr>
        <w:t>“</w:t>
      </w:r>
      <w:r>
        <w:rPr>
          <w:szCs w:val="32"/>
        </w:rPr>
        <w:t>项目立项、绩效目标</w:t>
      </w:r>
      <w:r>
        <w:rPr>
          <w:rFonts w:hint="eastAsia"/>
          <w:szCs w:val="32"/>
        </w:rPr>
        <w:t>、</w:t>
      </w:r>
      <w:r>
        <w:rPr>
          <w:szCs w:val="32"/>
        </w:rPr>
        <w:t>资金投入</w:t>
      </w:r>
      <w:r>
        <w:rPr>
          <w:rFonts w:hint="eastAsia"/>
          <w:szCs w:val="32"/>
        </w:rPr>
        <w:t>”</w:t>
      </w:r>
      <w:r>
        <w:rPr>
          <w:szCs w:val="32"/>
        </w:rPr>
        <w:t>3个二级指标，主要考核立项依据充分性、立项程序规范性、绩效目标合理性、绩效指标明确性、预算编制科学性、资金分配合理性等方面。</w:t>
      </w:r>
    </w:p>
    <w:p w14:paraId="2E741CFA">
      <w:pPr>
        <w:ind w:firstLine="560"/>
        <w:rPr>
          <w:szCs w:val="32"/>
        </w:rPr>
      </w:pPr>
      <w:r>
        <w:rPr>
          <w:rFonts w:hint="eastAsia"/>
          <w:szCs w:val="32"/>
        </w:rPr>
        <w:t>“</w:t>
      </w:r>
      <w:r>
        <w:rPr>
          <w:szCs w:val="32"/>
        </w:rPr>
        <w:t>过程</w:t>
      </w:r>
      <w:r>
        <w:rPr>
          <w:rFonts w:hint="eastAsia"/>
          <w:szCs w:val="32"/>
        </w:rPr>
        <w:t>”</w:t>
      </w:r>
      <w:r>
        <w:rPr>
          <w:szCs w:val="32"/>
        </w:rPr>
        <w:t>指标反映项目过程管理情况。包括</w:t>
      </w:r>
      <w:r>
        <w:rPr>
          <w:rFonts w:hint="eastAsia"/>
          <w:szCs w:val="32"/>
        </w:rPr>
        <w:t>“</w:t>
      </w:r>
      <w:r>
        <w:rPr>
          <w:szCs w:val="32"/>
        </w:rPr>
        <w:t>资金管理、组织实施</w:t>
      </w:r>
      <w:r>
        <w:rPr>
          <w:rFonts w:hint="eastAsia"/>
          <w:szCs w:val="32"/>
        </w:rPr>
        <w:t>”</w:t>
      </w:r>
      <w:r>
        <w:rPr>
          <w:szCs w:val="32"/>
        </w:rPr>
        <w:t>2个二级指标，主要考核项目资金到位率、预算执行率、资金使用合规性、会计核算规范性、绩效自评、管理制度健全性、制度执行有效性、</w:t>
      </w:r>
      <w:r>
        <w:rPr>
          <w:rFonts w:hint="eastAsia"/>
          <w:szCs w:val="32"/>
        </w:rPr>
        <w:t>监督检查</w:t>
      </w:r>
      <w:r>
        <w:rPr>
          <w:rFonts w:hint="eastAsia"/>
          <w:szCs w:val="32"/>
          <w:lang w:eastAsia="zh-CN"/>
        </w:rPr>
        <w:t>、</w:t>
      </w:r>
      <w:r>
        <w:rPr>
          <w:szCs w:val="32"/>
        </w:rPr>
        <w:t>档案管理规范性等方面。</w:t>
      </w:r>
    </w:p>
    <w:p w14:paraId="378861E9">
      <w:pPr>
        <w:ind w:firstLine="560"/>
        <w:rPr>
          <w:szCs w:val="32"/>
          <w:highlight w:val="none"/>
        </w:rPr>
      </w:pPr>
      <w:r>
        <w:rPr>
          <w:rFonts w:hint="eastAsia"/>
          <w:szCs w:val="32"/>
        </w:rPr>
        <w:t>“</w:t>
      </w:r>
      <w:r>
        <w:rPr>
          <w:szCs w:val="32"/>
          <w:highlight w:val="none"/>
        </w:rPr>
        <w:t>产出</w:t>
      </w:r>
      <w:r>
        <w:rPr>
          <w:rFonts w:hint="eastAsia"/>
          <w:szCs w:val="32"/>
          <w:highlight w:val="none"/>
        </w:rPr>
        <w:t>”</w:t>
      </w:r>
      <w:r>
        <w:rPr>
          <w:szCs w:val="32"/>
          <w:highlight w:val="none"/>
        </w:rPr>
        <w:t>指标反映项目实施是否实现预期任务目标</w:t>
      </w:r>
      <w:r>
        <w:rPr>
          <w:rFonts w:hint="eastAsia"/>
          <w:szCs w:val="32"/>
          <w:highlight w:val="none"/>
        </w:rPr>
        <w:t>。</w:t>
      </w:r>
      <w:r>
        <w:rPr>
          <w:szCs w:val="32"/>
          <w:highlight w:val="none"/>
        </w:rPr>
        <w:t>包括</w:t>
      </w:r>
      <w:r>
        <w:rPr>
          <w:rFonts w:hint="eastAsia"/>
          <w:szCs w:val="32"/>
          <w:highlight w:val="none"/>
        </w:rPr>
        <w:t>“</w:t>
      </w:r>
      <w:r>
        <w:rPr>
          <w:szCs w:val="32"/>
          <w:highlight w:val="none"/>
        </w:rPr>
        <w:t>产出数量、产出质量、产出时效</w:t>
      </w:r>
      <w:r>
        <w:rPr>
          <w:rFonts w:hint="eastAsia"/>
          <w:szCs w:val="32"/>
          <w:highlight w:val="none"/>
        </w:rPr>
        <w:t>”3</w:t>
      </w:r>
      <w:r>
        <w:rPr>
          <w:szCs w:val="32"/>
          <w:highlight w:val="none"/>
        </w:rPr>
        <w:t>个二级指标，主要考核</w:t>
      </w:r>
      <w:r>
        <w:rPr>
          <w:rFonts w:hint="eastAsia"/>
          <w:szCs w:val="32"/>
          <w:highlight w:val="none"/>
        </w:rPr>
        <w:t>老年食堂运营率、补助发放准确率、老年人用餐数据真实性</w:t>
      </w:r>
      <w:r>
        <w:rPr>
          <w:rFonts w:hint="eastAsia"/>
          <w:szCs w:val="32"/>
          <w:highlight w:val="none"/>
          <w:lang w:eastAsia="zh-CN"/>
        </w:rPr>
        <w:t>、</w:t>
      </w:r>
      <w:r>
        <w:rPr>
          <w:rFonts w:hint="eastAsia"/>
          <w:szCs w:val="32"/>
          <w:highlight w:val="none"/>
        </w:rPr>
        <w:t>补助资金发放及时率</w:t>
      </w:r>
      <w:r>
        <w:rPr>
          <w:szCs w:val="32"/>
          <w:highlight w:val="none"/>
        </w:rPr>
        <w:t>等方面。</w:t>
      </w:r>
    </w:p>
    <w:p w14:paraId="06210ABE">
      <w:pPr>
        <w:ind w:firstLine="560"/>
        <w:rPr>
          <w:color w:val="333333"/>
          <w:szCs w:val="32"/>
          <w:shd w:val="clear" w:color="auto" w:fill="FFFFFF"/>
        </w:rPr>
      </w:pPr>
      <w:r>
        <w:rPr>
          <w:rFonts w:hint="eastAsia"/>
          <w:szCs w:val="32"/>
          <w:highlight w:val="none"/>
        </w:rPr>
        <w:t>“效益</w:t>
      </w:r>
      <w:r>
        <w:rPr>
          <w:rFonts w:hint="eastAsia"/>
          <w:szCs w:val="32"/>
        </w:rPr>
        <w:t>”指标反映通过项目实施执行，预期可产生的效益情况。包括“项目效益”和“社会满意度”2个二级指标，项目效益主要考核项目实施对社会发展、经济增加所带来的直接或间接影响情况以及项目后续运行及成效发挥的可持续影响情况；社会满意度主要通过问卷调查的方式，了解服务对象对于2024年度养老服务设施建设及运营、管理服务补助经费（老年食堂）项目工作开展的满意度。</w:t>
      </w:r>
    </w:p>
    <w:p w14:paraId="3CA5C3C9">
      <w:pPr>
        <w:pStyle w:val="4"/>
        <w:ind w:firstLine="560"/>
      </w:pPr>
      <w:bookmarkStart w:id="108" w:name="_bookmark12"/>
      <w:bookmarkEnd w:id="108"/>
      <w:bookmarkStart w:id="109" w:name="_bookmark11"/>
      <w:bookmarkEnd w:id="109"/>
      <w:bookmarkStart w:id="110" w:name="_Toc118282081"/>
      <w:bookmarkEnd w:id="110"/>
      <w:bookmarkStart w:id="111" w:name="（四）绩效评价方法"/>
      <w:bookmarkEnd w:id="111"/>
      <w:bookmarkStart w:id="112" w:name="_Toc118282082"/>
      <w:bookmarkEnd w:id="112"/>
      <w:bookmarkStart w:id="113" w:name="（五）评价标准"/>
      <w:bookmarkEnd w:id="113"/>
      <w:bookmarkStart w:id="114" w:name="_Toc2147"/>
      <w:bookmarkStart w:id="115" w:name="_Toc19275"/>
      <w:bookmarkStart w:id="116" w:name="_Toc8740"/>
      <w:bookmarkStart w:id="117" w:name="_Toc21099"/>
      <w:bookmarkStart w:id="118" w:name="_Toc9399"/>
      <w:r>
        <w:t>（五）绩效评价方法</w:t>
      </w:r>
      <w:bookmarkEnd w:id="114"/>
      <w:bookmarkEnd w:id="115"/>
      <w:bookmarkEnd w:id="116"/>
      <w:bookmarkEnd w:id="117"/>
      <w:bookmarkEnd w:id="118"/>
    </w:p>
    <w:p w14:paraId="3E54C8AA">
      <w:pPr>
        <w:ind w:firstLine="560"/>
        <w:rPr>
          <w:szCs w:val="32"/>
        </w:rPr>
      </w:pPr>
      <w:r>
        <w:rPr>
          <w:szCs w:val="32"/>
        </w:rPr>
        <w:t>本次绩效评价采用定量与定性相结合，对收集的相关基础资料、各种技术经济数据，在归集、整理、分析的基础上，运用资料审阅法、分析比较法、因素分析法、实地考察法等，系统、科学</w:t>
      </w:r>
      <w:r>
        <w:rPr>
          <w:rFonts w:hint="eastAsia"/>
          <w:szCs w:val="32"/>
        </w:rPr>
        <w:t>地</w:t>
      </w:r>
      <w:r>
        <w:rPr>
          <w:szCs w:val="32"/>
        </w:rPr>
        <w:t>反映</w:t>
      </w:r>
      <w:r>
        <w:rPr>
          <w:rFonts w:hint="eastAsia"/>
          <w:szCs w:val="32"/>
        </w:rPr>
        <w:t>2024年度养老服务设施建设及运营、管理服务补助经费（老年食堂）</w:t>
      </w:r>
      <w:r>
        <w:rPr>
          <w:rFonts w:hint="eastAsia"/>
          <w:szCs w:val="32"/>
          <w:lang w:val="en-US" w:eastAsia="zh-CN"/>
        </w:rPr>
        <w:t>项目</w:t>
      </w:r>
      <w:r>
        <w:rPr>
          <w:szCs w:val="32"/>
        </w:rPr>
        <w:t>综合绩效情况。具体评价方式如下：</w:t>
      </w:r>
    </w:p>
    <w:p w14:paraId="55A30902">
      <w:pPr>
        <w:pStyle w:val="5"/>
        <w:ind w:firstLine="560"/>
        <w:rPr>
          <w:rFonts w:ascii="Times New Roman" w:hAnsi="Times New Roman" w:cs="Times New Roman"/>
        </w:rPr>
      </w:pPr>
      <w:r>
        <w:rPr>
          <w:rFonts w:ascii="Times New Roman" w:hAnsi="Times New Roman" w:cs="Times New Roman"/>
        </w:rPr>
        <w:t>1．审阅资料</w:t>
      </w:r>
    </w:p>
    <w:p w14:paraId="6A9D771A">
      <w:pPr>
        <w:ind w:firstLine="560"/>
        <w:rPr>
          <w:szCs w:val="32"/>
        </w:rPr>
      </w:pPr>
      <w:r>
        <w:rPr>
          <w:szCs w:val="32"/>
        </w:rPr>
        <w:t>查阅相关资料，分析研究项目管理、资金管理等文件资料，必要时，请相关人员</w:t>
      </w:r>
      <w:r>
        <w:rPr>
          <w:rFonts w:hint="eastAsia"/>
          <w:szCs w:val="32"/>
        </w:rPr>
        <w:t>作出</w:t>
      </w:r>
      <w:r>
        <w:rPr>
          <w:szCs w:val="32"/>
        </w:rPr>
        <w:t>说明，并对需要进一步调查的问题做好记录；检查资金拨付情况，关注资金是否专款专用、是否存在违法违规现象等。</w:t>
      </w:r>
    </w:p>
    <w:p w14:paraId="35EF176F">
      <w:pPr>
        <w:pStyle w:val="5"/>
        <w:ind w:firstLine="560"/>
        <w:rPr>
          <w:rFonts w:ascii="Times New Roman" w:hAnsi="Times New Roman" w:cs="Times New Roman"/>
        </w:rPr>
      </w:pPr>
      <w:r>
        <w:rPr>
          <w:rFonts w:ascii="Times New Roman" w:hAnsi="Times New Roman" w:cs="Times New Roman"/>
        </w:rPr>
        <w:t>2．分析比较法</w:t>
      </w:r>
    </w:p>
    <w:p w14:paraId="3062C1E3">
      <w:pPr>
        <w:ind w:firstLine="560"/>
        <w:rPr>
          <w:szCs w:val="32"/>
        </w:rPr>
      </w:pPr>
      <w:r>
        <w:rPr>
          <w:szCs w:val="32"/>
        </w:rPr>
        <w:t>依据项目实施方案等资料，对照项目实际完成内容，评价项目是否严格按照计划进行；依据相关政策文件，评价项目管理是否按照项目管理办法等文件执行；通过详细列举分析影响绩效目标实现的内外因素，将项目绩效目标与实施结果对比分析，评价绩效目标实现程度；将项目预期效益与实施效果对比分析，结合开展问卷调查和实地问题调研，评价项目预期效益实现程度。</w:t>
      </w:r>
    </w:p>
    <w:p w14:paraId="57B4DCA8">
      <w:pPr>
        <w:pStyle w:val="5"/>
        <w:ind w:firstLine="560"/>
        <w:rPr>
          <w:rFonts w:ascii="Times New Roman" w:hAnsi="Times New Roman" w:cs="Times New Roman"/>
        </w:rPr>
      </w:pPr>
      <w:r>
        <w:rPr>
          <w:rFonts w:ascii="Times New Roman" w:hAnsi="Times New Roman" w:cs="Times New Roman"/>
        </w:rPr>
        <w:t>3．实地考察法</w:t>
      </w:r>
    </w:p>
    <w:p w14:paraId="508205E7">
      <w:pPr>
        <w:ind w:firstLine="560"/>
        <w:rPr>
          <w:szCs w:val="32"/>
        </w:rPr>
      </w:pPr>
      <w:r>
        <w:rPr>
          <w:szCs w:val="32"/>
        </w:rPr>
        <w:t>根据分工，采用资料收集、数据填报、案卷研究、实地问题调研、问卷调查等方式，组织开展实地再评价。在实地再评价过程中，根据项目的具体情况，设计资料清单、数据采集表格以收集有关资料数据；选取抽样点发放调查问卷，调查相关人员对项目的满意度、项目实施对相关人员的影响等。</w:t>
      </w:r>
    </w:p>
    <w:p w14:paraId="272945D6">
      <w:pPr>
        <w:pStyle w:val="4"/>
        <w:ind w:firstLine="560"/>
      </w:pPr>
      <w:bookmarkStart w:id="119" w:name="_Toc13708"/>
      <w:bookmarkStart w:id="120" w:name="_Toc10402"/>
      <w:bookmarkStart w:id="121" w:name="_Toc10359"/>
      <w:bookmarkStart w:id="122" w:name="_Toc23608"/>
      <w:bookmarkStart w:id="123" w:name="_Toc29384"/>
      <w:r>
        <w:t>（六）绩效评价标准</w:t>
      </w:r>
      <w:bookmarkEnd w:id="119"/>
      <w:bookmarkEnd w:id="120"/>
      <w:bookmarkEnd w:id="121"/>
      <w:bookmarkEnd w:id="122"/>
      <w:bookmarkEnd w:id="123"/>
    </w:p>
    <w:p w14:paraId="7568F130">
      <w:pPr>
        <w:ind w:firstLine="560"/>
        <w:rPr>
          <w:color w:val="333333"/>
          <w:szCs w:val="32"/>
        </w:rPr>
      </w:pPr>
      <w:r>
        <w:rPr>
          <w:szCs w:val="32"/>
        </w:rPr>
        <w:t>本次评价采用百分制，各级指标依据其指标权重确定分值，评价人员根据评价情况对各级指标进行打分，最终得分由各级评价指标得分加总得到。根据最终得分情况将评价标准分为四个等级：优（得分≥90分）；良（80分≤得分＜90分）；中（60≤得分＜80分）；差（得分＜60分）。</w:t>
      </w:r>
    </w:p>
    <w:p w14:paraId="55F9C575">
      <w:pPr>
        <w:pStyle w:val="4"/>
        <w:ind w:firstLine="560"/>
      </w:pPr>
      <w:bookmarkStart w:id="124" w:name="_bookmark13"/>
      <w:bookmarkEnd w:id="124"/>
      <w:bookmarkStart w:id="125" w:name="_Toc118282083"/>
      <w:bookmarkEnd w:id="125"/>
      <w:bookmarkStart w:id="126" w:name="（六）绩效评价抽样"/>
      <w:bookmarkEnd w:id="126"/>
      <w:bookmarkStart w:id="127" w:name="_Toc28245"/>
      <w:bookmarkStart w:id="128" w:name="_Toc28816"/>
      <w:bookmarkStart w:id="129" w:name="_Toc9485"/>
      <w:bookmarkStart w:id="130" w:name="_Toc23416"/>
      <w:bookmarkStart w:id="131" w:name="_Toc19449"/>
      <w:r>
        <w:t>（七）绩效评价过程</w:t>
      </w:r>
      <w:bookmarkEnd w:id="127"/>
      <w:bookmarkEnd w:id="128"/>
      <w:bookmarkEnd w:id="129"/>
      <w:bookmarkEnd w:id="130"/>
      <w:bookmarkEnd w:id="131"/>
    </w:p>
    <w:p w14:paraId="6A18FFA1">
      <w:pPr>
        <w:ind w:firstLine="560"/>
        <w:rPr>
          <w:color w:val="333333"/>
          <w:szCs w:val="32"/>
          <w:shd w:val="clear" w:color="auto" w:fill="FFFFFF"/>
        </w:rPr>
      </w:pPr>
      <w:r>
        <w:rPr>
          <w:color w:val="333333"/>
          <w:szCs w:val="32"/>
          <w:shd w:val="clear" w:color="auto" w:fill="FFFFFF"/>
        </w:rPr>
        <w:t>评价小组根据完善后的方案和安宁市财政局的要求，按照评价工作流程，分为准备阶段</w:t>
      </w:r>
      <w:r>
        <w:rPr>
          <w:rFonts w:hint="eastAsia"/>
          <w:color w:val="333333"/>
          <w:szCs w:val="32"/>
          <w:shd w:val="clear" w:color="auto" w:fill="FFFFFF"/>
        </w:rPr>
        <w:t>和</w:t>
      </w:r>
      <w:r>
        <w:rPr>
          <w:color w:val="333333"/>
          <w:szCs w:val="32"/>
          <w:shd w:val="clear" w:color="auto" w:fill="FFFFFF"/>
        </w:rPr>
        <w:t>实施阶段</w:t>
      </w:r>
      <w:r>
        <w:rPr>
          <w:rFonts w:hint="eastAsia"/>
          <w:color w:val="333333"/>
          <w:szCs w:val="32"/>
          <w:shd w:val="clear" w:color="auto" w:fill="FFFFFF"/>
        </w:rPr>
        <w:t>两</w:t>
      </w:r>
      <w:r>
        <w:rPr>
          <w:color w:val="333333"/>
          <w:szCs w:val="32"/>
          <w:shd w:val="clear" w:color="auto" w:fill="FFFFFF"/>
        </w:rPr>
        <w:t>个步骤具体实施：</w:t>
      </w:r>
    </w:p>
    <w:p w14:paraId="5C13B36E">
      <w:pPr>
        <w:pStyle w:val="5"/>
        <w:ind w:firstLine="560"/>
        <w:rPr>
          <w:rFonts w:ascii="Times New Roman" w:hAnsi="Times New Roman" w:cs="Times New Roman"/>
        </w:rPr>
      </w:pPr>
      <w:r>
        <w:rPr>
          <w:rFonts w:ascii="Times New Roman" w:hAnsi="Times New Roman" w:cs="Times New Roman"/>
        </w:rPr>
        <w:t>1．准备阶段</w:t>
      </w:r>
    </w:p>
    <w:p w14:paraId="7AD76B08">
      <w:pPr>
        <w:ind w:firstLine="560"/>
        <w:rPr>
          <w:szCs w:val="32"/>
        </w:rPr>
      </w:pPr>
      <w:r>
        <w:rPr>
          <w:szCs w:val="32"/>
          <w:highlight w:val="none"/>
        </w:rPr>
        <w:t>202</w:t>
      </w:r>
      <w:r>
        <w:rPr>
          <w:rFonts w:hint="eastAsia"/>
          <w:szCs w:val="32"/>
          <w:highlight w:val="none"/>
          <w:lang w:val="en-US" w:eastAsia="zh-CN"/>
        </w:rPr>
        <w:t>5</w:t>
      </w:r>
      <w:r>
        <w:rPr>
          <w:szCs w:val="32"/>
          <w:highlight w:val="none"/>
        </w:rPr>
        <w:t>年</w:t>
      </w:r>
      <w:r>
        <w:rPr>
          <w:rFonts w:hint="eastAsia"/>
          <w:szCs w:val="32"/>
          <w:highlight w:val="none"/>
          <w:lang w:val="en-US" w:eastAsia="zh-CN"/>
        </w:rPr>
        <w:t>11</w:t>
      </w:r>
      <w:r>
        <w:rPr>
          <w:szCs w:val="32"/>
          <w:highlight w:val="none"/>
        </w:rPr>
        <w:t>月</w:t>
      </w:r>
      <w:r>
        <w:rPr>
          <w:rFonts w:hint="eastAsia"/>
          <w:szCs w:val="32"/>
          <w:highlight w:val="none"/>
        </w:rPr>
        <w:t>1</w:t>
      </w:r>
      <w:r>
        <w:rPr>
          <w:rFonts w:hint="eastAsia"/>
          <w:szCs w:val="32"/>
          <w:highlight w:val="none"/>
          <w:lang w:val="en-US" w:eastAsia="zh-CN"/>
        </w:rPr>
        <w:t>5</w:t>
      </w:r>
      <w:r>
        <w:rPr>
          <w:szCs w:val="32"/>
          <w:highlight w:val="none"/>
        </w:rPr>
        <w:t>日前，组建项目绩效评价小组，拟定项目绩效评价实施方案，设计绩效评价指</w:t>
      </w:r>
      <w:r>
        <w:rPr>
          <w:szCs w:val="32"/>
        </w:rPr>
        <w:t>标框架。</w:t>
      </w:r>
    </w:p>
    <w:p w14:paraId="35321D93">
      <w:pPr>
        <w:pStyle w:val="5"/>
        <w:ind w:firstLine="560"/>
        <w:rPr>
          <w:rFonts w:ascii="Times New Roman" w:hAnsi="Times New Roman" w:cs="Times New Roman"/>
        </w:rPr>
      </w:pPr>
      <w:r>
        <w:rPr>
          <w:rFonts w:ascii="Times New Roman" w:hAnsi="Times New Roman" w:cs="Times New Roman"/>
        </w:rPr>
        <w:t>2．实施阶段</w:t>
      </w:r>
    </w:p>
    <w:p w14:paraId="5EA55A0E">
      <w:pPr>
        <w:ind w:firstLine="560"/>
        <w:rPr>
          <w:szCs w:val="32"/>
        </w:rPr>
      </w:pPr>
      <w:r>
        <w:rPr>
          <w:szCs w:val="32"/>
        </w:rPr>
        <w:t>（1）下发绩效评价实施方案。根据绩效评价实施方案，对开展绩效评价进行具体部署，分组、分工与各被评价部门、单位和项目部初步接触沟通。</w:t>
      </w:r>
    </w:p>
    <w:p w14:paraId="087CBA22">
      <w:pPr>
        <w:ind w:firstLine="560"/>
        <w:rPr>
          <w:szCs w:val="32"/>
        </w:rPr>
      </w:pPr>
      <w:r>
        <w:rPr>
          <w:szCs w:val="32"/>
        </w:rPr>
        <w:t>（2）收集整理资料。包括收集项目立项情况，项目制度制定与执行情况，资金收支情况项目实施目标和202</w:t>
      </w:r>
      <w:r>
        <w:rPr>
          <w:rFonts w:hint="eastAsia"/>
          <w:szCs w:val="32"/>
          <w:lang w:val="en-US" w:eastAsia="zh-CN"/>
        </w:rPr>
        <w:t>4</w:t>
      </w:r>
      <w:r>
        <w:rPr>
          <w:szCs w:val="32"/>
        </w:rPr>
        <w:t>年度目标的执行情况等资料，项目建设单位、实施单位及其他相关人员的满意度等资料。</w:t>
      </w:r>
    </w:p>
    <w:p w14:paraId="33FD652C">
      <w:pPr>
        <w:ind w:firstLine="560"/>
        <w:rPr>
          <w:szCs w:val="32"/>
        </w:rPr>
      </w:pPr>
      <w:r>
        <w:rPr>
          <w:szCs w:val="32"/>
        </w:rPr>
        <w:t>（3）开展实地调查。确认当年项目支出的绩效目标；整理总结该项目适用、在用的相关管理制度；分析项目实施的具体情况，确定当年项目支出的评价重点。</w:t>
      </w:r>
    </w:p>
    <w:p w14:paraId="1B1F1304">
      <w:pPr>
        <w:ind w:firstLine="560"/>
        <w:rPr>
          <w:szCs w:val="32"/>
        </w:rPr>
      </w:pPr>
      <w:r>
        <w:rPr>
          <w:szCs w:val="32"/>
        </w:rPr>
        <w:t>（4）绩效评价。按项目决策，目标设定情况；预算下达及项目实施过程情况；项目支出目标任务完成情况；预计效益和群体满意度情况四个阶段，构建指标体系。</w:t>
      </w:r>
    </w:p>
    <w:p w14:paraId="1229459D">
      <w:pPr>
        <w:pStyle w:val="3"/>
        <w:ind w:firstLine="562"/>
        <w:rPr>
          <w:rFonts w:ascii="Times New Roman" w:hAnsi="Times New Roman" w:cs="Times New Roman"/>
          <w:b/>
          <w:bCs w:val="0"/>
        </w:rPr>
      </w:pPr>
      <w:bookmarkStart w:id="132" w:name="_Toc118282084"/>
      <w:bookmarkEnd w:id="132"/>
      <w:bookmarkStart w:id="133" w:name="_bookmark14"/>
      <w:bookmarkEnd w:id="133"/>
      <w:bookmarkStart w:id="134" w:name="（七）绩效评价工作过程"/>
      <w:bookmarkEnd w:id="134"/>
      <w:bookmarkStart w:id="135" w:name="_Toc31707"/>
      <w:bookmarkStart w:id="136" w:name="_Toc459"/>
      <w:bookmarkStart w:id="137" w:name="_Toc8806"/>
      <w:bookmarkStart w:id="138" w:name="_Toc9153"/>
      <w:bookmarkStart w:id="139" w:name="_Toc7722"/>
      <w:bookmarkStart w:id="140" w:name="_Toc29871"/>
      <w:r>
        <w:rPr>
          <w:rFonts w:ascii="Times New Roman" w:hAnsi="Times New Roman" w:cs="Times New Roman"/>
          <w:b/>
          <w:bCs w:val="0"/>
        </w:rPr>
        <w:t>三、绩效评价结论</w:t>
      </w:r>
      <w:bookmarkEnd w:id="135"/>
      <w:bookmarkEnd w:id="136"/>
      <w:bookmarkEnd w:id="137"/>
      <w:bookmarkEnd w:id="138"/>
      <w:bookmarkEnd w:id="139"/>
      <w:bookmarkEnd w:id="140"/>
    </w:p>
    <w:p w14:paraId="5460649C">
      <w:pPr>
        <w:pStyle w:val="4"/>
        <w:ind w:firstLine="560"/>
      </w:pPr>
      <w:bookmarkStart w:id="141" w:name="_Toc26599"/>
      <w:bookmarkStart w:id="142" w:name="_Toc1188"/>
      <w:bookmarkStart w:id="143" w:name="_Toc18429"/>
      <w:bookmarkStart w:id="144" w:name="_Toc2911"/>
      <w:bookmarkStart w:id="145" w:name="_Toc22958"/>
      <w:r>
        <w:t>（一）</w:t>
      </w:r>
      <w:bookmarkStart w:id="146" w:name="_Hlk148472821"/>
      <w:r>
        <w:t>绩效评价综合结论</w:t>
      </w:r>
      <w:bookmarkEnd w:id="141"/>
      <w:bookmarkEnd w:id="142"/>
      <w:bookmarkEnd w:id="143"/>
      <w:bookmarkEnd w:id="144"/>
      <w:bookmarkEnd w:id="145"/>
      <w:bookmarkEnd w:id="146"/>
    </w:p>
    <w:p w14:paraId="1100A6F1">
      <w:pPr>
        <w:ind w:firstLine="560"/>
        <w:rPr>
          <w:szCs w:val="32"/>
        </w:rPr>
      </w:pPr>
      <w:r>
        <w:rPr>
          <w:rFonts w:hint="eastAsia"/>
          <w:szCs w:val="32"/>
        </w:rPr>
        <w:t>2024年度养老服务设施建设及运营、管理服务补助经费（老年食堂）项目</w:t>
      </w:r>
      <w:r>
        <w:rPr>
          <w:szCs w:val="32"/>
        </w:rPr>
        <w:t>绩效评价得分</w:t>
      </w:r>
      <w:r>
        <w:rPr>
          <w:rFonts w:hint="eastAsia"/>
          <w:szCs w:val="32"/>
          <w:highlight w:val="none"/>
          <w:lang w:val="en-US" w:eastAsia="zh-CN"/>
        </w:rPr>
        <w:t>88.72</w:t>
      </w:r>
      <w:r>
        <w:rPr>
          <w:szCs w:val="32"/>
          <w:highlight w:val="none"/>
        </w:rPr>
        <w:t>分，</w:t>
      </w:r>
      <w:r>
        <w:rPr>
          <w:szCs w:val="32"/>
        </w:rPr>
        <w:t>评价等级为</w:t>
      </w:r>
      <w:r>
        <w:rPr>
          <w:rFonts w:hint="eastAsia"/>
          <w:szCs w:val="32"/>
        </w:rPr>
        <w:t>“良”</w:t>
      </w:r>
      <w:r>
        <w:rPr>
          <w:szCs w:val="32"/>
        </w:rPr>
        <w:t>。各类指标权重和实际得分详见下表：</w:t>
      </w:r>
    </w:p>
    <w:tbl>
      <w:tblPr>
        <w:tblStyle w:val="17"/>
        <w:tblW w:w="4998" w:type="pct"/>
        <w:tblInd w:w="0" w:type="dxa"/>
        <w:tblLayout w:type="autofit"/>
        <w:tblCellMar>
          <w:top w:w="0" w:type="dxa"/>
          <w:left w:w="108" w:type="dxa"/>
          <w:bottom w:w="0" w:type="dxa"/>
          <w:right w:w="108" w:type="dxa"/>
        </w:tblCellMar>
      </w:tblPr>
      <w:tblGrid>
        <w:gridCol w:w="1419"/>
        <w:gridCol w:w="1420"/>
        <w:gridCol w:w="1420"/>
        <w:gridCol w:w="1420"/>
        <w:gridCol w:w="1420"/>
        <w:gridCol w:w="1420"/>
      </w:tblGrid>
      <w:tr w14:paraId="3D6C8016">
        <w:tblPrEx>
          <w:tblCellMar>
            <w:top w:w="0" w:type="dxa"/>
            <w:left w:w="108" w:type="dxa"/>
            <w:bottom w:w="0" w:type="dxa"/>
            <w:right w:w="108" w:type="dxa"/>
          </w:tblCellMar>
        </w:tblPrEx>
        <w:trPr>
          <w:trHeight w:val="270" w:hRule="atLeast"/>
          <w:tblHeader/>
        </w:trPr>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1F1A">
            <w:pPr>
              <w:widowControl/>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指标</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30115">
            <w:pPr>
              <w:widowControl/>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项目决策</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D7E42">
            <w:pPr>
              <w:widowControl/>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项目过程</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9EF2">
            <w:pPr>
              <w:widowControl/>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项目产出</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4BC8">
            <w:pPr>
              <w:widowControl/>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项目效益</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71564">
            <w:pPr>
              <w:widowControl/>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合计</w:t>
            </w:r>
          </w:p>
        </w:tc>
      </w:tr>
      <w:tr w14:paraId="2F8F1B18">
        <w:tblPrEx>
          <w:tblCellMar>
            <w:top w:w="0" w:type="dxa"/>
            <w:left w:w="108" w:type="dxa"/>
            <w:bottom w:w="0" w:type="dxa"/>
            <w:right w:w="108" w:type="dxa"/>
          </w:tblCellMar>
        </w:tblPrEx>
        <w:trPr>
          <w:trHeight w:val="270" w:hRule="atLeast"/>
        </w:trPr>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8F0F">
            <w:pPr>
              <w:widowControl/>
              <w:ind w:firstLine="0" w:firstLineChars="0"/>
              <w:jc w:val="center"/>
              <w:textAlignment w:val="center"/>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权重</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D55E">
            <w:pPr>
              <w:widowControl/>
              <w:ind w:firstLine="0" w:firstLineChars="0"/>
              <w:jc w:val="center"/>
              <w:textAlignment w:val="center"/>
              <w:rPr>
                <w:rFonts w:eastAsia="宋体"/>
                <w:color w:val="000000"/>
                <w:sz w:val="18"/>
                <w:szCs w:val="18"/>
                <w:highlight w:val="none"/>
              </w:rPr>
            </w:pPr>
            <w:r>
              <w:rPr>
                <w:rFonts w:eastAsia="宋体"/>
                <w:color w:val="000000"/>
                <w:kern w:val="0"/>
                <w:sz w:val="18"/>
                <w:szCs w:val="18"/>
                <w:highlight w:val="none"/>
                <w:lang w:bidi="ar"/>
              </w:rPr>
              <w:t>15</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4359">
            <w:pPr>
              <w:widowControl/>
              <w:ind w:firstLine="0" w:firstLineChars="0"/>
              <w:jc w:val="center"/>
              <w:textAlignment w:val="center"/>
              <w:rPr>
                <w:rFonts w:eastAsia="宋体"/>
                <w:color w:val="000000"/>
                <w:sz w:val="18"/>
                <w:szCs w:val="18"/>
                <w:highlight w:val="none"/>
              </w:rPr>
            </w:pPr>
            <w:r>
              <w:rPr>
                <w:rFonts w:eastAsia="宋体"/>
                <w:color w:val="000000"/>
                <w:kern w:val="0"/>
                <w:sz w:val="18"/>
                <w:szCs w:val="18"/>
                <w:highlight w:val="none"/>
                <w:lang w:bidi="ar"/>
              </w:rPr>
              <w:t>25</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A31F">
            <w:pPr>
              <w:widowControl/>
              <w:ind w:firstLine="0" w:firstLineChars="0"/>
              <w:jc w:val="center"/>
              <w:textAlignment w:val="center"/>
              <w:rPr>
                <w:rFonts w:eastAsia="宋体"/>
                <w:color w:val="000000"/>
                <w:sz w:val="18"/>
                <w:szCs w:val="18"/>
                <w:highlight w:val="none"/>
              </w:rPr>
            </w:pPr>
            <w:r>
              <w:rPr>
                <w:rFonts w:eastAsia="宋体"/>
                <w:color w:val="000000"/>
                <w:kern w:val="0"/>
                <w:sz w:val="18"/>
                <w:szCs w:val="18"/>
                <w:highlight w:val="none"/>
                <w:lang w:bidi="ar"/>
              </w:rPr>
              <w:t>3</w:t>
            </w:r>
            <w:r>
              <w:rPr>
                <w:rFonts w:hint="eastAsia" w:eastAsia="宋体"/>
                <w:color w:val="000000"/>
                <w:kern w:val="0"/>
                <w:sz w:val="18"/>
                <w:szCs w:val="18"/>
                <w:highlight w:val="none"/>
                <w:lang w:bidi="ar"/>
              </w:rPr>
              <w:t>0</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EA46C">
            <w:pPr>
              <w:widowControl/>
              <w:ind w:firstLine="0" w:firstLineChars="0"/>
              <w:jc w:val="center"/>
              <w:textAlignment w:val="center"/>
              <w:rPr>
                <w:rFonts w:eastAsia="宋体"/>
                <w:color w:val="000000"/>
                <w:sz w:val="18"/>
                <w:szCs w:val="18"/>
                <w:highlight w:val="none"/>
              </w:rPr>
            </w:pPr>
            <w:r>
              <w:rPr>
                <w:rFonts w:hint="eastAsia" w:eastAsia="宋体"/>
                <w:color w:val="000000"/>
                <w:sz w:val="18"/>
                <w:szCs w:val="18"/>
                <w:highlight w:val="none"/>
              </w:rPr>
              <w:t>30</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73A3">
            <w:pPr>
              <w:widowControl/>
              <w:ind w:firstLine="0" w:firstLineChars="0"/>
              <w:jc w:val="center"/>
              <w:textAlignment w:val="center"/>
              <w:rPr>
                <w:rFonts w:eastAsia="宋体"/>
                <w:color w:val="000000"/>
                <w:sz w:val="18"/>
                <w:szCs w:val="18"/>
                <w:highlight w:val="none"/>
              </w:rPr>
            </w:pPr>
            <w:r>
              <w:rPr>
                <w:rFonts w:eastAsia="宋体"/>
                <w:color w:val="000000"/>
                <w:kern w:val="0"/>
                <w:sz w:val="18"/>
                <w:szCs w:val="18"/>
                <w:highlight w:val="none"/>
                <w:lang w:bidi="ar"/>
              </w:rPr>
              <w:t>100</w:t>
            </w:r>
          </w:p>
        </w:tc>
      </w:tr>
      <w:tr w14:paraId="7D82033D">
        <w:tblPrEx>
          <w:tblCellMar>
            <w:top w:w="0" w:type="dxa"/>
            <w:left w:w="108" w:type="dxa"/>
            <w:bottom w:w="0" w:type="dxa"/>
            <w:right w:w="108" w:type="dxa"/>
          </w:tblCellMar>
        </w:tblPrEx>
        <w:trPr>
          <w:trHeight w:val="270" w:hRule="atLeast"/>
        </w:trPr>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35B9">
            <w:pPr>
              <w:widowControl/>
              <w:ind w:firstLine="0" w:firstLineChars="0"/>
              <w:jc w:val="center"/>
              <w:textAlignment w:val="center"/>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得分</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B10F">
            <w:pPr>
              <w:widowControl/>
              <w:ind w:firstLine="0" w:firstLineChars="0"/>
              <w:jc w:val="center"/>
              <w:textAlignment w:val="center"/>
              <w:rPr>
                <w:rFonts w:hint="default" w:eastAsia="宋体"/>
                <w:color w:val="000000"/>
                <w:sz w:val="18"/>
                <w:szCs w:val="18"/>
                <w:highlight w:val="none"/>
                <w:lang w:val="en-US" w:eastAsia="zh-CN"/>
              </w:rPr>
            </w:pPr>
            <w:r>
              <w:rPr>
                <w:rFonts w:hint="eastAsia" w:eastAsia="宋体"/>
                <w:color w:val="000000"/>
                <w:kern w:val="0"/>
                <w:sz w:val="18"/>
                <w:szCs w:val="18"/>
                <w:highlight w:val="none"/>
                <w:lang w:val="en-US" w:eastAsia="zh-CN" w:bidi="ar"/>
              </w:rPr>
              <w:t>15</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13E6D">
            <w:pPr>
              <w:widowControl/>
              <w:ind w:firstLine="0" w:firstLineChars="0"/>
              <w:jc w:val="center"/>
              <w:textAlignment w:val="center"/>
              <w:rPr>
                <w:rFonts w:hint="default" w:eastAsia="宋体"/>
                <w:color w:val="000000"/>
                <w:sz w:val="18"/>
                <w:szCs w:val="18"/>
                <w:highlight w:val="none"/>
                <w:lang w:val="en-US" w:eastAsia="zh-CN"/>
              </w:rPr>
            </w:pPr>
            <w:r>
              <w:rPr>
                <w:rFonts w:hint="eastAsia" w:eastAsia="宋体"/>
                <w:color w:val="000000"/>
                <w:sz w:val="18"/>
                <w:szCs w:val="18"/>
                <w:highlight w:val="none"/>
                <w:lang w:val="en-US" w:eastAsia="zh-CN"/>
              </w:rPr>
              <w:t>24.22</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BB5C">
            <w:pPr>
              <w:widowControl/>
              <w:ind w:firstLine="0" w:firstLineChars="0"/>
              <w:jc w:val="center"/>
              <w:textAlignment w:val="center"/>
              <w:rPr>
                <w:rFonts w:hint="default" w:eastAsia="宋体"/>
                <w:color w:val="000000"/>
                <w:sz w:val="18"/>
                <w:szCs w:val="18"/>
                <w:highlight w:val="none"/>
                <w:lang w:val="en-US" w:eastAsia="zh-CN"/>
              </w:rPr>
            </w:pPr>
            <w:r>
              <w:rPr>
                <w:rFonts w:hint="eastAsia" w:eastAsia="宋体"/>
                <w:color w:val="000000"/>
                <w:sz w:val="18"/>
                <w:szCs w:val="18"/>
                <w:highlight w:val="none"/>
                <w:lang w:val="en-US" w:eastAsia="zh-CN"/>
              </w:rPr>
              <w:t>25.5</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8825">
            <w:pPr>
              <w:widowControl/>
              <w:ind w:firstLine="0" w:firstLineChars="0"/>
              <w:jc w:val="center"/>
              <w:textAlignment w:val="center"/>
              <w:rPr>
                <w:rFonts w:eastAsia="宋体"/>
                <w:color w:val="000000"/>
                <w:sz w:val="18"/>
                <w:szCs w:val="18"/>
                <w:highlight w:val="none"/>
              </w:rPr>
            </w:pPr>
            <w:r>
              <w:rPr>
                <w:rFonts w:hint="eastAsia" w:eastAsia="宋体"/>
                <w:color w:val="000000"/>
                <w:sz w:val="18"/>
                <w:szCs w:val="18"/>
                <w:highlight w:val="none"/>
              </w:rPr>
              <w:t>24</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D778">
            <w:pPr>
              <w:widowControl/>
              <w:ind w:firstLine="0" w:firstLineChars="0"/>
              <w:jc w:val="center"/>
              <w:textAlignment w:val="center"/>
              <w:rPr>
                <w:rFonts w:hint="default" w:eastAsia="宋体"/>
                <w:color w:val="000000"/>
                <w:sz w:val="18"/>
                <w:szCs w:val="18"/>
                <w:highlight w:val="none"/>
                <w:lang w:val="en-US" w:eastAsia="zh-CN"/>
              </w:rPr>
            </w:pPr>
            <w:r>
              <w:rPr>
                <w:rFonts w:hint="eastAsia" w:eastAsia="宋体"/>
                <w:color w:val="000000"/>
                <w:kern w:val="0"/>
                <w:sz w:val="18"/>
                <w:szCs w:val="18"/>
                <w:highlight w:val="none"/>
                <w:lang w:val="en-US" w:eastAsia="zh-CN" w:bidi="ar"/>
              </w:rPr>
              <w:t>88.72</w:t>
            </w:r>
          </w:p>
        </w:tc>
      </w:tr>
      <w:tr w14:paraId="1E26A980">
        <w:tblPrEx>
          <w:tblCellMar>
            <w:top w:w="0" w:type="dxa"/>
            <w:left w:w="108" w:type="dxa"/>
            <w:bottom w:w="0" w:type="dxa"/>
            <w:right w:w="108" w:type="dxa"/>
          </w:tblCellMar>
        </w:tblPrEx>
        <w:trPr>
          <w:trHeight w:val="270" w:hRule="atLeast"/>
        </w:trPr>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23AE">
            <w:pPr>
              <w:widowControl/>
              <w:ind w:firstLine="0" w:firstLineChars="0"/>
              <w:jc w:val="center"/>
              <w:textAlignment w:val="center"/>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得分率</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D965">
            <w:pPr>
              <w:widowControl/>
              <w:ind w:firstLine="0" w:firstLineChars="0"/>
              <w:jc w:val="center"/>
              <w:textAlignment w:val="center"/>
              <w:rPr>
                <w:rFonts w:eastAsia="宋体"/>
                <w:color w:val="000000"/>
                <w:sz w:val="18"/>
                <w:szCs w:val="18"/>
                <w:highlight w:val="none"/>
              </w:rPr>
            </w:pPr>
            <w:r>
              <w:rPr>
                <w:rFonts w:hint="eastAsia" w:eastAsia="宋体"/>
                <w:color w:val="000000"/>
                <w:kern w:val="0"/>
                <w:sz w:val="18"/>
                <w:szCs w:val="18"/>
                <w:highlight w:val="none"/>
                <w:lang w:val="en-US" w:eastAsia="zh-CN" w:bidi="ar"/>
              </w:rPr>
              <w:t>100</w:t>
            </w:r>
            <w:r>
              <w:rPr>
                <w:rFonts w:eastAsia="宋体"/>
                <w:color w:val="000000"/>
                <w:kern w:val="0"/>
                <w:sz w:val="18"/>
                <w:szCs w:val="18"/>
                <w:highlight w:val="none"/>
                <w:lang w:bidi="ar"/>
              </w:rPr>
              <w:t>%</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FC64">
            <w:pPr>
              <w:widowControl/>
              <w:ind w:firstLine="0" w:firstLineChars="0"/>
              <w:jc w:val="center"/>
              <w:textAlignment w:val="center"/>
              <w:rPr>
                <w:rFonts w:hint="default" w:eastAsia="宋体"/>
                <w:color w:val="000000"/>
                <w:sz w:val="18"/>
                <w:szCs w:val="18"/>
                <w:highlight w:val="none"/>
                <w:lang w:val="en-US" w:eastAsia="zh-CN"/>
              </w:rPr>
            </w:pPr>
            <w:r>
              <w:rPr>
                <w:rFonts w:hint="eastAsia" w:eastAsia="宋体"/>
                <w:color w:val="000000"/>
                <w:kern w:val="0"/>
                <w:sz w:val="18"/>
                <w:szCs w:val="18"/>
                <w:highlight w:val="none"/>
                <w:lang w:val="en-US" w:eastAsia="zh-CN" w:bidi="ar"/>
              </w:rPr>
              <w:t>96.88</w:t>
            </w:r>
            <w:r>
              <w:rPr>
                <w:rFonts w:eastAsia="宋体"/>
                <w:color w:val="000000"/>
                <w:kern w:val="0"/>
                <w:sz w:val="18"/>
                <w:szCs w:val="18"/>
                <w:highlight w:val="none"/>
                <w:lang w:bidi="ar"/>
              </w:rPr>
              <w:t>%</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562F">
            <w:pPr>
              <w:widowControl/>
              <w:ind w:firstLine="0" w:firstLineChars="0"/>
              <w:jc w:val="center"/>
              <w:textAlignment w:val="center"/>
              <w:rPr>
                <w:rFonts w:eastAsia="宋体"/>
                <w:color w:val="000000"/>
                <w:sz w:val="18"/>
                <w:szCs w:val="18"/>
                <w:highlight w:val="none"/>
              </w:rPr>
            </w:pPr>
            <w:r>
              <w:rPr>
                <w:rFonts w:hint="eastAsia" w:eastAsia="宋体"/>
                <w:color w:val="000000"/>
                <w:kern w:val="0"/>
                <w:sz w:val="18"/>
                <w:szCs w:val="18"/>
                <w:highlight w:val="none"/>
                <w:lang w:val="en-US" w:eastAsia="zh-CN" w:bidi="ar"/>
              </w:rPr>
              <w:t>85</w:t>
            </w:r>
            <w:r>
              <w:rPr>
                <w:rFonts w:eastAsia="宋体"/>
                <w:color w:val="000000"/>
                <w:kern w:val="0"/>
                <w:sz w:val="18"/>
                <w:szCs w:val="18"/>
                <w:highlight w:val="none"/>
                <w:lang w:bidi="ar"/>
              </w:rPr>
              <w:t>%</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F1FD">
            <w:pPr>
              <w:widowControl/>
              <w:ind w:firstLine="0" w:firstLineChars="0"/>
              <w:jc w:val="center"/>
              <w:textAlignment w:val="center"/>
              <w:rPr>
                <w:rFonts w:eastAsia="宋体"/>
                <w:color w:val="000000"/>
                <w:sz w:val="18"/>
                <w:szCs w:val="18"/>
                <w:highlight w:val="none"/>
              </w:rPr>
            </w:pPr>
            <w:r>
              <w:rPr>
                <w:rFonts w:hint="eastAsia" w:eastAsia="宋体"/>
                <w:color w:val="000000"/>
                <w:kern w:val="0"/>
                <w:sz w:val="18"/>
                <w:szCs w:val="18"/>
                <w:highlight w:val="none"/>
                <w:lang w:bidi="ar"/>
              </w:rPr>
              <w:t>80</w:t>
            </w:r>
            <w:r>
              <w:rPr>
                <w:rFonts w:eastAsia="宋体"/>
                <w:color w:val="000000"/>
                <w:kern w:val="0"/>
                <w:sz w:val="18"/>
                <w:szCs w:val="18"/>
                <w:highlight w:val="none"/>
                <w:lang w:bidi="ar"/>
              </w:rPr>
              <w:t>%</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3122">
            <w:pPr>
              <w:widowControl/>
              <w:ind w:firstLine="0" w:firstLineChars="0"/>
              <w:jc w:val="center"/>
              <w:textAlignment w:val="center"/>
              <w:rPr>
                <w:rFonts w:eastAsia="宋体"/>
                <w:color w:val="000000"/>
                <w:sz w:val="18"/>
                <w:szCs w:val="18"/>
                <w:highlight w:val="none"/>
              </w:rPr>
            </w:pPr>
            <w:r>
              <w:rPr>
                <w:rFonts w:hint="eastAsia" w:eastAsia="宋体"/>
                <w:color w:val="000000"/>
                <w:kern w:val="0"/>
                <w:sz w:val="18"/>
                <w:szCs w:val="18"/>
                <w:highlight w:val="none"/>
                <w:lang w:val="en-US" w:eastAsia="zh-CN" w:bidi="ar"/>
              </w:rPr>
              <w:t>88.72</w:t>
            </w:r>
            <w:r>
              <w:rPr>
                <w:rFonts w:eastAsia="宋体"/>
                <w:color w:val="000000"/>
                <w:kern w:val="0"/>
                <w:sz w:val="18"/>
                <w:szCs w:val="18"/>
                <w:highlight w:val="none"/>
                <w:lang w:bidi="ar"/>
              </w:rPr>
              <w:t>%</w:t>
            </w:r>
          </w:p>
        </w:tc>
      </w:tr>
    </w:tbl>
    <w:p w14:paraId="4C4161E9">
      <w:pPr>
        <w:pStyle w:val="4"/>
        <w:ind w:firstLine="560"/>
      </w:pPr>
      <w:bookmarkStart w:id="147" w:name="_Toc3466"/>
      <w:bookmarkStart w:id="148" w:name="_Toc19396"/>
      <w:bookmarkStart w:id="149" w:name="_Toc1431"/>
      <w:bookmarkStart w:id="150" w:name="_Toc4075"/>
      <w:bookmarkStart w:id="151" w:name="_Toc30921"/>
      <w:r>
        <w:t>（二）绩效目标实现情况</w:t>
      </w:r>
      <w:bookmarkEnd w:id="147"/>
      <w:bookmarkEnd w:id="148"/>
      <w:bookmarkEnd w:id="149"/>
      <w:bookmarkEnd w:id="150"/>
      <w:bookmarkEnd w:id="151"/>
    </w:p>
    <w:p w14:paraId="03561801">
      <w:pPr>
        <w:bidi w:val="0"/>
      </w:pPr>
      <w:r>
        <w:rPr>
          <w:rFonts w:hint="eastAsia"/>
        </w:rPr>
        <w:t>202</w:t>
      </w:r>
      <w:r>
        <w:rPr>
          <w:rFonts w:hint="eastAsia"/>
          <w:lang w:val="en-US" w:eastAsia="zh-CN"/>
        </w:rPr>
        <w:t>4</w:t>
      </w:r>
      <w:r>
        <w:rPr>
          <w:rFonts w:hint="eastAsia"/>
        </w:rPr>
        <w:t>年安宁市民政局</w:t>
      </w:r>
      <w:r>
        <w:rPr>
          <w:rFonts w:hint="eastAsia"/>
          <w:lang w:val="en-US" w:eastAsia="zh-CN"/>
        </w:rPr>
        <w:t>根据补助标准，按评估结果下拨2023年7至12月、2024年1至3月</w:t>
      </w:r>
      <w:r>
        <w:rPr>
          <w:rFonts w:hint="eastAsia"/>
        </w:rPr>
        <w:t>老年人用餐服务补助</w:t>
      </w:r>
      <w:r>
        <w:rPr>
          <w:rFonts w:hint="eastAsia"/>
          <w:lang w:eastAsia="zh-CN"/>
        </w:rPr>
        <w:t>，</w:t>
      </w:r>
      <w:r>
        <w:rPr>
          <w:rFonts w:hint="eastAsia"/>
          <w:lang w:val="en-US" w:eastAsia="zh-CN"/>
        </w:rPr>
        <w:t>核拨2024年4至6月</w:t>
      </w:r>
      <w:r>
        <w:rPr>
          <w:rFonts w:hint="eastAsia"/>
        </w:rPr>
        <w:t>老年人用餐服务补助</w:t>
      </w:r>
      <w:r>
        <w:rPr>
          <w:rFonts w:hint="eastAsia"/>
          <w:lang w:eastAsia="zh-CN"/>
        </w:rPr>
        <w:t>，</w:t>
      </w:r>
      <w:r>
        <w:rPr>
          <w:rFonts w:hint="eastAsia"/>
          <w:lang w:val="en-US" w:eastAsia="zh-CN"/>
        </w:rPr>
        <w:t>预拨2024年7至12月</w:t>
      </w:r>
      <w:r>
        <w:rPr>
          <w:rFonts w:hint="eastAsia"/>
        </w:rPr>
        <w:t>老年人用餐服务补助</w:t>
      </w:r>
      <w:r>
        <w:rPr>
          <w:rFonts w:hint="eastAsia"/>
          <w:lang w:val="en-US" w:eastAsia="zh-CN"/>
        </w:rPr>
        <w:t>，核拨2023年及2024年1至9月</w:t>
      </w:r>
      <w:r>
        <w:rPr>
          <w:rFonts w:hint="eastAsia"/>
        </w:rPr>
        <w:t>工作人员补助，</w:t>
      </w:r>
      <w:r>
        <w:rPr>
          <w:rFonts w:hint="eastAsia"/>
          <w:lang w:val="en-US" w:eastAsia="zh-CN"/>
        </w:rPr>
        <w:t>各街道根据安宁市民政局下拨文件转拨2024年补助资金，</w:t>
      </w:r>
      <w:r>
        <w:rPr>
          <w:rFonts w:hint="eastAsia"/>
        </w:rPr>
        <w:t>按照年初计划完成工作任务。</w:t>
      </w:r>
    </w:p>
    <w:p w14:paraId="18E38CD2">
      <w:pPr>
        <w:bidi w:val="0"/>
        <w:rPr>
          <w:highlight w:val="none"/>
        </w:rPr>
      </w:pPr>
      <w:r>
        <w:rPr>
          <w:rFonts w:hint="eastAsia"/>
          <w:highlight w:val="none"/>
        </w:rPr>
        <w:t>在项目决策方面，</w:t>
      </w:r>
      <w:r>
        <w:rPr>
          <w:rFonts w:hint="eastAsia"/>
          <w:highlight w:val="none"/>
          <w:lang w:val="en-US" w:eastAsia="zh-CN"/>
        </w:rPr>
        <w:t>2</w:t>
      </w:r>
      <w:r>
        <w:rPr>
          <w:rFonts w:hint="eastAsia"/>
          <w:highlight w:val="none"/>
        </w:rPr>
        <w:t>024年度养老服务设施建设及运营、管理服务补助经费（老年食堂）项目立项符合政府政策要求；项目绩效目标与实际工作内容相关，绩效指标明确、清晰</w:t>
      </w:r>
      <w:r>
        <w:rPr>
          <w:rFonts w:hint="eastAsia"/>
          <w:highlight w:val="none"/>
          <w:lang w:eastAsia="zh-CN"/>
        </w:rPr>
        <w:t>，</w:t>
      </w:r>
      <w:r>
        <w:rPr>
          <w:rFonts w:hint="eastAsia"/>
          <w:highlight w:val="none"/>
          <w:lang w:val="en-US" w:eastAsia="zh-CN"/>
        </w:rPr>
        <w:t>资金分配合理</w:t>
      </w:r>
      <w:r>
        <w:rPr>
          <w:rFonts w:hint="eastAsia"/>
          <w:highlight w:val="none"/>
        </w:rPr>
        <w:t>。</w:t>
      </w:r>
    </w:p>
    <w:p w14:paraId="6C9E1F71">
      <w:pPr>
        <w:bidi w:val="0"/>
        <w:rPr>
          <w:highlight w:val="none"/>
        </w:rPr>
      </w:pPr>
      <w:r>
        <w:rPr>
          <w:rFonts w:hint="eastAsia"/>
          <w:highlight w:val="none"/>
        </w:rPr>
        <w:t>在项目过程方面，项目资金到位及时，资金使用规范，</w:t>
      </w:r>
      <w:r>
        <w:rPr>
          <w:rFonts w:hint="eastAsia"/>
          <w:highlight w:val="none"/>
          <w:lang w:val="en-US" w:eastAsia="zh-CN"/>
        </w:rPr>
        <w:t>会计核算规范，</w:t>
      </w:r>
      <w:r>
        <w:rPr>
          <w:rFonts w:hint="eastAsia"/>
          <w:highlight w:val="none"/>
        </w:rPr>
        <w:t>管理制度健全，按安宁市财政局要求的自评工作程序开展自评工作。</w:t>
      </w:r>
    </w:p>
    <w:p w14:paraId="09291303">
      <w:pPr>
        <w:bidi w:val="0"/>
        <w:rPr>
          <w:rFonts w:hint="default" w:eastAsia="仿宋_GB2312"/>
          <w:highlight w:val="none"/>
          <w:lang w:val="en-US" w:eastAsia="zh-CN"/>
        </w:rPr>
      </w:pPr>
      <w:r>
        <w:rPr>
          <w:rFonts w:hint="eastAsia"/>
          <w:highlight w:val="none"/>
        </w:rPr>
        <w:t>在项目产出方面，安宁市民政局下发老年食堂老年人用餐服务补助、工作人员补助</w:t>
      </w:r>
      <w:r>
        <w:rPr>
          <w:rFonts w:hint="eastAsia"/>
          <w:highlight w:val="none"/>
          <w:lang w:eastAsia="zh-CN"/>
        </w:rPr>
        <w:t>，</w:t>
      </w:r>
      <w:r>
        <w:rPr>
          <w:rFonts w:hint="eastAsia"/>
          <w:highlight w:val="none"/>
          <w:lang w:val="en-US" w:eastAsia="zh-CN"/>
        </w:rPr>
        <w:t>补助资金发放及时、准确，但存在部分老年食堂停止营业的情况。</w:t>
      </w:r>
    </w:p>
    <w:p w14:paraId="07CB0F5E">
      <w:pPr>
        <w:bidi w:val="0"/>
        <w:rPr>
          <w:rFonts w:hint="eastAsia"/>
          <w:highlight w:val="yellow"/>
        </w:rPr>
      </w:pPr>
      <w:r>
        <w:rPr>
          <w:rFonts w:hint="eastAsia"/>
          <w:highlight w:val="none"/>
        </w:rPr>
        <w:t>在项目效益方面，2024年</w:t>
      </w:r>
      <w:r>
        <w:rPr>
          <w:rFonts w:hint="eastAsia"/>
          <w:highlight w:val="none"/>
          <w:lang w:val="en-US" w:eastAsia="zh-CN"/>
        </w:rPr>
        <w:t>安宁市老年食堂</w:t>
      </w:r>
      <w:r>
        <w:rPr>
          <w:rFonts w:hint="eastAsia"/>
          <w:highlight w:val="none"/>
        </w:rPr>
        <w:t>正常运营47家，</w:t>
      </w:r>
      <w:r>
        <w:rPr>
          <w:rFonts w:hint="eastAsia"/>
          <w:highlight w:val="none"/>
          <w:lang w:val="en-US" w:eastAsia="zh-CN"/>
        </w:rPr>
        <w:t>为老年人提供送餐服务</w:t>
      </w:r>
      <w:r>
        <w:rPr>
          <w:rFonts w:hint="eastAsia"/>
          <w:highlight w:val="none"/>
        </w:rPr>
        <w:t>，不断满足多层次、多元化养老服务需求，提高老年人的幸福感、获得感，促进社会和谐稳定。但</w:t>
      </w:r>
      <w:r>
        <w:rPr>
          <w:rFonts w:hint="eastAsia"/>
          <w:highlight w:val="none"/>
          <w:lang w:val="en-US" w:eastAsia="zh-CN"/>
        </w:rPr>
        <w:t>存在部分老年食堂停止营业的情况。</w:t>
      </w:r>
    </w:p>
    <w:p w14:paraId="1419423F">
      <w:pPr>
        <w:pStyle w:val="3"/>
        <w:ind w:firstLine="562"/>
        <w:rPr>
          <w:rFonts w:ascii="Times New Roman" w:hAnsi="Times New Roman" w:cs="Times New Roman"/>
          <w:b/>
          <w:bCs w:val="0"/>
        </w:rPr>
      </w:pPr>
      <w:bookmarkStart w:id="152" w:name="_Toc18729"/>
      <w:bookmarkStart w:id="153" w:name="_Toc20881"/>
      <w:bookmarkStart w:id="154" w:name="_Toc15080"/>
      <w:bookmarkStart w:id="155" w:name="_Toc2218"/>
      <w:bookmarkStart w:id="156" w:name="_Toc18267"/>
      <w:bookmarkStart w:id="157" w:name="_Toc27625"/>
      <w:r>
        <w:rPr>
          <w:rFonts w:ascii="Times New Roman" w:hAnsi="Times New Roman" w:cs="Times New Roman"/>
          <w:b/>
          <w:bCs w:val="0"/>
        </w:rPr>
        <w:t>四、绩效评价指标分析</w:t>
      </w:r>
      <w:bookmarkEnd w:id="152"/>
      <w:bookmarkEnd w:id="153"/>
      <w:bookmarkEnd w:id="154"/>
      <w:bookmarkEnd w:id="155"/>
      <w:bookmarkEnd w:id="156"/>
      <w:bookmarkEnd w:id="157"/>
    </w:p>
    <w:p w14:paraId="280F2E19">
      <w:pPr>
        <w:pStyle w:val="4"/>
        <w:ind w:firstLine="560"/>
      </w:pPr>
      <w:bookmarkStart w:id="158" w:name="_Toc9464"/>
      <w:bookmarkStart w:id="159" w:name="_Toc11397"/>
      <w:bookmarkStart w:id="160" w:name="_Toc25454"/>
      <w:r>
        <w:t>A1．项目决策情况分析</w:t>
      </w:r>
      <w:bookmarkEnd w:id="158"/>
      <w:bookmarkEnd w:id="159"/>
      <w:bookmarkEnd w:id="160"/>
    </w:p>
    <w:p w14:paraId="69684C4C">
      <w:pPr>
        <w:ind w:firstLine="560"/>
        <w:rPr>
          <w:color w:val="333333"/>
          <w:szCs w:val="32"/>
          <w:highlight w:val="yellow"/>
          <w:shd w:val="clear" w:color="auto" w:fill="FFFFFF"/>
        </w:rPr>
      </w:pPr>
      <w:r>
        <w:rPr>
          <w:color w:val="333333"/>
          <w:szCs w:val="32"/>
          <w:shd w:val="clear" w:color="auto" w:fill="FFFFFF"/>
        </w:rPr>
        <w:t>项目决策类指标由3个二级指标，6个三级指标构成，指标分值15分，实际得分为</w:t>
      </w:r>
      <w:r>
        <w:rPr>
          <w:rFonts w:hint="eastAsia"/>
          <w:color w:val="333333"/>
          <w:szCs w:val="32"/>
          <w:shd w:val="clear" w:color="auto" w:fill="FFFFFF"/>
        </w:rPr>
        <w:t>1</w:t>
      </w:r>
      <w:r>
        <w:rPr>
          <w:rFonts w:hint="eastAsia"/>
          <w:color w:val="333333"/>
          <w:szCs w:val="32"/>
          <w:shd w:val="clear" w:color="auto" w:fill="FFFFFF"/>
          <w:lang w:val="en-US" w:eastAsia="zh-CN"/>
        </w:rPr>
        <w:t>5</w:t>
      </w:r>
      <w:r>
        <w:rPr>
          <w:color w:val="333333"/>
          <w:szCs w:val="32"/>
          <w:shd w:val="clear" w:color="auto" w:fill="FFFFFF"/>
        </w:rPr>
        <w:t>分。其中满分三级指标</w:t>
      </w:r>
      <w:r>
        <w:rPr>
          <w:rFonts w:hint="eastAsia"/>
          <w:color w:val="333333"/>
          <w:szCs w:val="32"/>
          <w:shd w:val="clear" w:color="auto" w:fill="FFFFFF"/>
          <w:lang w:val="en-US" w:eastAsia="zh-CN"/>
        </w:rPr>
        <w:t>6</w:t>
      </w:r>
      <w:r>
        <w:rPr>
          <w:color w:val="333333"/>
          <w:szCs w:val="32"/>
          <w:shd w:val="clear" w:color="auto" w:fill="FFFFFF"/>
        </w:rPr>
        <w:t>个，扣分三级指标</w:t>
      </w:r>
      <w:r>
        <w:rPr>
          <w:rFonts w:hint="eastAsia"/>
          <w:color w:val="333333"/>
          <w:szCs w:val="32"/>
          <w:shd w:val="clear" w:color="auto" w:fill="FFFFFF"/>
          <w:lang w:val="en-US" w:eastAsia="zh-CN"/>
        </w:rPr>
        <w:t>0</w:t>
      </w:r>
      <w:r>
        <w:rPr>
          <w:color w:val="333333"/>
          <w:szCs w:val="32"/>
          <w:shd w:val="clear" w:color="auto" w:fill="FFFFFF"/>
        </w:rPr>
        <w:t>个。各指标得分情况明细如下：</w:t>
      </w:r>
    </w:p>
    <w:tbl>
      <w:tblPr>
        <w:tblStyle w:val="17"/>
        <w:tblW w:w="5000" w:type="pct"/>
        <w:tblInd w:w="0" w:type="dxa"/>
        <w:tblLayout w:type="autofit"/>
        <w:tblCellMar>
          <w:top w:w="0" w:type="dxa"/>
          <w:left w:w="108" w:type="dxa"/>
          <w:bottom w:w="0" w:type="dxa"/>
          <w:right w:w="108" w:type="dxa"/>
        </w:tblCellMar>
      </w:tblPr>
      <w:tblGrid>
        <w:gridCol w:w="1028"/>
        <w:gridCol w:w="1344"/>
        <w:gridCol w:w="2211"/>
        <w:gridCol w:w="1097"/>
        <w:gridCol w:w="1421"/>
        <w:gridCol w:w="1421"/>
      </w:tblGrid>
      <w:tr w14:paraId="2EB4D675">
        <w:tblPrEx>
          <w:tblCellMar>
            <w:top w:w="0" w:type="dxa"/>
            <w:left w:w="108" w:type="dxa"/>
            <w:bottom w:w="0" w:type="dxa"/>
            <w:right w:w="108" w:type="dxa"/>
          </w:tblCellMar>
        </w:tblPrEx>
        <w:trPr>
          <w:trHeight w:val="377" w:hRule="atLeast"/>
          <w:tblHeader/>
        </w:trPr>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E9EE">
            <w:pPr>
              <w:spacing w:line="240" w:lineRule="auto"/>
              <w:ind w:firstLine="0" w:firstLineChars="0"/>
              <w:jc w:val="center"/>
              <w:rPr>
                <w:rFonts w:eastAsia="宋体"/>
                <w:b/>
                <w:bCs/>
                <w:sz w:val="18"/>
                <w:szCs w:val="18"/>
              </w:rPr>
            </w:pPr>
            <w:r>
              <w:rPr>
                <w:rFonts w:eastAsia="宋体"/>
                <w:b/>
                <w:bCs/>
                <w:sz w:val="18"/>
                <w:szCs w:val="18"/>
              </w:rPr>
              <w:t>一级指标</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4600">
            <w:pPr>
              <w:spacing w:line="240" w:lineRule="auto"/>
              <w:ind w:firstLine="0" w:firstLineChars="0"/>
              <w:jc w:val="center"/>
              <w:rPr>
                <w:rFonts w:eastAsia="宋体"/>
                <w:b/>
                <w:bCs/>
                <w:sz w:val="18"/>
                <w:szCs w:val="18"/>
              </w:rPr>
            </w:pPr>
            <w:r>
              <w:rPr>
                <w:rFonts w:eastAsia="宋体"/>
                <w:b/>
                <w:bCs/>
                <w:sz w:val="18"/>
                <w:szCs w:val="18"/>
              </w:rPr>
              <w:t>二级指标</w:t>
            </w:r>
          </w:p>
        </w:tc>
        <w:tc>
          <w:tcPr>
            <w:tcW w:w="1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2F1E">
            <w:pPr>
              <w:spacing w:line="240" w:lineRule="auto"/>
              <w:ind w:firstLine="0" w:firstLineChars="0"/>
              <w:jc w:val="center"/>
              <w:rPr>
                <w:rFonts w:eastAsia="宋体"/>
                <w:b/>
                <w:bCs/>
                <w:sz w:val="18"/>
                <w:szCs w:val="18"/>
              </w:rPr>
            </w:pPr>
            <w:r>
              <w:rPr>
                <w:rFonts w:eastAsia="宋体"/>
                <w:b/>
                <w:bCs/>
                <w:sz w:val="18"/>
                <w:szCs w:val="18"/>
              </w:rPr>
              <w:t>三级指标</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3F75">
            <w:pPr>
              <w:spacing w:line="240" w:lineRule="auto"/>
              <w:ind w:firstLine="0" w:firstLineChars="0"/>
              <w:jc w:val="center"/>
              <w:rPr>
                <w:rFonts w:eastAsia="宋体"/>
                <w:b/>
                <w:bCs/>
                <w:sz w:val="18"/>
                <w:szCs w:val="18"/>
              </w:rPr>
            </w:pPr>
            <w:r>
              <w:rPr>
                <w:rFonts w:eastAsia="宋体"/>
                <w:b/>
                <w:bCs/>
                <w:sz w:val="18"/>
                <w:szCs w:val="18"/>
              </w:rPr>
              <w:t>指标分值</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2FC4">
            <w:pPr>
              <w:spacing w:line="240" w:lineRule="auto"/>
              <w:ind w:firstLine="0" w:firstLineChars="0"/>
              <w:jc w:val="center"/>
              <w:rPr>
                <w:rFonts w:eastAsia="宋体"/>
                <w:b/>
                <w:bCs/>
                <w:sz w:val="18"/>
                <w:szCs w:val="18"/>
              </w:rPr>
            </w:pPr>
            <w:r>
              <w:rPr>
                <w:rFonts w:eastAsia="宋体"/>
                <w:b/>
                <w:bCs/>
                <w:sz w:val="18"/>
                <w:szCs w:val="18"/>
              </w:rPr>
              <w:t>实现情况</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37E2">
            <w:pPr>
              <w:spacing w:line="240" w:lineRule="auto"/>
              <w:ind w:firstLine="0" w:firstLineChars="0"/>
              <w:jc w:val="center"/>
              <w:rPr>
                <w:rFonts w:eastAsia="宋体"/>
                <w:b/>
                <w:bCs/>
                <w:sz w:val="18"/>
                <w:szCs w:val="18"/>
              </w:rPr>
            </w:pPr>
            <w:r>
              <w:rPr>
                <w:rFonts w:eastAsia="宋体"/>
                <w:b/>
                <w:bCs/>
                <w:sz w:val="18"/>
                <w:szCs w:val="18"/>
              </w:rPr>
              <w:t>实际得分</w:t>
            </w:r>
          </w:p>
        </w:tc>
      </w:tr>
      <w:tr w14:paraId="799627E1">
        <w:tblPrEx>
          <w:tblCellMar>
            <w:top w:w="0" w:type="dxa"/>
            <w:left w:w="108" w:type="dxa"/>
            <w:bottom w:w="0" w:type="dxa"/>
            <w:right w:w="108" w:type="dxa"/>
          </w:tblCellMar>
        </w:tblPrEx>
        <w:trPr>
          <w:trHeight w:val="461" w:hRule="atLeast"/>
        </w:trPr>
        <w:tc>
          <w:tcPr>
            <w:tcW w:w="6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41BFF">
            <w:pPr>
              <w:spacing w:line="240" w:lineRule="auto"/>
              <w:ind w:firstLine="0" w:firstLineChars="0"/>
              <w:jc w:val="center"/>
              <w:rPr>
                <w:rFonts w:eastAsia="宋体"/>
                <w:sz w:val="18"/>
                <w:szCs w:val="18"/>
              </w:rPr>
            </w:pPr>
            <w:r>
              <w:rPr>
                <w:rFonts w:eastAsia="宋体"/>
                <w:sz w:val="18"/>
                <w:szCs w:val="18"/>
              </w:rPr>
              <w:t>A1决策</w:t>
            </w:r>
            <w:r>
              <w:rPr>
                <w:rFonts w:eastAsia="宋体"/>
                <w:sz w:val="18"/>
                <w:szCs w:val="18"/>
              </w:rPr>
              <w:br w:type="textWrapping"/>
            </w:r>
            <w:r>
              <w:rPr>
                <w:rFonts w:hint="eastAsia" w:eastAsia="宋体"/>
                <w:sz w:val="18"/>
                <w:szCs w:val="18"/>
              </w:rPr>
              <w:t>（</w:t>
            </w:r>
            <w:r>
              <w:rPr>
                <w:rFonts w:eastAsia="宋体"/>
                <w:sz w:val="18"/>
                <w:szCs w:val="18"/>
              </w:rPr>
              <w:t>15分</w:t>
            </w:r>
            <w:r>
              <w:rPr>
                <w:rFonts w:hint="eastAsia" w:eastAsia="宋体"/>
                <w:sz w:val="18"/>
                <w:szCs w:val="18"/>
              </w:rPr>
              <w:t>）</w:t>
            </w:r>
          </w:p>
        </w:tc>
        <w:tc>
          <w:tcPr>
            <w:tcW w:w="7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2E924">
            <w:pPr>
              <w:spacing w:line="240" w:lineRule="auto"/>
              <w:ind w:firstLine="0" w:firstLineChars="0"/>
              <w:jc w:val="center"/>
              <w:rPr>
                <w:rFonts w:eastAsia="宋体"/>
                <w:sz w:val="18"/>
                <w:szCs w:val="18"/>
              </w:rPr>
            </w:pPr>
            <w:r>
              <w:rPr>
                <w:rFonts w:eastAsia="宋体"/>
                <w:sz w:val="18"/>
                <w:szCs w:val="18"/>
              </w:rPr>
              <w:t>A11项目立项</w:t>
            </w:r>
            <w:r>
              <w:rPr>
                <w:rFonts w:eastAsia="宋体"/>
                <w:sz w:val="18"/>
                <w:szCs w:val="18"/>
              </w:rPr>
              <w:br w:type="textWrapping"/>
            </w:r>
            <w:r>
              <w:rPr>
                <w:rFonts w:hint="eastAsia" w:eastAsia="宋体"/>
                <w:sz w:val="18"/>
                <w:szCs w:val="18"/>
              </w:rPr>
              <w:t>（</w:t>
            </w:r>
            <w:r>
              <w:rPr>
                <w:rFonts w:eastAsia="宋体"/>
                <w:sz w:val="18"/>
                <w:szCs w:val="18"/>
              </w:rPr>
              <w:t>5分</w:t>
            </w:r>
            <w:r>
              <w:rPr>
                <w:rFonts w:hint="eastAsia" w:eastAsia="宋体"/>
                <w:sz w:val="18"/>
                <w:szCs w:val="18"/>
              </w:rPr>
              <w:t>）</w:t>
            </w:r>
          </w:p>
        </w:tc>
        <w:tc>
          <w:tcPr>
            <w:tcW w:w="1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6EC4F">
            <w:pPr>
              <w:spacing w:line="240" w:lineRule="auto"/>
              <w:ind w:firstLine="0" w:firstLineChars="0"/>
              <w:rPr>
                <w:rFonts w:eastAsia="宋体"/>
                <w:sz w:val="18"/>
                <w:szCs w:val="18"/>
              </w:rPr>
            </w:pPr>
            <w:r>
              <w:rPr>
                <w:rFonts w:eastAsia="宋体"/>
                <w:sz w:val="18"/>
                <w:szCs w:val="18"/>
              </w:rPr>
              <w:t>A111立项依据充分性</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718F">
            <w:pPr>
              <w:spacing w:line="240" w:lineRule="auto"/>
              <w:ind w:firstLine="0" w:firstLineChars="0"/>
              <w:jc w:val="center"/>
              <w:rPr>
                <w:rFonts w:eastAsia="宋体"/>
                <w:sz w:val="18"/>
                <w:szCs w:val="18"/>
              </w:rPr>
            </w:pPr>
            <w:r>
              <w:rPr>
                <w:rFonts w:hint="eastAsia" w:eastAsia="宋体"/>
                <w:sz w:val="18"/>
                <w:szCs w:val="18"/>
              </w:rPr>
              <w:t>2</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55324">
            <w:pPr>
              <w:spacing w:line="240" w:lineRule="auto"/>
              <w:ind w:firstLine="0" w:firstLineChars="0"/>
              <w:jc w:val="center"/>
              <w:rPr>
                <w:rFonts w:eastAsia="宋体"/>
                <w:sz w:val="18"/>
                <w:szCs w:val="18"/>
              </w:rPr>
            </w:pPr>
            <w:r>
              <w:rPr>
                <w:rFonts w:eastAsia="宋体"/>
                <w:sz w:val="18"/>
                <w:szCs w:val="18"/>
              </w:rPr>
              <w:t>依据充分</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35DE6">
            <w:pPr>
              <w:spacing w:line="240" w:lineRule="auto"/>
              <w:ind w:firstLine="0" w:firstLineChars="0"/>
              <w:jc w:val="center"/>
              <w:rPr>
                <w:rFonts w:eastAsia="宋体"/>
                <w:sz w:val="18"/>
                <w:szCs w:val="18"/>
              </w:rPr>
            </w:pPr>
            <w:r>
              <w:rPr>
                <w:rFonts w:hint="eastAsia" w:eastAsia="宋体"/>
                <w:sz w:val="18"/>
                <w:szCs w:val="18"/>
              </w:rPr>
              <w:t>2</w:t>
            </w:r>
          </w:p>
        </w:tc>
      </w:tr>
      <w:tr w14:paraId="5CB79EA9">
        <w:tblPrEx>
          <w:tblCellMar>
            <w:top w:w="0" w:type="dxa"/>
            <w:left w:w="108" w:type="dxa"/>
            <w:bottom w:w="0" w:type="dxa"/>
            <w:right w:w="108" w:type="dxa"/>
          </w:tblCellMar>
        </w:tblPrEx>
        <w:trPr>
          <w:trHeight w:val="510" w:hRule="atLeast"/>
        </w:trPr>
        <w:tc>
          <w:tcPr>
            <w:tcW w:w="6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4CF16">
            <w:pPr>
              <w:spacing w:line="240" w:lineRule="auto"/>
              <w:ind w:firstLine="0" w:firstLineChars="0"/>
              <w:rPr>
                <w:rFonts w:eastAsia="宋体"/>
                <w:sz w:val="18"/>
                <w:szCs w:val="18"/>
              </w:rPr>
            </w:pPr>
          </w:p>
        </w:tc>
        <w:tc>
          <w:tcPr>
            <w:tcW w:w="7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94BA5">
            <w:pPr>
              <w:spacing w:line="240" w:lineRule="auto"/>
              <w:ind w:firstLine="0" w:firstLineChars="0"/>
              <w:jc w:val="center"/>
              <w:rPr>
                <w:rFonts w:eastAsia="宋体"/>
                <w:sz w:val="18"/>
                <w:szCs w:val="18"/>
              </w:rPr>
            </w:pPr>
          </w:p>
        </w:tc>
        <w:tc>
          <w:tcPr>
            <w:tcW w:w="1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CBD0">
            <w:pPr>
              <w:spacing w:line="240" w:lineRule="auto"/>
              <w:ind w:firstLine="0" w:firstLineChars="0"/>
              <w:rPr>
                <w:rFonts w:eastAsia="宋体"/>
                <w:sz w:val="18"/>
                <w:szCs w:val="18"/>
              </w:rPr>
            </w:pPr>
            <w:r>
              <w:rPr>
                <w:rFonts w:eastAsia="宋体"/>
                <w:sz w:val="18"/>
                <w:szCs w:val="18"/>
              </w:rPr>
              <w:t>A112立项程序规范性</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C05B">
            <w:pPr>
              <w:spacing w:line="240" w:lineRule="auto"/>
              <w:ind w:firstLine="0" w:firstLineChars="0"/>
              <w:jc w:val="center"/>
              <w:rPr>
                <w:rFonts w:eastAsia="宋体"/>
                <w:sz w:val="18"/>
                <w:szCs w:val="18"/>
              </w:rPr>
            </w:pPr>
            <w:r>
              <w:rPr>
                <w:rFonts w:hint="eastAsia" w:eastAsia="宋体"/>
                <w:sz w:val="18"/>
                <w:szCs w:val="18"/>
              </w:rPr>
              <w:t>3</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3C13">
            <w:pPr>
              <w:spacing w:line="240" w:lineRule="auto"/>
              <w:ind w:firstLine="0" w:firstLineChars="0"/>
              <w:jc w:val="center"/>
              <w:rPr>
                <w:rFonts w:eastAsia="宋体"/>
                <w:sz w:val="18"/>
                <w:szCs w:val="18"/>
              </w:rPr>
            </w:pPr>
            <w:r>
              <w:rPr>
                <w:rFonts w:eastAsia="宋体"/>
                <w:sz w:val="18"/>
                <w:szCs w:val="18"/>
              </w:rPr>
              <w:t>程序规范</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F76A6">
            <w:pPr>
              <w:spacing w:line="240" w:lineRule="auto"/>
              <w:ind w:firstLine="0" w:firstLineChars="0"/>
              <w:jc w:val="center"/>
              <w:rPr>
                <w:rFonts w:eastAsia="宋体"/>
                <w:sz w:val="18"/>
                <w:szCs w:val="18"/>
              </w:rPr>
            </w:pPr>
            <w:r>
              <w:rPr>
                <w:rFonts w:hint="eastAsia" w:eastAsia="宋体"/>
                <w:sz w:val="18"/>
                <w:szCs w:val="18"/>
              </w:rPr>
              <w:t>3</w:t>
            </w:r>
          </w:p>
        </w:tc>
      </w:tr>
      <w:tr w14:paraId="1EC6E624">
        <w:tblPrEx>
          <w:tblCellMar>
            <w:top w:w="0" w:type="dxa"/>
            <w:left w:w="108" w:type="dxa"/>
            <w:bottom w:w="0" w:type="dxa"/>
            <w:right w:w="108" w:type="dxa"/>
          </w:tblCellMar>
        </w:tblPrEx>
        <w:trPr>
          <w:trHeight w:val="512" w:hRule="atLeast"/>
        </w:trPr>
        <w:tc>
          <w:tcPr>
            <w:tcW w:w="6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EA9DE">
            <w:pPr>
              <w:spacing w:line="240" w:lineRule="auto"/>
              <w:ind w:firstLine="0" w:firstLineChars="0"/>
              <w:rPr>
                <w:rFonts w:eastAsia="宋体"/>
                <w:sz w:val="18"/>
                <w:szCs w:val="18"/>
              </w:rPr>
            </w:pPr>
          </w:p>
        </w:tc>
        <w:tc>
          <w:tcPr>
            <w:tcW w:w="7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74F69">
            <w:pPr>
              <w:spacing w:line="240" w:lineRule="auto"/>
              <w:ind w:firstLine="0" w:firstLineChars="0"/>
              <w:jc w:val="center"/>
              <w:rPr>
                <w:rFonts w:eastAsia="宋体"/>
                <w:sz w:val="18"/>
                <w:szCs w:val="18"/>
              </w:rPr>
            </w:pPr>
            <w:r>
              <w:rPr>
                <w:rFonts w:eastAsia="宋体"/>
                <w:sz w:val="18"/>
                <w:szCs w:val="18"/>
              </w:rPr>
              <w:t>A12绩效目标（4分）</w:t>
            </w:r>
          </w:p>
        </w:tc>
        <w:tc>
          <w:tcPr>
            <w:tcW w:w="1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5DF6">
            <w:pPr>
              <w:spacing w:line="240" w:lineRule="auto"/>
              <w:ind w:firstLine="0" w:firstLineChars="0"/>
              <w:rPr>
                <w:rFonts w:eastAsia="宋体"/>
                <w:sz w:val="18"/>
                <w:szCs w:val="18"/>
              </w:rPr>
            </w:pPr>
            <w:r>
              <w:rPr>
                <w:rFonts w:eastAsia="宋体"/>
                <w:sz w:val="18"/>
                <w:szCs w:val="18"/>
              </w:rPr>
              <w:t>A121绩效目标合理性</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9903">
            <w:pPr>
              <w:spacing w:line="240" w:lineRule="auto"/>
              <w:ind w:firstLine="0" w:firstLineChars="0"/>
              <w:jc w:val="center"/>
              <w:rPr>
                <w:rFonts w:eastAsia="宋体"/>
                <w:sz w:val="18"/>
                <w:szCs w:val="18"/>
              </w:rPr>
            </w:pPr>
            <w:r>
              <w:rPr>
                <w:rFonts w:eastAsia="宋体"/>
                <w:sz w:val="18"/>
                <w:szCs w:val="18"/>
              </w:rPr>
              <w:t>2</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B81E">
            <w:pPr>
              <w:spacing w:line="240" w:lineRule="auto"/>
              <w:ind w:firstLine="0" w:firstLineChars="0"/>
              <w:jc w:val="center"/>
              <w:rPr>
                <w:rFonts w:eastAsia="宋体"/>
                <w:sz w:val="18"/>
                <w:szCs w:val="18"/>
              </w:rPr>
            </w:pPr>
            <w:r>
              <w:rPr>
                <w:rFonts w:eastAsia="宋体"/>
                <w:sz w:val="18"/>
                <w:szCs w:val="18"/>
              </w:rPr>
              <w:t>目标合理</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414C">
            <w:pPr>
              <w:spacing w:line="240" w:lineRule="auto"/>
              <w:ind w:firstLine="0" w:firstLineChars="0"/>
              <w:jc w:val="center"/>
              <w:rPr>
                <w:rFonts w:eastAsia="宋体"/>
                <w:sz w:val="18"/>
                <w:szCs w:val="18"/>
              </w:rPr>
            </w:pPr>
            <w:r>
              <w:rPr>
                <w:rFonts w:hint="eastAsia" w:eastAsia="宋体"/>
                <w:sz w:val="18"/>
                <w:szCs w:val="18"/>
              </w:rPr>
              <w:t>2</w:t>
            </w:r>
          </w:p>
        </w:tc>
      </w:tr>
      <w:tr w14:paraId="1FB6F5D9">
        <w:tblPrEx>
          <w:tblCellMar>
            <w:top w:w="0" w:type="dxa"/>
            <w:left w:w="108" w:type="dxa"/>
            <w:bottom w:w="0" w:type="dxa"/>
            <w:right w:w="108" w:type="dxa"/>
          </w:tblCellMar>
        </w:tblPrEx>
        <w:trPr>
          <w:trHeight w:val="510" w:hRule="atLeast"/>
        </w:trPr>
        <w:tc>
          <w:tcPr>
            <w:tcW w:w="6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7AB46">
            <w:pPr>
              <w:spacing w:line="240" w:lineRule="auto"/>
              <w:ind w:firstLine="0" w:firstLineChars="0"/>
              <w:rPr>
                <w:rFonts w:eastAsia="宋体"/>
                <w:sz w:val="18"/>
                <w:szCs w:val="18"/>
              </w:rPr>
            </w:pPr>
          </w:p>
        </w:tc>
        <w:tc>
          <w:tcPr>
            <w:tcW w:w="7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27F1C">
            <w:pPr>
              <w:spacing w:line="240" w:lineRule="auto"/>
              <w:ind w:firstLine="0" w:firstLineChars="0"/>
              <w:jc w:val="center"/>
              <w:rPr>
                <w:rFonts w:eastAsia="宋体"/>
                <w:sz w:val="18"/>
                <w:szCs w:val="18"/>
              </w:rPr>
            </w:pPr>
          </w:p>
        </w:tc>
        <w:tc>
          <w:tcPr>
            <w:tcW w:w="1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3377A">
            <w:pPr>
              <w:spacing w:line="240" w:lineRule="auto"/>
              <w:ind w:firstLine="0" w:firstLineChars="0"/>
              <w:rPr>
                <w:rFonts w:eastAsia="宋体"/>
                <w:sz w:val="18"/>
                <w:szCs w:val="18"/>
              </w:rPr>
            </w:pPr>
            <w:r>
              <w:rPr>
                <w:rFonts w:eastAsia="宋体"/>
                <w:sz w:val="18"/>
                <w:szCs w:val="18"/>
              </w:rPr>
              <w:t>A122绩效指标明确性</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42926">
            <w:pPr>
              <w:spacing w:line="240" w:lineRule="auto"/>
              <w:ind w:firstLine="0" w:firstLineChars="0"/>
              <w:jc w:val="center"/>
              <w:rPr>
                <w:rFonts w:eastAsia="宋体"/>
                <w:sz w:val="18"/>
                <w:szCs w:val="18"/>
              </w:rPr>
            </w:pPr>
            <w:r>
              <w:rPr>
                <w:rFonts w:eastAsia="宋体"/>
                <w:sz w:val="18"/>
                <w:szCs w:val="18"/>
              </w:rPr>
              <w:t>2</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6AE0">
            <w:pPr>
              <w:spacing w:line="240" w:lineRule="auto"/>
              <w:ind w:firstLine="0" w:firstLineChars="0"/>
              <w:jc w:val="center"/>
              <w:rPr>
                <w:rFonts w:eastAsia="宋体"/>
                <w:sz w:val="18"/>
                <w:szCs w:val="18"/>
              </w:rPr>
            </w:pPr>
            <w:r>
              <w:rPr>
                <w:rFonts w:eastAsia="宋体"/>
                <w:sz w:val="18"/>
                <w:szCs w:val="18"/>
              </w:rPr>
              <w:t>指标明确</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E592">
            <w:pPr>
              <w:spacing w:line="240" w:lineRule="auto"/>
              <w:ind w:firstLine="0" w:firstLineChars="0"/>
              <w:jc w:val="center"/>
              <w:rPr>
                <w:rFonts w:eastAsia="宋体"/>
                <w:sz w:val="18"/>
                <w:szCs w:val="18"/>
              </w:rPr>
            </w:pPr>
            <w:r>
              <w:rPr>
                <w:rFonts w:hint="eastAsia" w:eastAsia="宋体"/>
                <w:sz w:val="18"/>
                <w:szCs w:val="18"/>
              </w:rPr>
              <w:t>2</w:t>
            </w:r>
          </w:p>
        </w:tc>
      </w:tr>
      <w:tr w14:paraId="62AD1CD6">
        <w:tblPrEx>
          <w:tblCellMar>
            <w:top w:w="0" w:type="dxa"/>
            <w:left w:w="108" w:type="dxa"/>
            <w:bottom w:w="0" w:type="dxa"/>
            <w:right w:w="108" w:type="dxa"/>
          </w:tblCellMar>
        </w:tblPrEx>
        <w:trPr>
          <w:trHeight w:val="487" w:hRule="atLeast"/>
        </w:trPr>
        <w:tc>
          <w:tcPr>
            <w:tcW w:w="6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23736">
            <w:pPr>
              <w:spacing w:line="240" w:lineRule="auto"/>
              <w:ind w:firstLine="0" w:firstLineChars="0"/>
              <w:rPr>
                <w:rFonts w:eastAsia="宋体"/>
                <w:sz w:val="18"/>
                <w:szCs w:val="18"/>
              </w:rPr>
            </w:pPr>
          </w:p>
        </w:tc>
        <w:tc>
          <w:tcPr>
            <w:tcW w:w="7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CE0FD">
            <w:pPr>
              <w:spacing w:line="240" w:lineRule="auto"/>
              <w:ind w:firstLine="0" w:firstLineChars="0"/>
              <w:jc w:val="center"/>
              <w:rPr>
                <w:rFonts w:eastAsia="宋体"/>
                <w:sz w:val="18"/>
                <w:szCs w:val="18"/>
              </w:rPr>
            </w:pPr>
            <w:r>
              <w:rPr>
                <w:rFonts w:eastAsia="宋体"/>
                <w:sz w:val="18"/>
                <w:szCs w:val="18"/>
              </w:rPr>
              <w:t>A13资金投入</w:t>
            </w:r>
            <w:r>
              <w:rPr>
                <w:rFonts w:eastAsia="宋体"/>
                <w:sz w:val="18"/>
                <w:szCs w:val="18"/>
              </w:rPr>
              <w:br w:type="textWrapping"/>
            </w:r>
            <w:r>
              <w:rPr>
                <w:rFonts w:hint="eastAsia" w:eastAsia="宋体"/>
                <w:sz w:val="18"/>
                <w:szCs w:val="18"/>
              </w:rPr>
              <w:t>（</w:t>
            </w:r>
            <w:r>
              <w:rPr>
                <w:rFonts w:eastAsia="宋体"/>
                <w:sz w:val="18"/>
                <w:szCs w:val="18"/>
              </w:rPr>
              <w:t>6分</w:t>
            </w:r>
            <w:r>
              <w:rPr>
                <w:rFonts w:hint="eastAsia" w:eastAsia="宋体"/>
                <w:sz w:val="18"/>
                <w:szCs w:val="18"/>
              </w:rPr>
              <w:t>）</w:t>
            </w:r>
          </w:p>
        </w:tc>
        <w:tc>
          <w:tcPr>
            <w:tcW w:w="1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049F7">
            <w:pPr>
              <w:spacing w:line="240" w:lineRule="auto"/>
              <w:ind w:firstLine="0" w:firstLineChars="0"/>
              <w:rPr>
                <w:rFonts w:eastAsia="宋体"/>
                <w:sz w:val="18"/>
                <w:szCs w:val="18"/>
              </w:rPr>
            </w:pPr>
            <w:r>
              <w:rPr>
                <w:rFonts w:eastAsia="宋体"/>
                <w:sz w:val="18"/>
                <w:szCs w:val="18"/>
              </w:rPr>
              <w:t>A131预算编制科学性</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24C8B">
            <w:pPr>
              <w:spacing w:line="240" w:lineRule="auto"/>
              <w:ind w:firstLine="0" w:firstLineChars="0"/>
              <w:jc w:val="center"/>
              <w:rPr>
                <w:rFonts w:eastAsia="宋体"/>
                <w:sz w:val="18"/>
                <w:szCs w:val="18"/>
              </w:rPr>
            </w:pPr>
            <w:r>
              <w:rPr>
                <w:rFonts w:eastAsia="宋体"/>
                <w:sz w:val="18"/>
                <w:szCs w:val="18"/>
              </w:rPr>
              <w:t>3</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32BC">
            <w:pPr>
              <w:spacing w:line="240" w:lineRule="auto"/>
              <w:ind w:firstLine="0" w:firstLineChars="0"/>
              <w:jc w:val="center"/>
              <w:rPr>
                <w:rFonts w:eastAsia="宋体"/>
                <w:sz w:val="18"/>
                <w:szCs w:val="18"/>
              </w:rPr>
            </w:pPr>
            <w:r>
              <w:rPr>
                <w:rFonts w:eastAsia="宋体"/>
                <w:sz w:val="18"/>
                <w:szCs w:val="18"/>
              </w:rPr>
              <w:t>编制科学</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A1FA7">
            <w:pPr>
              <w:spacing w:line="240" w:lineRule="auto"/>
              <w:ind w:firstLine="0" w:firstLineChars="0"/>
              <w:jc w:val="center"/>
              <w:rPr>
                <w:rFonts w:hint="eastAsia" w:eastAsia="宋体"/>
                <w:sz w:val="18"/>
                <w:szCs w:val="18"/>
                <w:lang w:val="en-US" w:eastAsia="zh-CN"/>
              </w:rPr>
            </w:pPr>
            <w:r>
              <w:rPr>
                <w:rFonts w:hint="eastAsia" w:eastAsia="宋体"/>
                <w:sz w:val="18"/>
                <w:szCs w:val="18"/>
                <w:lang w:val="en-US" w:eastAsia="zh-CN"/>
              </w:rPr>
              <w:t>3</w:t>
            </w:r>
          </w:p>
        </w:tc>
      </w:tr>
      <w:tr w14:paraId="5AA8F6C8">
        <w:tblPrEx>
          <w:tblCellMar>
            <w:top w:w="0" w:type="dxa"/>
            <w:left w:w="108" w:type="dxa"/>
            <w:bottom w:w="0" w:type="dxa"/>
            <w:right w:w="108" w:type="dxa"/>
          </w:tblCellMar>
        </w:tblPrEx>
        <w:trPr>
          <w:trHeight w:val="510" w:hRule="atLeast"/>
        </w:trPr>
        <w:tc>
          <w:tcPr>
            <w:tcW w:w="6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82F69">
            <w:pPr>
              <w:spacing w:line="240" w:lineRule="auto"/>
              <w:ind w:firstLine="0" w:firstLineChars="0"/>
              <w:rPr>
                <w:rFonts w:eastAsia="宋体"/>
                <w:sz w:val="18"/>
                <w:szCs w:val="18"/>
              </w:rPr>
            </w:pPr>
          </w:p>
        </w:tc>
        <w:tc>
          <w:tcPr>
            <w:tcW w:w="7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F97AD">
            <w:pPr>
              <w:spacing w:line="240" w:lineRule="auto"/>
              <w:ind w:firstLine="0" w:firstLineChars="0"/>
              <w:rPr>
                <w:rFonts w:eastAsia="宋体"/>
                <w:sz w:val="18"/>
                <w:szCs w:val="18"/>
              </w:rPr>
            </w:pPr>
          </w:p>
        </w:tc>
        <w:tc>
          <w:tcPr>
            <w:tcW w:w="1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A9B18">
            <w:pPr>
              <w:spacing w:line="240" w:lineRule="auto"/>
              <w:ind w:firstLine="0" w:firstLineChars="0"/>
              <w:rPr>
                <w:rFonts w:eastAsia="宋体"/>
                <w:sz w:val="18"/>
                <w:szCs w:val="18"/>
              </w:rPr>
            </w:pPr>
            <w:r>
              <w:rPr>
                <w:rFonts w:eastAsia="宋体"/>
                <w:sz w:val="18"/>
                <w:szCs w:val="18"/>
              </w:rPr>
              <w:t>A132资金分配合理性</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B9FD">
            <w:pPr>
              <w:spacing w:line="240" w:lineRule="auto"/>
              <w:ind w:firstLine="0" w:firstLineChars="0"/>
              <w:jc w:val="center"/>
              <w:rPr>
                <w:rFonts w:eastAsia="宋体"/>
                <w:sz w:val="18"/>
                <w:szCs w:val="18"/>
              </w:rPr>
            </w:pPr>
            <w:r>
              <w:rPr>
                <w:rFonts w:eastAsia="宋体"/>
                <w:sz w:val="18"/>
                <w:szCs w:val="18"/>
              </w:rPr>
              <w:t>3</w:t>
            </w:r>
          </w:p>
        </w:tc>
        <w:tc>
          <w:tcPr>
            <w:tcW w:w="8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09AF">
            <w:pPr>
              <w:spacing w:line="240" w:lineRule="auto"/>
              <w:ind w:firstLine="0" w:firstLineChars="0"/>
              <w:jc w:val="center"/>
              <w:rPr>
                <w:rFonts w:eastAsia="宋体"/>
                <w:sz w:val="18"/>
                <w:szCs w:val="18"/>
              </w:rPr>
            </w:pPr>
            <w:r>
              <w:rPr>
                <w:rFonts w:eastAsia="宋体"/>
                <w:sz w:val="18"/>
                <w:szCs w:val="18"/>
              </w:rPr>
              <w:t>分配合理</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85245">
            <w:pPr>
              <w:spacing w:line="240" w:lineRule="auto"/>
              <w:ind w:firstLine="0" w:firstLineChars="0"/>
              <w:jc w:val="center"/>
              <w:rPr>
                <w:rFonts w:eastAsia="宋体"/>
                <w:sz w:val="18"/>
                <w:szCs w:val="18"/>
              </w:rPr>
            </w:pPr>
            <w:r>
              <w:rPr>
                <w:rFonts w:hint="eastAsia" w:eastAsia="宋体"/>
                <w:sz w:val="18"/>
                <w:szCs w:val="18"/>
              </w:rPr>
              <w:t>3</w:t>
            </w:r>
          </w:p>
        </w:tc>
      </w:tr>
    </w:tbl>
    <w:p w14:paraId="1F104F11">
      <w:pPr>
        <w:pStyle w:val="5"/>
        <w:ind w:firstLine="560"/>
        <w:rPr>
          <w:rFonts w:ascii="Times New Roman" w:hAnsi="Times New Roman" w:cs="Times New Roman"/>
        </w:rPr>
      </w:pPr>
      <w:bookmarkStart w:id="161" w:name="_Toc23851"/>
      <w:bookmarkStart w:id="162" w:name="_Toc13114"/>
      <w:r>
        <w:rPr>
          <w:rFonts w:ascii="Times New Roman" w:hAnsi="Times New Roman" w:cs="Times New Roman"/>
        </w:rPr>
        <w:t>A11．项目立项。指标分值5分，实际得5分。</w:t>
      </w:r>
      <w:bookmarkEnd w:id="161"/>
      <w:bookmarkEnd w:id="162"/>
    </w:p>
    <w:p w14:paraId="4FB6150B">
      <w:pPr>
        <w:pStyle w:val="6"/>
        <w:ind w:firstLine="560"/>
      </w:pPr>
      <w:r>
        <w:t>A111．立项依据充分性。指标分值</w:t>
      </w:r>
      <w:r>
        <w:rPr>
          <w:rFonts w:hint="eastAsia"/>
        </w:rPr>
        <w:t>2</w:t>
      </w:r>
      <w:r>
        <w:t>分，实际得</w:t>
      </w:r>
      <w:r>
        <w:rPr>
          <w:rFonts w:hint="eastAsia"/>
        </w:rPr>
        <w:t>2</w:t>
      </w:r>
      <w:r>
        <w:t>分。</w:t>
      </w:r>
    </w:p>
    <w:p w14:paraId="175226FB">
      <w:pPr>
        <w:ind w:firstLine="560"/>
        <w:rPr>
          <w:color w:val="333333"/>
          <w:szCs w:val="32"/>
          <w:shd w:val="clear" w:color="auto" w:fill="FFFFFF"/>
        </w:rPr>
      </w:pPr>
      <w:r>
        <w:rPr>
          <w:color w:val="333333"/>
          <w:szCs w:val="32"/>
          <w:shd w:val="clear" w:color="auto" w:fill="FFFFFF"/>
        </w:rPr>
        <w:t>该指标用以反映项目立项是否符合法律法规、相关政策</w:t>
      </w:r>
      <w:r>
        <w:rPr>
          <w:rFonts w:hint="eastAsia"/>
          <w:color w:val="333333"/>
          <w:szCs w:val="32"/>
          <w:shd w:val="clear" w:color="auto" w:fill="FFFFFF"/>
        </w:rPr>
        <w:t>和</w:t>
      </w:r>
      <w:r>
        <w:rPr>
          <w:color w:val="333333"/>
          <w:szCs w:val="32"/>
          <w:shd w:val="clear" w:color="auto" w:fill="FFFFFF"/>
        </w:rPr>
        <w:t>发展规划，考核项目立项依据情况。得分明细如下：</w:t>
      </w:r>
    </w:p>
    <w:p w14:paraId="47C63DEE">
      <w:pPr>
        <w:ind w:firstLine="560"/>
        <w:rPr>
          <w:color w:val="333333"/>
          <w:szCs w:val="32"/>
          <w:shd w:val="clear" w:color="auto" w:fill="FFFFFF"/>
        </w:rPr>
      </w:pPr>
      <w:r>
        <w:rPr>
          <w:color w:val="333333"/>
          <w:szCs w:val="32"/>
          <w:shd w:val="clear" w:color="auto" w:fill="FFFFFF"/>
        </w:rPr>
        <w:t>根据</w:t>
      </w:r>
      <w:r>
        <w:rPr>
          <w:rFonts w:hint="eastAsia"/>
          <w:color w:val="333333"/>
          <w:szCs w:val="32"/>
          <w:shd w:val="clear" w:color="auto" w:fill="FFFFFF"/>
        </w:rPr>
        <w:t>《安宁市关于进一步推进养老服务事业发展的实施方案》（安政办〔2021〕38号）</w:t>
      </w:r>
      <w:r>
        <w:rPr>
          <w:color w:val="333333"/>
          <w:szCs w:val="32"/>
          <w:shd w:val="clear" w:color="auto" w:fill="FFFFFF"/>
        </w:rPr>
        <w:t>，</w:t>
      </w:r>
      <w:r>
        <w:rPr>
          <w:rFonts w:hint="eastAsia"/>
          <w:color w:val="333333"/>
          <w:szCs w:val="32"/>
          <w:shd w:val="clear" w:color="auto" w:fill="FFFFFF"/>
        </w:rPr>
        <w:t>经安宁市人民政府批准，对</w:t>
      </w:r>
      <w:r>
        <w:rPr>
          <w:rFonts w:hint="eastAsia"/>
          <w:color w:val="333333"/>
          <w:szCs w:val="32"/>
          <w:shd w:val="clear" w:color="auto" w:fill="FFFFFF"/>
          <w:lang w:val="en-US" w:eastAsia="zh-CN"/>
        </w:rPr>
        <w:t>老年食堂</w:t>
      </w:r>
      <w:r>
        <w:rPr>
          <w:rFonts w:hint="eastAsia"/>
          <w:color w:val="333333"/>
          <w:szCs w:val="32"/>
          <w:shd w:val="clear" w:color="auto" w:fill="FFFFFF"/>
        </w:rPr>
        <w:t>进行工作人员补助及老年人用餐服务补助。</w:t>
      </w:r>
      <w:r>
        <w:rPr>
          <w:rFonts w:hint="eastAsia"/>
        </w:rPr>
        <w:t>2024年度养老服务设施建设及运营、管理服务补助经费（老年食堂）项目</w:t>
      </w:r>
      <w:r>
        <w:rPr>
          <w:color w:val="333333"/>
          <w:szCs w:val="32"/>
          <w:shd w:val="clear" w:color="auto" w:fill="FFFFFF"/>
        </w:rPr>
        <w:t>立项符合国家法律法规、国民经济发展规划和相关政策；符合</w:t>
      </w:r>
      <w:r>
        <w:rPr>
          <w:rFonts w:hint="eastAsia"/>
          <w:color w:val="333333"/>
          <w:szCs w:val="32"/>
          <w:shd w:val="clear" w:color="auto" w:fill="FFFFFF"/>
        </w:rPr>
        <w:t>政府政策要求</w:t>
      </w:r>
      <w:r>
        <w:rPr>
          <w:color w:val="333333"/>
          <w:szCs w:val="32"/>
          <w:shd w:val="clear" w:color="auto" w:fill="FFFFFF"/>
        </w:rPr>
        <w:t>。根据评分标准得</w:t>
      </w:r>
      <w:r>
        <w:rPr>
          <w:rFonts w:hint="eastAsia"/>
          <w:color w:val="333333"/>
          <w:szCs w:val="32"/>
          <w:shd w:val="clear" w:color="auto" w:fill="FFFFFF"/>
        </w:rPr>
        <w:t>2</w:t>
      </w:r>
      <w:r>
        <w:rPr>
          <w:color w:val="333333"/>
          <w:szCs w:val="32"/>
          <w:shd w:val="clear" w:color="auto" w:fill="FFFFFF"/>
        </w:rPr>
        <w:t>分。</w:t>
      </w:r>
    </w:p>
    <w:p w14:paraId="1B42C069">
      <w:pPr>
        <w:pStyle w:val="6"/>
        <w:ind w:firstLine="560"/>
      </w:pPr>
      <w:r>
        <w:t>A112．立项程序规范性。指标分值</w:t>
      </w:r>
      <w:r>
        <w:rPr>
          <w:rFonts w:hint="eastAsia"/>
        </w:rPr>
        <w:t>3</w:t>
      </w:r>
      <w:r>
        <w:t>分，实际得</w:t>
      </w:r>
      <w:r>
        <w:rPr>
          <w:rFonts w:hint="eastAsia"/>
        </w:rPr>
        <w:t>3</w:t>
      </w:r>
      <w:r>
        <w:t>分。</w:t>
      </w:r>
    </w:p>
    <w:p w14:paraId="6ADC33AA">
      <w:pPr>
        <w:ind w:firstLine="560"/>
        <w:rPr>
          <w:color w:val="333333"/>
          <w:szCs w:val="32"/>
          <w:shd w:val="clear" w:color="auto" w:fill="FFFFFF"/>
        </w:rPr>
      </w:pPr>
      <w:r>
        <w:rPr>
          <w:color w:val="333333"/>
          <w:szCs w:val="32"/>
          <w:shd w:val="clear" w:color="auto" w:fill="FFFFFF"/>
        </w:rPr>
        <w:t>该指标用以反映项目申请、设立过程是否符合相关要求，考核项目立项的规范情况。得分明细如下：</w:t>
      </w:r>
    </w:p>
    <w:p w14:paraId="3159A9D0">
      <w:pPr>
        <w:ind w:firstLine="560"/>
        <w:rPr>
          <w:color w:val="333333"/>
          <w:szCs w:val="32"/>
          <w:shd w:val="clear" w:color="auto" w:fill="FFFFFF"/>
        </w:rPr>
      </w:pPr>
      <w:r>
        <w:rPr>
          <w:color w:val="333333"/>
          <w:szCs w:val="32"/>
          <w:shd w:val="clear" w:color="auto" w:fill="FFFFFF"/>
        </w:rPr>
        <w:t>根据</w:t>
      </w:r>
      <w:r>
        <w:rPr>
          <w:rFonts w:hint="eastAsia"/>
          <w:color w:val="333333"/>
          <w:szCs w:val="32"/>
          <w:shd w:val="clear" w:color="auto" w:fill="FFFFFF"/>
        </w:rPr>
        <w:t>《安宁市关于进一步推进养老服务事业发展的实施方案》（安政办〔2021〕38号）</w:t>
      </w:r>
      <w:r>
        <w:rPr>
          <w:color w:val="333333"/>
          <w:szCs w:val="32"/>
          <w:shd w:val="clear" w:color="auto" w:fill="FFFFFF"/>
        </w:rPr>
        <w:t>，</w:t>
      </w:r>
      <w:r>
        <w:rPr>
          <w:rFonts w:hint="eastAsia"/>
          <w:color w:val="333333"/>
          <w:szCs w:val="32"/>
          <w:shd w:val="clear" w:color="auto" w:fill="FFFFFF"/>
        </w:rPr>
        <w:t>经安宁市人民政府批准，对</w:t>
      </w:r>
      <w:r>
        <w:rPr>
          <w:rFonts w:hint="eastAsia"/>
          <w:color w:val="333333"/>
          <w:szCs w:val="32"/>
          <w:shd w:val="clear" w:color="auto" w:fill="FFFFFF"/>
          <w:lang w:val="en-US" w:eastAsia="zh-CN"/>
        </w:rPr>
        <w:t>老年食堂</w:t>
      </w:r>
      <w:r>
        <w:rPr>
          <w:rFonts w:hint="eastAsia"/>
          <w:color w:val="333333"/>
          <w:szCs w:val="32"/>
          <w:shd w:val="clear" w:color="auto" w:fill="FFFFFF"/>
        </w:rPr>
        <w:t>进行工作人员补助及老年人用餐服务补助。</w:t>
      </w:r>
      <w:r>
        <w:rPr>
          <w:rFonts w:hint="eastAsia"/>
        </w:rPr>
        <w:t>2024年度养老服务设施建设及运营、管理服务补助经费（老年食堂）项目</w:t>
      </w:r>
      <w:r>
        <w:rPr>
          <w:color w:val="333333"/>
          <w:szCs w:val="32"/>
          <w:shd w:val="clear" w:color="auto" w:fill="FFFFFF"/>
        </w:rPr>
        <w:t>按照规定的程序申请设立，审批文件、材料符合相关要求。根据评分标准得</w:t>
      </w:r>
      <w:r>
        <w:rPr>
          <w:rFonts w:hint="eastAsia"/>
          <w:color w:val="333333"/>
          <w:szCs w:val="32"/>
          <w:shd w:val="clear" w:color="auto" w:fill="FFFFFF"/>
        </w:rPr>
        <w:t>3</w:t>
      </w:r>
      <w:r>
        <w:rPr>
          <w:color w:val="333333"/>
          <w:szCs w:val="32"/>
          <w:shd w:val="clear" w:color="auto" w:fill="FFFFFF"/>
        </w:rPr>
        <w:t>分。</w:t>
      </w:r>
    </w:p>
    <w:p w14:paraId="57D44CA7">
      <w:pPr>
        <w:pStyle w:val="5"/>
        <w:ind w:firstLine="560"/>
        <w:rPr>
          <w:rFonts w:ascii="Times New Roman" w:hAnsi="Times New Roman" w:cs="Times New Roman"/>
        </w:rPr>
      </w:pPr>
      <w:r>
        <w:rPr>
          <w:rFonts w:ascii="Times New Roman" w:hAnsi="Times New Roman" w:cs="Times New Roman"/>
        </w:rPr>
        <w:t>A12．绩效目标。指标分值4分，实际得</w:t>
      </w:r>
      <w:r>
        <w:rPr>
          <w:rFonts w:hint="eastAsia" w:ascii="Times New Roman" w:hAnsi="Times New Roman" w:cs="Times New Roman"/>
        </w:rPr>
        <w:t>4</w:t>
      </w:r>
      <w:r>
        <w:rPr>
          <w:rFonts w:ascii="Times New Roman" w:hAnsi="Times New Roman" w:cs="Times New Roman"/>
        </w:rPr>
        <w:t>分。</w:t>
      </w:r>
    </w:p>
    <w:p w14:paraId="068D9670">
      <w:pPr>
        <w:pStyle w:val="6"/>
        <w:ind w:firstLine="560"/>
      </w:pPr>
      <w:r>
        <w:t>A121．绩效目标合理性。指标分值2分，实际得</w:t>
      </w:r>
      <w:r>
        <w:rPr>
          <w:rFonts w:hint="eastAsia"/>
        </w:rPr>
        <w:t>2</w:t>
      </w:r>
      <w:r>
        <w:t>分。</w:t>
      </w:r>
    </w:p>
    <w:p w14:paraId="00D0EC28">
      <w:pPr>
        <w:ind w:firstLine="560"/>
        <w:rPr>
          <w:color w:val="333333"/>
          <w:szCs w:val="32"/>
          <w:shd w:val="clear" w:color="auto" w:fill="FFFFFF"/>
        </w:rPr>
      </w:pPr>
      <w:r>
        <w:rPr>
          <w:color w:val="333333"/>
          <w:szCs w:val="32"/>
          <w:shd w:val="clear" w:color="auto" w:fill="FFFFFF"/>
        </w:rPr>
        <w:t>该指标用以反映项目所设定的绩效目标是否依据充分，是否符合客观实际，考核项目绩效目标与项目实施的相符情况。得分明细如下：</w:t>
      </w:r>
    </w:p>
    <w:p w14:paraId="6A00671D">
      <w:pPr>
        <w:ind w:firstLine="560"/>
        <w:rPr>
          <w:color w:val="333333"/>
          <w:szCs w:val="32"/>
          <w:shd w:val="clear" w:color="auto" w:fill="FFFFFF"/>
        </w:rPr>
      </w:pPr>
      <w:r>
        <w:rPr>
          <w:color w:val="333333"/>
          <w:szCs w:val="32"/>
          <w:shd w:val="clear" w:color="auto" w:fill="FFFFFF"/>
        </w:rPr>
        <w:t>根据</w:t>
      </w:r>
      <w:r>
        <w:rPr>
          <w:rFonts w:hint="eastAsia"/>
          <w:color w:val="333333"/>
          <w:szCs w:val="32"/>
          <w:shd w:val="clear" w:color="auto" w:fill="FFFFFF"/>
        </w:rPr>
        <w:t>《安宁市2024年养老服务设施建设及运营、管理服务补助经费（项目）绩效目标自评表》《安宁市民政局关于2024“养老服务设施建设及运营、管理服务补助经费”预算项目自查自评报告》，项目总体目标为提供助餐服务的养老服务单位根据实际服务的老年人数和服务月数，给予服务机构200元/人/月的服务补助资金，其中城乡低收入老年人再增加200元/人/月的补助标准；为建成投入使用的城乡居家养老服务单位按2300元/人/月标准给予工作人员补助。项目绩效目标细分为数量指标、质量指标、时效指标、社会效益指标及服务对象满意度指标，对城乡居家养老服务单位工作人员补助保障程度等方面均有考核目标。</w:t>
      </w:r>
      <w:r>
        <w:rPr>
          <w:rFonts w:hint="eastAsia"/>
        </w:rPr>
        <w:t>2024年度养老服务设施建设及运营、管理服务补助经费（老年食堂）项目</w:t>
      </w:r>
      <w:r>
        <w:rPr>
          <w:color w:val="333333"/>
          <w:szCs w:val="32"/>
          <w:shd w:val="clear" w:color="auto" w:fill="FFFFFF"/>
        </w:rPr>
        <w:t>绩效目标</w:t>
      </w:r>
      <w:r>
        <w:rPr>
          <w:rFonts w:hint="eastAsia"/>
          <w:color w:val="333333"/>
          <w:szCs w:val="32"/>
          <w:shd w:val="clear" w:color="auto" w:fill="FFFFFF"/>
        </w:rPr>
        <w:t>与实际工作内容相关，与预算确定的项目投资额或资金量相匹配</w:t>
      </w:r>
      <w:r>
        <w:rPr>
          <w:color w:val="333333"/>
          <w:szCs w:val="32"/>
          <w:shd w:val="clear" w:color="auto" w:fill="FFFFFF"/>
        </w:rPr>
        <w:t>。根据评分标准得</w:t>
      </w:r>
      <w:r>
        <w:rPr>
          <w:rFonts w:hint="eastAsia"/>
          <w:color w:val="333333"/>
          <w:szCs w:val="32"/>
          <w:shd w:val="clear" w:color="auto" w:fill="FFFFFF"/>
        </w:rPr>
        <w:t>2</w:t>
      </w:r>
      <w:r>
        <w:rPr>
          <w:color w:val="333333"/>
          <w:szCs w:val="32"/>
          <w:shd w:val="clear" w:color="auto" w:fill="FFFFFF"/>
        </w:rPr>
        <w:t>分。</w:t>
      </w:r>
    </w:p>
    <w:p w14:paraId="2C80A04D">
      <w:pPr>
        <w:pStyle w:val="6"/>
        <w:ind w:firstLine="560"/>
      </w:pPr>
      <w:r>
        <w:t>A122．绩效指标明确性。指标分值2分，实际得</w:t>
      </w:r>
      <w:r>
        <w:rPr>
          <w:rFonts w:hint="eastAsia"/>
        </w:rPr>
        <w:t>2</w:t>
      </w:r>
      <w:r>
        <w:t>分。</w:t>
      </w:r>
    </w:p>
    <w:p w14:paraId="5D9263F7">
      <w:pPr>
        <w:ind w:firstLine="560"/>
        <w:rPr>
          <w:color w:val="333333"/>
          <w:szCs w:val="32"/>
          <w:shd w:val="clear" w:color="auto" w:fill="FFFFFF"/>
        </w:rPr>
      </w:pPr>
      <w:r>
        <w:rPr>
          <w:color w:val="333333"/>
          <w:szCs w:val="32"/>
          <w:shd w:val="clear" w:color="auto" w:fill="FFFFFF"/>
        </w:rPr>
        <w:t>该项指标反映依据绩效目标设定的绩效指标是否清晰、细化、可衡量等，考核项目绩效目标的明细化情况。得分明细如下：</w:t>
      </w:r>
    </w:p>
    <w:p w14:paraId="5411EB32">
      <w:pPr>
        <w:ind w:firstLine="560"/>
        <w:rPr>
          <w:color w:val="333333"/>
          <w:szCs w:val="32"/>
          <w:shd w:val="clear" w:color="auto" w:fill="FFFFFF"/>
        </w:rPr>
      </w:pPr>
      <w:r>
        <w:rPr>
          <w:rFonts w:hint="eastAsia"/>
          <w:color w:val="333333"/>
          <w:szCs w:val="32"/>
          <w:shd w:val="clear" w:color="auto" w:fill="FFFFFF"/>
        </w:rPr>
        <w:t>根据《安宁市2024年养老服务设施建设及运营、管理服务补助经费（项目）绩效目标自评表》《安宁市民政局关于2024“养老服务设施建设及运营、管理服务补助经费”预算项目自查自评报告》，项目总体目标为提供助餐服务的养老服务单位根据实际服务的老年人数和服务月数，给予服务机构200元/人/月的服务补助资金，其中城乡低收入老年人再增加200元/人/月的补助标准；为建成投入使用的城乡居家养老服务单位按2300元/人/月标准给予工作人员补助。项目绩效目标细分为数量指标、质量指标、时效指标、社会效益指标及服务对象满意度指标，对城乡居家养老服务单位工作人员补助保障程度等方面均有考核目标。</w:t>
      </w:r>
      <w:r>
        <w:rPr>
          <w:rFonts w:hint="eastAsia"/>
        </w:rPr>
        <w:t>2024年度养老服务设施建设及运营、管理服务补助经费（老年食堂）项目</w:t>
      </w:r>
      <w:r>
        <w:rPr>
          <w:color w:val="333333"/>
          <w:szCs w:val="32"/>
          <w:shd w:val="clear" w:color="auto" w:fill="FFFFFF"/>
        </w:rPr>
        <w:t>绩效目标细化分解为具体的绩效指标，与项目目标任务数相对应。根据评分标准得</w:t>
      </w:r>
      <w:r>
        <w:rPr>
          <w:rFonts w:hint="eastAsia"/>
          <w:color w:val="333333"/>
          <w:szCs w:val="32"/>
          <w:shd w:val="clear" w:color="auto" w:fill="FFFFFF"/>
        </w:rPr>
        <w:t>2</w:t>
      </w:r>
      <w:r>
        <w:rPr>
          <w:color w:val="333333"/>
          <w:szCs w:val="32"/>
          <w:shd w:val="clear" w:color="auto" w:fill="FFFFFF"/>
        </w:rPr>
        <w:t>分。</w:t>
      </w:r>
    </w:p>
    <w:p w14:paraId="4E78CFA7">
      <w:pPr>
        <w:pStyle w:val="5"/>
        <w:ind w:firstLine="560"/>
        <w:rPr>
          <w:rFonts w:ascii="Times New Roman" w:hAnsi="Times New Roman" w:cs="Times New Roman"/>
        </w:rPr>
      </w:pPr>
      <w:r>
        <w:rPr>
          <w:rFonts w:ascii="Times New Roman" w:hAnsi="Times New Roman" w:cs="Times New Roman"/>
        </w:rPr>
        <w:t>A13．资金投入。指标分值6分，实际得</w:t>
      </w:r>
      <w:r>
        <w:rPr>
          <w:rFonts w:hint="eastAsia" w:ascii="Times New Roman" w:hAnsi="Times New Roman" w:cs="Times New Roman"/>
          <w:lang w:val="en-US" w:eastAsia="zh-CN"/>
        </w:rPr>
        <w:t>6</w:t>
      </w:r>
      <w:r>
        <w:rPr>
          <w:rFonts w:ascii="Times New Roman" w:hAnsi="Times New Roman" w:cs="Times New Roman"/>
        </w:rPr>
        <w:t>分。</w:t>
      </w:r>
    </w:p>
    <w:p w14:paraId="0BC3287E">
      <w:pPr>
        <w:pStyle w:val="6"/>
        <w:ind w:firstLine="560"/>
        <w:rPr>
          <w:color w:val="333333"/>
          <w:szCs w:val="32"/>
          <w:shd w:val="clear" w:color="auto" w:fill="FFFFFF"/>
        </w:rPr>
      </w:pPr>
      <w:r>
        <w:rPr>
          <w:color w:val="333333"/>
          <w:szCs w:val="32"/>
          <w:shd w:val="clear" w:color="auto" w:fill="FFFFFF"/>
        </w:rPr>
        <w:t>A131．预算编制科学性。指标分值3分，实际得</w:t>
      </w:r>
      <w:r>
        <w:rPr>
          <w:rFonts w:hint="eastAsia"/>
          <w:color w:val="333333"/>
          <w:szCs w:val="32"/>
          <w:shd w:val="clear" w:color="auto" w:fill="FFFFFF"/>
          <w:lang w:val="en-US" w:eastAsia="zh-CN"/>
        </w:rPr>
        <w:t>3</w:t>
      </w:r>
      <w:r>
        <w:rPr>
          <w:color w:val="333333"/>
          <w:szCs w:val="32"/>
          <w:shd w:val="clear" w:color="auto" w:fill="FFFFFF"/>
        </w:rPr>
        <w:t>分。</w:t>
      </w:r>
    </w:p>
    <w:p w14:paraId="58F50FB0">
      <w:pPr>
        <w:ind w:firstLine="560"/>
        <w:rPr>
          <w:color w:val="333333"/>
          <w:szCs w:val="32"/>
          <w:shd w:val="clear" w:color="auto" w:fill="FFFFFF"/>
        </w:rPr>
      </w:pPr>
      <w:r>
        <w:rPr>
          <w:color w:val="333333"/>
          <w:szCs w:val="32"/>
          <w:shd w:val="clear" w:color="auto" w:fill="FFFFFF"/>
        </w:rPr>
        <w:t>该项指标用以反映项目预算编制是否经过科学论证、有明确标准，资金额度与年度目标是否相适应，考核项目预算编制的科学性、合理性。得分明细如下：</w:t>
      </w:r>
    </w:p>
    <w:p w14:paraId="3FD7E5EA">
      <w:pPr>
        <w:ind w:firstLine="560"/>
        <w:rPr>
          <w:color w:val="333333"/>
          <w:szCs w:val="32"/>
          <w:shd w:val="clear" w:color="auto" w:fill="FFFFFF"/>
        </w:rPr>
      </w:pPr>
      <w:r>
        <w:rPr>
          <w:color w:val="333333"/>
          <w:szCs w:val="32"/>
          <w:shd w:val="clear" w:color="auto" w:fill="FFFFFF"/>
        </w:rPr>
        <w:t>根据</w:t>
      </w:r>
      <w:r>
        <w:rPr>
          <w:rFonts w:hint="eastAsia"/>
          <w:color w:val="333333"/>
          <w:szCs w:val="32"/>
          <w:shd w:val="clear" w:color="auto" w:fill="FFFFFF"/>
        </w:rPr>
        <w:t>《安宁市关于进一步推进养老服务事业发展的实施方案》（安政办〔2021〕38号）及《2024年老龄事务经费预算编制说明》，</w:t>
      </w:r>
      <w:r>
        <w:rPr>
          <w:rFonts w:hint="eastAsia"/>
          <w:color w:val="333333"/>
          <w:szCs w:val="32"/>
          <w:shd w:val="clear" w:color="auto" w:fill="FFFFFF"/>
          <w:lang w:val="en-US" w:eastAsia="zh-CN"/>
        </w:rPr>
        <w:t>补助标准为</w:t>
      </w:r>
      <w:r>
        <w:rPr>
          <w:rFonts w:hint="eastAsia"/>
          <w:color w:val="333333"/>
          <w:szCs w:val="32"/>
          <w:shd w:val="clear" w:color="auto" w:fill="FFFFFF"/>
        </w:rPr>
        <w:t>提供助餐服务的养老服务单位根据实际服务的老年人数和服务月数，给予服务机构200元/人/月的服务补助资金，其中城乡低收入老年人再增加200元/人/月的补助标准；为建成投入使用的城乡居家养老服务单位按2300元/人/月标准给予工作人员补助。内容与项目内容匹配，补助标准明确</w:t>
      </w:r>
      <w:r>
        <w:rPr>
          <w:color w:val="333333"/>
          <w:szCs w:val="32"/>
          <w:shd w:val="clear" w:color="auto" w:fill="FFFFFF"/>
        </w:rPr>
        <w:t>。根据评分标准得</w:t>
      </w:r>
      <w:r>
        <w:rPr>
          <w:rFonts w:hint="eastAsia"/>
          <w:color w:val="333333"/>
          <w:szCs w:val="32"/>
          <w:shd w:val="clear" w:color="auto" w:fill="FFFFFF"/>
          <w:lang w:val="en-US" w:eastAsia="zh-CN"/>
        </w:rPr>
        <w:t>3</w:t>
      </w:r>
      <w:r>
        <w:rPr>
          <w:color w:val="333333"/>
          <w:szCs w:val="32"/>
          <w:shd w:val="clear" w:color="auto" w:fill="FFFFFF"/>
        </w:rPr>
        <w:t>分。</w:t>
      </w:r>
    </w:p>
    <w:p w14:paraId="2AF5BB31">
      <w:pPr>
        <w:pStyle w:val="6"/>
        <w:ind w:firstLine="560"/>
        <w:rPr>
          <w:color w:val="333333"/>
          <w:szCs w:val="32"/>
          <w:shd w:val="clear" w:color="auto" w:fill="FFFFFF"/>
        </w:rPr>
      </w:pPr>
      <w:r>
        <w:rPr>
          <w:color w:val="333333"/>
          <w:szCs w:val="32"/>
          <w:shd w:val="clear" w:color="auto" w:fill="FFFFFF"/>
        </w:rPr>
        <w:t>A132．资金分配合理性。指标分值3分，实际得3分。</w:t>
      </w:r>
    </w:p>
    <w:p w14:paraId="301B079D">
      <w:pPr>
        <w:ind w:firstLine="560"/>
        <w:rPr>
          <w:color w:val="333333"/>
          <w:szCs w:val="32"/>
          <w:shd w:val="clear" w:color="auto" w:fill="FFFFFF"/>
        </w:rPr>
      </w:pPr>
      <w:r>
        <w:rPr>
          <w:color w:val="333333"/>
          <w:szCs w:val="32"/>
          <w:shd w:val="clear" w:color="auto" w:fill="FFFFFF"/>
        </w:rPr>
        <w:t>该项指标用以反映项目预算资金分配是否有测算依据，与补助单位或地方实际是否相适应，考核项目预算资金分配的科学性、合理性情况。得分明细如下：</w:t>
      </w:r>
    </w:p>
    <w:p w14:paraId="50B81A28">
      <w:pPr>
        <w:ind w:firstLine="560"/>
        <w:rPr>
          <w:color w:val="333333"/>
          <w:szCs w:val="32"/>
          <w:shd w:val="clear" w:color="auto" w:fill="FFFFFF"/>
        </w:rPr>
      </w:pPr>
      <w:r>
        <w:rPr>
          <w:color w:val="333333"/>
          <w:szCs w:val="32"/>
          <w:shd w:val="clear" w:color="auto" w:fill="FFFFFF"/>
        </w:rPr>
        <w:t>根据</w:t>
      </w:r>
      <w:r>
        <w:rPr>
          <w:rFonts w:hint="eastAsia"/>
          <w:color w:val="333333"/>
          <w:szCs w:val="32"/>
          <w:shd w:val="clear" w:color="auto" w:fill="FFFFFF"/>
        </w:rPr>
        <w:t>《安宁市关于进一步推进养老服务事业发展的实施方案》（安政办〔2021〕38号）及《2024年老龄事务经费预算编制说明》，</w:t>
      </w:r>
      <w:r>
        <w:rPr>
          <w:rFonts w:hint="eastAsia"/>
          <w:color w:val="333333"/>
          <w:szCs w:val="32"/>
          <w:shd w:val="clear" w:color="auto" w:fill="FFFFFF"/>
          <w:lang w:val="en-US" w:eastAsia="zh-CN"/>
        </w:rPr>
        <w:t>补助标准为</w:t>
      </w:r>
      <w:r>
        <w:rPr>
          <w:rFonts w:hint="eastAsia"/>
          <w:color w:val="333333"/>
          <w:szCs w:val="32"/>
          <w:shd w:val="clear" w:color="auto" w:fill="FFFFFF"/>
        </w:rPr>
        <w:t>提供助餐服务的养老服务单位根据实际服务的老年人数和服务月数，给予服务机构200元/人/月的服务补助资金，其中城乡低收入老年人再增加200元/人/月的补助标准；为建成投入使用的城乡居家养老服务单位按2300元/人/月标准给予工作人员补助。内容与项目内容匹配，补助标准明确。预算资金分配依据充分，资金分配与实际相适应</w:t>
      </w:r>
      <w:r>
        <w:rPr>
          <w:color w:val="333333"/>
          <w:szCs w:val="32"/>
          <w:shd w:val="clear" w:color="auto" w:fill="FFFFFF"/>
        </w:rPr>
        <w:t>。根据评分标准得3分。</w:t>
      </w:r>
    </w:p>
    <w:p w14:paraId="41D05B14">
      <w:pPr>
        <w:pStyle w:val="4"/>
        <w:ind w:firstLine="560"/>
      </w:pPr>
      <w:bookmarkStart w:id="163" w:name="_Toc20845"/>
      <w:bookmarkStart w:id="164" w:name="_Hlk148473215"/>
      <w:r>
        <w:t>B2．项目过程情况分析</w:t>
      </w:r>
      <w:bookmarkEnd w:id="163"/>
    </w:p>
    <w:bookmarkEnd w:id="164"/>
    <w:p w14:paraId="7142F357">
      <w:pPr>
        <w:ind w:firstLine="560"/>
        <w:rPr>
          <w:color w:val="333333"/>
          <w:szCs w:val="32"/>
          <w:shd w:val="clear" w:color="auto" w:fill="FFFFFF"/>
        </w:rPr>
      </w:pPr>
      <w:r>
        <w:rPr>
          <w:color w:val="333333"/>
          <w:szCs w:val="32"/>
          <w:shd w:val="clear" w:color="auto" w:fill="FFFFFF"/>
        </w:rPr>
        <w:t>项目过程类指标由2个二级指标，</w:t>
      </w:r>
      <w:r>
        <w:rPr>
          <w:rFonts w:hint="eastAsia"/>
          <w:color w:val="333333"/>
          <w:szCs w:val="32"/>
          <w:shd w:val="clear" w:color="auto" w:fill="FFFFFF"/>
          <w:lang w:val="en-US" w:eastAsia="zh-CN"/>
        </w:rPr>
        <w:t>9</w:t>
      </w:r>
      <w:r>
        <w:rPr>
          <w:color w:val="333333"/>
          <w:szCs w:val="32"/>
          <w:shd w:val="clear" w:color="auto" w:fill="FFFFFF"/>
        </w:rPr>
        <w:t>个三级指标构成，指标分值25分，实际得分为</w:t>
      </w:r>
      <w:r>
        <w:rPr>
          <w:rFonts w:hint="eastAsia"/>
          <w:color w:val="333333"/>
          <w:szCs w:val="32"/>
          <w:shd w:val="clear" w:color="auto" w:fill="FFFFFF"/>
          <w:lang w:val="en-US" w:eastAsia="zh-CN"/>
        </w:rPr>
        <w:t>24.22</w:t>
      </w:r>
      <w:r>
        <w:rPr>
          <w:color w:val="333333"/>
          <w:szCs w:val="32"/>
          <w:shd w:val="clear" w:color="auto" w:fill="FFFFFF"/>
        </w:rPr>
        <w:t>分。其中满分三级指标</w:t>
      </w:r>
      <w:r>
        <w:rPr>
          <w:rFonts w:hint="eastAsia"/>
          <w:color w:val="333333"/>
          <w:szCs w:val="32"/>
          <w:shd w:val="clear" w:color="auto" w:fill="FFFFFF"/>
          <w:lang w:val="en-US" w:eastAsia="zh-CN"/>
        </w:rPr>
        <w:t>8</w:t>
      </w:r>
      <w:r>
        <w:rPr>
          <w:color w:val="333333"/>
          <w:szCs w:val="32"/>
          <w:shd w:val="clear" w:color="auto" w:fill="FFFFFF"/>
        </w:rPr>
        <w:t>个，扣分三级指标</w:t>
      </w:r>
      <w:r>
        <w:rPr>
          <w:rFonts w:hint="eastAsia"/>
          <w:color w:val="333333"/>
          <w:szCs w:val="32"/>
          <w:shd w:val="clear" w:color="auto" w:fill="FFFFFF"/>
          <w:lang w:val="en-US" w:eastAsia="zh-CN"/>
        </w:rPr>
        <w:t>1</w:t>
      </w:r>
      <w:r>
        <w:rPr>
          <w:color w:val="333333"/>
          <w:szCs w:val="32"/>
          <w:shd w:val="clear" w:color="auto" w:fill="FFFFFF"/>
        </w:rPr>
        <w:t>个。各指标得分情况明细如下：</w:t>
      </w:r>
    </w:p>
    <w:tbl>
      <w:tblPr>
        <w:tblStyle w:val="17"/>
        <w:tblW w:w="4998" w:type="pct"/>
        <w:tblInd w:w="0" w:type="dxa"/>
        <w:tblLayout w:type="autofit"/>
        <w:tblCellMar>
          <w:top w:w="0" w:type="dxa"/>
          <w:left w:w="108" w:type="dxa"/>
          <w:bottom w:w="0" w:type="dxa"/>
          <w:right w:w="108" w:type="dxa"/>
        </w:tblCellMar>
      </w:tblPr>
      <w:tblGrid>
        <w:gridCol w:w="997"/>
        <w:gridCol w:w="1476"/>
        <w:gridCol w:w="2199"/>
        <w:gridCol w:w="1345"/>
        <w:gridCol w:w="1367"/>
        <w:gridCol w:w="1135"/>
      </w:tblGrid>
      <w:tr w14:paraId="2C5B3F3C">
        <w:tblPrEx>
          <w:tblCellMar>
            <w:top w:w="0" w:type="dxa"/>
            <w:left w:w="108" w:type="dxa"/>
            <w:bottom w:w="0" w:type="dxa"/>
            <w:right w:w="108" w:type="dxa"/>
          </w:tblCellMar>
        </w:tblPrEx>
        <w:trPr>
          <w:trHeight w:val="270" w:hRule="atLeast"/>
          <w:tblHeader/>
        </w:trPr>
        <w:tc>
          <w:tcPr>
            <w:tcW w:w="5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5215">
            <w:pPr>
              <w:spacing w:line="240" w:lineRule="auto"/>
              <w:ind w:firstLine="0" w:firstLineChars="0"/>
              <w:jc w:val="center"/>
              <w:rPr>
                <w:rFonts w:eastAsia="宋体"/>
                <w:b/>
                <w:bCs/>
                <w:sz w:val="18"/>
                <w:szCs w:val="18"/>
              </w:rPr>
            </w:pPr>
            <w:r>
              <w:rPr>
                <w:rFonts w:eastAsia="宋体"/>
                <w:b/>
                <w:bCs/>
                <w:sz w:val="18"/>
                <w:szCs w:val="18"/>
              </w:rPr>
              <w:t>一级指标</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FC4AB">
            <w:pPr>
              <w:spacing w:line="240" w:lineRule="auto"/>
              <w:ind w:firstLine="0" w:firstLineChars="0"/>
              <w:jc w:val="center"/>
              <w:rPr>
                <w:rFonts w:eastAsia="宋体"/>
                <w:b/>
                <w:bCs/>
                <w:sz w:val="18"/>
                <w:szCs w:val="18"/>
              </w:rPr>
            </w:pPr>
            <w:r>
              <w:rPr>
                <w:rFonts w:eastAsia="宋体"/>
                <w:b/>
                <w:bCs/>
                <w:sz w:val="18"/>
                <w:szCs w:val="18"/>
              </w:rPr>
              <w:t>二级指标</w:t>
            </w:r>
          </w:p>
        </w:tc>
        <w:tc>
          <w:tcPr>
            <w:tcW w:w="1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DA8B">
            <w:pPr>
              <w:spacing w:line="240" w:lineRule="auto"/>
              <w:ind w:firstLine="0" w:firstLineChars="0"/>
              <w:jc w:val="center"/>
              <w:rPr>
                <w:rFonts w:eastAsia="宋体"/>
                <w:b/>
                <w:bCs/>
                <w:sz w:val="18"/>
                <w:szCs w:val="18"/>
              </w:rPr>
            </w:pPr>
            <w:r>
              <w:rPr>
                <w:rFonts w:eastAsia="宋体"/>
                <w:b/>
                <w:bCs/>
                <w:sz w:val="18"/>
                <w:szCs w:val="18"/>
              </w:rPr>
              <w:t>三级指标</w:t>
            </w:r>
          </w:p>
        </w:tc>
        <w:tc>
          <w:tcPr>
            <w:tcW w:w="7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DB3D">
            <w:pPr>
              <w:spacing w:line="240" w:lineRule="auto"/>
              <w:ind w:firstLine="0" w:firstLineChars="0"/>
              <w:jc w:val="center"/>
              <w:rPr>
                <w:rFonts w:eastAsia="宋体"/>
                <w:b/>
                <w:bCs/>
                <w:sz w:val="18"/>
                <w:szCs w:val="18"/>
              </w:rPr>
            </w:pPr>
            <w:r>
              <w:rPr>
                <w:rFonts w:eastAsia="宋体"/>
                <w:b/>
                <w:bCs/>
                <w:sz w:val="18"/>
                <w:szCs w:val="18"/>
              </w:rPr>
              <w:t>指标分值</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B9DB5">
            <w:pPr>
              <w:spacing w:line="240" w:lineRule="auto"/>
              <w:ind w:firstLine="0" w:firstLineChars="0"/>
              <w:jc w:val="center"/>
              <w:rPr>
                <w:rFonts w:eastAsia="宋体"/>
                <w:b/>
                <w:bCs/>
                <w:sz w:val="18"/>
                <w:szCs w:val="18"/>
              </w:rPr>
            </w:pPr>
            <w:r>
              <w:rPr>
                <w:rFonts w:eastAsia="宋体"/>
                <w:b/>
                <w:bCs/>
                <w:sz w:val="18"/>
                <w:szCs w:val="18"/>
              </w:rPr>
              <w:t>实现情况</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0DFC">
            <w:pPr>
              <w:spacing w:line="240" w:lineRule="auto"/>
              <w:ind w:firstLine="0" w:firstLineChars="0"/>
              <w:jc w:val="center"/>
              <w:rPr>
                <w:rFonts w:eastAsia="宋体"/>
                <w:b/>
                <w:bCs/>
                <w:sz w:val="18"/>
                <w:szCs w:val="18"/>
              </w:rPr>
            </w:pPr>
            <w:r>
              <w:rPr>
                <w:rFonts w:eastAsia="宋体"/>
                <w:b/>
                <w:bCs/>
                <w:sz w:val="18"/>
                <w:szCs w:val="18"/>
              </w:rPr>
              <w:t>实际得分</w:t>
            </w:r>
          </w:p>
        </w:tc>
      </w:tr>
      <w:tr w14:paraId="0847A162">
        <w:tblPrEx>
          <w:tblCellMar>
            <w:top w:w="0" w:type="dxa"/>
            <w:left w:w="108" w:type="dxa"/>
            <w:bottom w:w="0" w:type="dxa"/>
            <w:right w:w="108" w:type="dxa"/>
          </w:tblCellMar>
        </w:tblPrEx>
        <w:trPr>
          <w:trHeight w:val="414" w:hRule="atLeast"/>
        </w:trPr>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5AD99">
            <w:pPr>
              <w:spacing w:line="240" w:lineRule="auto"/>
              <w:ind w:firstLine="0" w:firstLineChars="0"/>
              <w:rPr>
                <w:rFonts w:eastAsia="宋体"/>
                <w:sz w:val="18"/>
                <w:szCs w:val="18"/>
              </w:rPr>
            </w:pPr>
            <w:r>
              <w:rPr>
                <w:rFonts w:eastAsia="宋体"/>
                <w:sz w:val="18"/>
                <w:szCs w:val="18"/>
              </w:rPr>
              <w:t>B2过程（25分）</w:t>
            </w:r>
          </w:p>
        </w:tc>
        <w:tc>
          <w:tcPr>
            <w:tcW w:w="8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1A763">
            <w:pPr>
              <w:spacing w:line="240" w:lineRule="auto"/>
              <w:ind w:firstLine="0" w:firstLineChars="0"/>
              <w:jc w:val="center"/>
              <w:rPr>
                <w:rFonts w:eastAsia="宋体"/>
                <w:sz w:val="18"/>
                <w:szCs w:val="18"/>
              </w:rPr>
            </w:pPr>
            <w:r>
              <w:rPr>
                <w:rFonts w:eastAsia="宋体"/>
                <w:sz w:val="18"/>
                <w:szCs w:val="18"/>
              </w:rPr>
              <w:t>B21资金管理</w:t>
            </w:r>
          </w:p>
          <w:p w14:paraId="6BEF74E0">
            <w:pPr>
              <w:spacing w:line="240" w:lineRule="auto"/>
              <w:ind w:firstLine="0" w:firstLineChars="0"/>
              <w:jc w:val="center"/>
              <w:rPr>
                <w:rFonts w:eastAsia="宋体"/>
                <w:sz w:val="18"/>
                <w:szCs w:val="18"/>
              </w:rPr>
            </w:pPr>
            <w:r>
              <w:rPr>
                <w:rFonts w:eastAsia="宋体"/>
                <w:sz w:val="18"/>
                <w:szCs w:val="18"/>
              </w:rPr>
              <w:t>（1</w:t>
            </w:r>
            <w:r>
              <w:rPr>
                <w:rFonts w:hint="eastAsia" w:eastAsia="宋体"/>
                <w:sz w:val="18"/>
                <w:szCs w:val="18"/>
                <w:lang w:val="en-US" w:eastAsia="zh-CN"/>
              </w:rPr>
              <w:t>1</w:t>
            </w:r>
            <w:r>
              <w:rPr>
                <w:rFonts w:eastAsia="宋体"/>
                <w:sz w:val="18"/>
                <w:szCs w:val="18"/>
              </w:rPr>
              <w:t>分）</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3B580">
            <w:pPr>
              <w:spacing w:line="240" w:lineRule="auto"/>
              <w:ind w:firstLine="0" w:firstLineChars="0"/>
              <w:rPr>
                <w:rFonts w:eastAsia="宋体"/>
                <w:sz w:val="18"/>
                <w:szCs w:val="18"/>
              </w:rPr>
            </w:pPr>
            <w:r>
              <w:rPr>
                <w:rFonts w:eastAsia="宋体"/>
                <w:sz w:val="18"/>
                <w:szCs w:val="18"/>
              </w:rPr>
              <w:t>B211资金到位率</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E0B7">
            <w:pPr>
              <w:spacing w:line="240" w:lineRule="auto"/>
              <w:ind w:firstLine="0" w:firstLineChars="0"/>
              <w:jc w:val="center"/>
              <w:rPr>
                <w:rFonts w:eastAsia="宋体"/>
                <w:sz w:val="18"/>
                <w:szCs w:val="18"/>
              </w:rPr>
            </w:pPr>
            <w:r>
              <w:rPr>
                <w:rFonts w:eastAsia="宋体"/>
                <w:sz w:val="18"/>
                <w:szCs w:val="18"/>
              </w:rPr>
              <w:t>3</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B7ED">
            <w:pPr>
              <w:spacing w:line="240" w:lineRule="auto"/>
              <w:ind w:firstLine="0" w:firstLineChars="0"/>
              <w:jc w:val="center"/>
              <w:rPr>
                <w:rFonts w:eastAsia="宋体"/>
                <w:sz w:val="18"/>
                <w:szCs w:val="18"/>
              </w:rPr>
            </w:pPr>
            <w:r>
              <w:rPr>
                <w:rFonts w:hint="eastAsia" w:eastAsia="宋体"/>
                <w:sz w:val="18"/>
                <w:szCs w:val="18"/>
                <w:lang w:val="en-US" w:eastAsia="zh-CN"/>
              </w:rPr>
              <w:t>100</w:t>
            </w:r>
            <w:r>
              <w:rPr>
                <w:rFonts w:hint="eastAsia" w:eastAsia="宋体"/>
                <w:sz w:val="18"/>
                <w:szCs w:val="18"/>
              </w:rPr>
              <w:t>%</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EB37">
            <w:pPr>
              <w:spacing w:line="240" w:lineRule="auto"/>
              <w:ind w:firstLine="0" w:firstLineChars="0"/>
              <w:jc w:val="center"/>
              <w:rPr>
                <w:rFonts w:hint="default" w:eastAsia="宋体"/>
                <w:sz w:val="18"/>
                <w:szCs w:val="18"/>
                <w:lang w:val="en-US" w:eastAsia="zh-CN"/>
              </w:rPr>
            </w:pPr>
            <w:r>
              <w:rPr>
                <w:rFonts w:hint="eastAsia" w:eastAsia="宋体"/>
                <w:sz w:val="18"/>
                <w:szCs w:val="18"/>
                <w:lang w:val="en-US" w:eastAsia="zh-CN"/>
              </w:rPr>
              <w:t>3</w:t>
            </w:r>
          </w:p>
        </w:tc>
      </w:tr>
      <w:tr w14:paraId="2654271D">
        <w:tblPrEx>
          <w:tblCellMar>
            <w:top w:w="0" w:type="dxa"/>
            <w:left w:w="108" w:type="dxa"/>
            <w:bottom w:w="0" w:type="dxa"/>
            <w:right w:w="108" w:type="dxa"/>
          </w:tblCellMar>
        </w:tblPrEx>
        <w:trPr>
          <w:trHeight w:val="362"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6DE94">
            <w:pPr>
              <w:spacing w:line="240" w:lineRule="auto"/>
              <w:ind w:firstLine="0" w:firstLineChars="0"/>
              <w:rPr>
                <w:rFonts w:eastAsia="宋体"/>
                <w:sz w:val="18"/>
                <w:szCs w:val="18"/>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5B387">
            <w:pPr>
              <w:spacing w:line="240" w:lineRule="auto"/>
              <w:ind w:firstLine="0" w:firstLineChars="0"/>
              <w:jc w:val="center"/>
              <w:rPr>
                <w:rFonts w:eastAsia="宋体"/>
                <w:sz w:val="18"/>
                <w:szCs w:val="18"/>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FAC3">
            <w:pPr>
              <w:spacing w:line="240" w:lineRule="auto"/>
              <w:ind w:firstLine="0" w:firstLineChars="0"/>
              <w:rPr>
                <w:rFonts w:eastAsia="宋体"/>
                <w:sz w:val="18"/>
                <w:szCs w:val="18"/>
              </w:rPr>
            </w:pPr>
            <w:r>
              <w:rPr>
                <w:rFonts w:eastAsia="宋体"/>
                <w:sz w:val="18"/>
                <w:szCs w:val="18"/>
              </w:rPr>
              <w:t>B212预算执行率</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F7EF">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3</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77A5">
            <w:pPr>
              <w:spacing w:line="240" w:lineRule="auto"/>
              <w:ind w:firstLine="0" w:firstLineChars="0"/>
              <w:jc w:val="center"/>
              <w:rPr>
                <w:rFonts w:eastAsia="宋体"/>
                <w:sz w:val="18"/>
                <w:szCs w:val="18"/>
              </w:rPr>
            </w:pPr>
            <w:r>
              <w:rPr>
                <w:rFonts w:hint="eastAsia" w:eastAsia="宋体"/>
                <w:sz w:val="18"/>
                <w:szCs w:val="18"/>
                <w:lang w:val="en-US" w:eastAsia="zh-CN"/>
              </w:rPr>
              <w:t>74</w:t>
            </w:r>
            <w:r>
              <w:rPr>
                <w:rFonts w:hint="eastAsia" w:eastAsia="宋体"/>
                <w:sz w:val="18"/>
                <w:szCs w:val="18"/>
              </w:rPr>
              <w:t>%</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DD63">
            <w:pPr>
              <w:spacing w:line="240" w:lineRule="auto"/>
              <w:ind w:firstLine="0" w:firstLineChars="0"/>
              <w:jc w:val="center"/>
              <w:rPr>
                <w:rFonts w:hint="default" w:eastAsia="宋体"/>
                <w:sz w:val="18"/>
                <w:szCs w:val="18"/>
                <w:lang w:val="en-US" w:eastAsia="zh-CN"/>
              </w:rPr>
            </w:pPr>
            <w:r>
              <w:rPr>
                <w:rFonts w:hint="eastAsia" w:eastAsia="宋体"/>
                <w:sz w:val="18"/>
                <w:szCs w:val="18"/>
                <w:lang w:val="en-US" w:eastAsia="zh-CN"/>
              </w:rPr>
              <w:t>2.22</w:t>
            </w:r>
          </w:p>
        </w:tc>
      </w:tr>
      <w:tr w14:paraId="7C875AEF">
        <w:tblPrEx>
          <w:tblCellMar>
            <w:top w:w="0" w:type="dxa"/>
            <w:left w:w="108" w:type="dxa"/>
            <w:bottom w:w="0" w:type="dxa"/>
            <w:right w:w="108" w:type="dxa"/>
          </w:tblCellMar>
        </w:tblPrEx>
        <w:trPr>
          <w:trHeight w:val="510"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D38AA">
            <w:pPr>
              <w:spacing w:line="240" w:lineRule="auto"/>
              <w:ind w:firstLine="0" w:firstLineChars="0"/>
              <w:rPr>
                <w:rFonts w:eastAsia="宋体"/>
                <w:sz w:val="18"/>
                <w:szCs w:val="18"/>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7CEB">
            <w:pPr>
              <w:spacing w:line="240" w:lineRule="auto"/>
              <w:ind w:firstLine="0" w:firstLineChars="0"/>
              <w:jc w:val="center"/>
              <w:rPr>
                <w:rFonts w:eastAsia="宋体"/>
                <w:sz w:val="18"/>
                <w:szCs w:val="18"/>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0ED3">
            <w:pPr>
              <w:spacing w:line="240" w:lineRule="auto"/>
              <w:ind w:firstLine="0" w:firstLineChars="0"/>
              <w:rPr>
                <w:rFonts w:eastAsia="宋体"/>
                <w:sz w:val="18"/>
                <w:szCs w:val="18"/>
              </w:rPr>
            </w:pPr>
            <w:r>
              <w:rPr>
                <w:rFonts w:eastAsia="宋体"/>
                <w:sz w:val="18"/>
                <w:szCs w:val="18"/>
              </w:rPr>
              <w:t>B213资金使用合规性</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8B20">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3</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EF44">
            <w:pPr>
              <w:spacing w:line="240" w:lineRule="auto"/>
              <w:ind w:firstLine="0" w:firstLineChars="0"/>
              <w:jc w:val="center"/>
              <w:rPr>
                <w:rFonts w:eastAsia="宋体"/>
                <w:sz w:val="18"/>
                <w:szCs w:val="18"/>
              </w:rPr>
            </w:pPr>
            <w:r>
              <w:rPr>
                <w:rFonts w:eastAsia="宋体"/>
                <w:sz w:val="18"/>
                <w:szCs w:val="18"/>
              </w:rPr>
              <w:t>合规</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D6B8">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3</w:t>
            </w:r>
          </w:p>
        </w:tc>
      </w:tr>
      <w:tr w14:paraId="1FCA5F9A">
        <w:tblPrEx>
          <w:tblCellMar>
            <w:top w:w="0" w:type="dxa"/>
            <w:left w:w="108" w:type="dxa"/>
            <w:bottom w:w="0" w:type="dxa"/>
            <w:right w:w="108" w:type="dxa"/>
          </w:tblCellMar>
        </w:tblPrEx>
        <w:trPr>
          <w:trHeight w:val="510"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87A08">
            <w:pPr>
              <w:spacing w:line="240" w:lineRule="auto"/>
              <w:ind w:firstLine="0" w:firstLineChars="0"/>
              <w:rPr>
                <w:rFonts w:eastAsia="宋体"/>
                <w:sz w:val="18"/>
                <w:szCs w:val="18"/>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E84D0">
            <w:pPr>
              <w:spacing w:line="240" w:lineRule="auto"/>
              <w:ind w:firstLine="0" w:firstLineChars="0"/>
              <w:jc w:val="center"/>
              <w:rPr>
                <w:rFonts w:eastAsia="宋体"/>
                <w:sz w:val="18"/>
                <w:szCs w:val="18"/>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9D56F">
            <w:pPr>
              <w:spacing w:line="240" w:lineRule="auto"/>
              <w:ind w:firstLine="0" w:firstLineChars="0"/>
              <w:rPr>
                <w:rFonts w:eastAsia="宋体"/>
                <w:sz w:val="18"/>
                <w:szCs w:val="18"/>
              </w:rPr>
            </w:pPr>
            <w:r>
              <w:rPr>
                <w:rFonts w:eastAsia="宋体"/>
                <w:sz w:val="18"/>
                <w:szCs w:val="18"/>
              </w:rPr>
              <w:t>B214会计核算规范性</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DF42A">
            <w:pPr>
              <w:spacing w:line="240" w:lineRule="auto"/>
              <w:ind w:firstLine="0" w:firstLineChars="0"/>
              <w:jc w:val="center"/>
              <w:rPr>
                <w:rFonts w:eastAsia="宋体"/>
                <w:sz w:val="18"/>
                <w:szCs w:val="18"/>
              </w:rPr>
            </w:pPr>
            <w:r>
              <w:rPr>
                <w:rFonts w:hint="eastAsia" w:eastAsia="宋体"/>
                <w:sz w:val="18"/>
                <w:szCs w:val="18"/>
              </w:rPr>
              <w:t>2</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DE60">
            <w:pPr>
              <w:spacing w:line="240" w:lineRule="auto"/>
              <w:ind w:firstLine="0" w:firstLineChars="0"/>
              <w:jc w:val="center"/>
              <w:rPr>
                <w:rFonts w:eastAsia="宋体"/>
                <w:sz w:val="18"/>
                <w:szCs w:val="18"/>
              </w:rPr>
            </w:pPr>
            <w:r>
              <w:rPr>
                <w:rFonts w:hint="eastAsia" w:eastAsia="宋体"/>
                <w:sz w:val="18"/>
                <w:szCs w:val="18"/>
                <w:lang w:val="en-US" w:eastAsia="zh-CN"/>
              </w:rPr>
              <w:t>核算</w:t>
            </w:r>
            <w:r>
              <w:rPr>
                <w:rFonts w:eastAsia="宋体"/>
                <w:sz w:val="18"/>
                <w:szCs w:val="18"/>
              </w:rPr>
              <w:t>规范</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F107">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2</w:t>
            </w:r>
          </w:p>
        </w:tc>
      </w:tr>
      <w:tr w14:paraId="1AB6468B">
        <w:tblPrEx>
          <w:tblCellMar>
            <w:top w:w="0" w:type="dxa"/>
            <w:left w:w="108" w:type="dxa"/>
            <w:bottom w:w="0" w:type="dxa"/>
            <w:right w:w="108" w:type="dxa"/>
          </w:tblCellMar>
        </w:tblPrEx>
        <w:trPr>
          <w:trHeight w:val="384"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26A6B">
            <w:pPr>
              <w:spacing w:line="240" w:lineRule="auto"/>
              <w:ind w:firstLine="0" w:firstLineChars="0"/>
              <w:rPr>
                <w:rFonts w:eastAsia="宋体"/>
                <w:sz w:val="18"/>
                <w:szCs w:val="18"/>
              </w:rPr>
            </w:pPr>
          </w:p>
        </w:tc>
        <w:tc>
          <w:tcPr>
            <w:tcW w:w="8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94BB0">
            <w:pPr>
              <w:spacing w:line="240" w:lineRule="auto"/>
              <w:ind w:firstLine="0" w:firstLineChars="0"/>
              <w:jc w:val="center"/>
              <w:rPr>
                <w:rFonts w:eastAsia="宋体"/>
                <w:sz w:val="18"/>
                <w:szCs w:val="18"/>
              </w:rPr>
            </w:pPr>
            <w:r>
              <w:rPr>
                <w:rFonts w:eastAsia="宋体"/>
                <w:sz w:val="18"/>
                <w:szCs w:val="18"/>
              </w:rPr>
              <w:t>B22组织实</w:t>
            </w:r>
            <w:r>
              <w:rPr>
                <w:rFonts w:hint="eastAsia" w:eastAsia="宋体"/>
                <w:sz w:val="18"/>
                <w:szCs w:val="18"/>
              </w:rPr>
              <w:t>施</w:t>
            </w:r>
          </w:p>
          <w:p w14:paraId="6A5956FB">
            <w:pPr>
              <w:spacing w:line="240" w:lineRule="auto"/>
              <w:ind w:firstLine="0" w:firstLineChars="0"/>
              <w:jc w:val="center"/>
              <w:rPr>
                <w:rFonts w:eastAsia="宋体"/>
                <w:sz w:val="18"/>
                <w:szCs w:val="18"/>
              </w:rPr>
            </w:pPr>
            <w:r>
              <w:rPr>
                <w:rFonts w:eastAsia="宋体"/>
                <w:sz w:val="18"/>
                <w:szCs w:val="18"/>
              </w:rPr>
              <w:t>（1</w:t>
            </w:r>
            <w:r>
              <w:rPr>
                <w:rFonts w:hint="eastAsia" w:eastAsia="宋体"/>
                <w:sz w:val="18"/>
                <w:szCs w:val="18"/>
                <w:lang w:val="en-US" w:eastAsia="zh-CN"/>
              </w:rPr>
              <w:t>4</w:t>
            </w:r>
            <w:r>
              <w:rPr>
                <w:rFonts w:eastAsia="宋体"/>
                <w:sz w:val="18"/>
                <w:szCs w:val="18"/>
              </w:rPr>
              <w:t>分）</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D64C">
            <w:pPr>
              <w:spacing w:line="240" w:lineRule="auto"/>
              <w:ind w:firstLine="0" w:firstLineChars="0"/>
              <w:rPr>
                <w:rFonts w:eastAsia="宋体"/>
                <w:sz w:val="18"/>
                <w:szCs w:val="18"/>
              </w:rPr>
            </w:pPr>
            <w:r>
              <w:rPr>
                <w:rFonts w:eastAsia="宋体"/>
                <w:sz w:val="18"/>
                <w:szCs w:val="18"/>
              </w:rPr>
              <w:t>B221绩效自评</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BBF6F">
            <w:pPr>
              <w:spacing w:line="240" w:lineRule="auto"/>
              <w:ind w:firstLine="0" w:firstLineChars="0"/>
              <w:jc w:val="center"/>
              <w:rPr>
                <w:rFonts w:eastAsia="宋体"/>
                <w:sz w:val="18"/>
                <w:szCs w:val="18"/>
              </w:rPr>
            </w:pPr>
            <w:r>
              <w:rPr>
                <w:rFonts w:eastAsia="宋体"/>
                <w:sz w:val="18"/>
                <w:szCs w:val="18"/>
              </w:rPr>
              <w:t>2</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C40A">
            <w:pPr>
              <w:spacing w:line="240" w:lineRule="auto"/>
              <w:ind w:firstLine="0" w:firstLineChars="0"/>
              <w:jc w:val="center"/>
              <w:rPr>
                <w:rFonts w:eastAsia="宋体"/>
                <w:sz w:val="18"/>
                <w:szCs w:val="18"/>
              </w:rPr>
            </w:pPr>
            <w:r>
              <w:rPr>
                <w:rFonts w:eastAsia="宋体"/>
                <w:sz w:val="18"/>
                <w:szCs w:val="18"/>
              </w:rPr>
              <w:t>已自评</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9A3F">
            <w:pPr>
              <w:spacing w:line="240" w:lineRule="auto"/>
              <w:ind w:firstLine="0" w:firstLineChars="0"/>
              <w:jc w:val="center"/>
              <w:rPr>
                <w:rFonts w:eastAsia="宋体"/>
                <w:sz w:val="18"/>
                <w:szCs w:val="18"/>
              </w:rPr>
            </w:pPr>
            <w:r>
              <w:rPr>
                <w:rFonts w:eastAsia="宋体"/>
                <w:sz w:val="18"/>
                <w:szCs w:val="18"/>
              </w:rPr>
              <w:t>2</w:t>
            </w:r>
          </w:p>
        </w:tc>
      </w:tr>
      <w:tr w14:paraId="57A60B97">
        <w:tblPrEx>
          <w:tblCellMar>
            <w:top w:w="0" w:type="dxa"/>
            <w:left w:w="108" w:type="dxa"/>
            <w:bottom w:w="0" w:type="dxa"/>
            <w:right w:w="108" w:type="dxa"/>
          </w:tblCellMar>
        </w:tblPrEx>
        <w:trPr>
          <w:trHeight w:val="440"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D0C4D">
            <w:pPr>
              <w:spacing w:line="240" w:lineRule="auto"/>
              <w:ind w:firstLine="0" w:firstLineChars="0"/>
              <w:rPr>
                <w:rFonts w:eastAsia="宋体"/>
                <w:sz w:val="18"/>
                <w:szCs w:val="18"/>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DBC97">
            <w:pPr>
              <w:spacing w:line="240" w:lineRule="auto"/>
              <w:ind w:firstLine="0" w:firstLineChars="0"/>
              <w:rPr>
                <w:rFonts w:eastAsia="宋体"/>
                <w:sz w:val="18"/>
                <w:szCs w:val="18"/>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C5CC">
            <w:pPr>
              <w:spacing w:line="240" w:lineRule="auto"/>
              <w:ind w:firstLine="0" w:firstLineChars="0"/>
              <w:rPr>
                <w:rFonts w:eastAsia="宋体"/>
                <w:sz w:val="18"/>
                <w:szCs w:val="18"/>
              </w:rPr>
            </w:pPr>
            <w:r>
              <w:rPr>
                <w:rFonts w:eastAsia="宋体"/>
                <w:sz w:val="18"/>
                <w:szCs w:val="18"/>
              </w:rPr>
              <w:t>B222管理制度健全性</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8EDE4">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3</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01F1">
            <w:pPr>
              <w:spacing w:line="240" w:lineRule="auto"/>
              <w:ind w:firstLine="0" w:firstLineChars="0"/>
              <w:jc w:val="center"/>
              <w:rPr>
                <w:rFonts w:eastAsia="宋体"/>
                <w:sz w:val="18"/>
                <w:szCs w:val="18"/>
              </w:rPr>
            </w:pPr>
            <w:r>
              <w:rPr>
                <w:rFonts w:eastAsia="宋体"/>
                <w:sz w:val="18"/>
                <w:szCs w:val="18"/>
              </w:rPr>
              <w:t>健全</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6AA5">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3</w:t>
            </w:r>
          </w:p>
        </w:tc>
      </w:tr>
      <w:tr w14:paraId="56F4D145">
        <w:tblPrEx>
          <w:tblCellMar>
            <w:top w:w="0" w:type="dxa"/>
            <w:left w:w="108" w:type="dxa"/>
            <w:bottom w:w="0" w:type="dxa"/>
            <w:right w:w="108" w:type="dxa"/>
          </w:tblCellMar>
        </w:tblPrEx>
        <w:trPr>
          <w:trHeight w:val="510"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77CEB">
            <w:pPr>
              <w:spacing w:line="240" w:lineRule="auto"/>
              <w:ind w:firstLine="0" w:firstLineChars="0"/>
              <w:rPr>
                <w:rFonts w:eastAsia="宋体"/>
                <w:sz w:val="18"/>
                <w:szCs w:val="18"/>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00DC6">
            <w:pPr>
              <w:spacing w:line="240" w:lineRule="auto"/>
              <w:ind w:firstLine="0" w:firstLineChars="0"/>
              <w:rPr>
                <w:rFonts w:eastAsia="宋体"/>
                <w:sz w:val="18"/>
                <w:szCs w:val="18"/>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4CEE">
            <w:pPr>
              <w:spacing w:line="240" w:lineRule="auto"/>
              <w:ind w:firstLine="0" w:firstLineChars="0"/>
              <w:rPr>
                <w:rFonts w:eastAsia="宋体"/>
                <w:sz w:val="18"/>
                <w:szCs w:val="18"/>
              </w:rPr>
            </w:pPr>
            <w:r>
              <w:rPr>
                <w:rFonts w:eastAsia="宋体"/>
                <w:sz w:val="18"/>
                <w:szCs w:val="18"/>
              </w:rPr>
              <w:t>B223制度执行有效性</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D24CB">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3</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73E3">
            <w:pPr>
              <w:spacing w:line="240" w:lineRule="auto"/>
              <w:ind w:firstLine="0" w:firstLineChars="0"/>
              <w:jc w:val="center"/>
              <w:rPr>
                <w:rFonts w:eastAsia="宋体"/>
                <w:sz w:val="18"/>
                <w:szCs w:val="18"/>
              </w:rPr>
            </w:pPr>
            <w:r>
              <w:rPr>
                <w:rFonts w:eastAsia="宋体"/>
                <w:sz w:val="18"/>
                <w:szCs w:val="18"/>
              </w:rPr>
              <w:t>有效</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93C4">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3</w:t>
            </w:r>
          </w:p>
        </w:tc>
      </w:tr>
      <w:tr w14:paraId="1E45F1E8">
        <w:tblPrEx>
          <w:tblCellMar>
            <w:top w:w="0" w:type="dxa"/>
            <w:left w:w="108" w:type="dxa"/>
            <w:bottom w:w="0" w:type="dxa"/>
            <w:right w:w="108" w:type="dxa"/>
          </w:tblCellMar>
        </w:tblPrEx>
        <w:trPr>
          <w:trHeight w:val="510"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BFB32">
            <w:pPr>
              <w:spacing w:line="240" w:lineRule="auto"/>
              <w:ind w:firstLine="0" w:firstLineChars="0"/>
              <w:rPr>
                <w:rFonts w:eastAsia="宋体"/>
                <w:sz w:val="18"/>
                <w:szCs w:val="18"/>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E902F">
            <w:pPr>
              <w:spacing w:line="240" w:lineRule="auto"/>
              <w:ind w:firstLine="0" w:firstLineChars="0"/>
              <w:rPr>
                <w:rFonts w:eastAsia="宋体"/>
                <w:sz w:val="18"/>
                <w:szCs w:val="18"/>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00CA">
            <w:pPr>
              <w:spacing w:line="240" w:lineRule="auto"/>
              <w:ind w:firstLine="0" w:firstLineChars="0"/>
              <w:rPr>
                <w:rFonts w:eastAsia="宋体"/>
                <w:sz w:val="18"/>
                <w:szCs w:val="18"/>
              </w:rPr>
            </w:pPr>
            <w:r>
              <w:rPr>
                <w:rFonts w:hint="eastAsia" w:eastAsia="宋体"/>
                <w:sz w:val="18"/>
                <w:szCs w:val="18"/>
              </w:rPr>
              <w:t>B224监督检查</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EC078">
            <w:pPr>
              <w:spacing w:line="240" w:lineRule="auto"/>
              <w:ind w:firstLine="0" w:firstLineChars="0"/>
              <w:jc w:val="center"/>
              <w:rPr>
                <w:rFonts w:hint="eastAsia" w:eastAsia="宋体"/>
                <w:sz w:val="18"/>
                <w:szCs w:val="18"/>
                <w:lang w:val="en-US" w:eastAsia="zh-CN"/>
              </w:rPr>
            </w:pPr>
            <w:r>
              <w:rPr>
                <w:rFonts w:hint="eastAsia" w:eastAsia="宋体"/>
                <w:sz w:val="18"/>
                <w:szCs w:val="18"/>
                <w:lang w:val="en-US" w:eastAsia="zh-CN"/>
              </w:rPr>
              <w:t>4</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262F">
            <w:pPr>
              <w:spacing w:line="240" w:lineRule="auto"/>
              <w:ind w:firstLine="0" w:firstLineChars="0"/>
              <w:jc w:val="center"/>
              <w:rPr>
                <w:rFonts w:hint="default" w:eastAsia="宋体"/>
                <w:sz w:val="18"/>
                <w:szCs w:val="18"/>
                <w:lang w:val="en-US" w:eastAsia="zh-CN"/>
              </w:rPr>
            </w:pPr>
            <w:r>
              <w:rPr>
                <w:rFonts w:hint="eastAsia" w:eastAsia="宋体"/>
                <w:sz w:val="18"/>
                <w:szCs w:val="18"/>
                <w:lang w:val="en-US" w:eastAsia="zh-CN"/>
              </w:rPr>
              <w:t>监督有效</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8A62">
            <w:pPr>
              <w:spacing w:line="240" w:lineRule="auto"/>
              <w:ind w:firstLine="0" w:firstLineChars="0"/>
              <w:jc w:val="center"/>
              <w:rPr>
                <w:rFonts w:hint="eastAsia" w:eastAsia="宋体"/>
                <w:sz w:val="18"/>
                <w:szCs w:val="18"/>
                <w:lang w:val="en-US" w:eastAsia="zh-CN"/>
              </w:rPr>
            </w:pPr>
            <w:r>
              <w:rPr>
                <w:rFonts w:hint="eastAsia" w:eastAsia="宋体"/>
                <w:sz w:val="18"/>
                <w:szCs w:val="18"/>
                <w:lang w:val="en-US" w:eastAsia="zh-CN"/>
              </w:rPr>
              <w:t>4</w:t>
            </w:r>
          </w:p>
        </w:tc>
      </w:tr>
      <w:tr w14:paraId="651F7DC9">
        <w:tblPrEx>
          <w:tblCellMar>
            <w:top w:w="0" w:type="dxa"/>
            <w:left w:w="108" w:type="dxa"/>
            <w:bottom w:w="0" w:type="dxa"/>
            <w:right w:w="108" w:type="dxa"/>
          </w:tblCellMar>
        </w:tblPrEx>
        <w:trPr>
          <w:trHeight w:val="510" w:hRule="atLeast"/>
        </w:trPr>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F9331">
            <w:pPr>
              <w:spacing w:line="240" w:lineRule="auto"/>
              <w:ind w:firstLine="0" w:firstLineChars="0"/>
              <w:rPr>
                <w:rFonts w:eastAsia="宋体"/>
                <w:sz w:val="18"/>
                <w:szCs w:val="18"/>
              </w:rPr>
            </w:pPr>
          </w:p>
        </w:tc>
        <w:tc>
          <w:tcPr>
            <w:tcW w:w="8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916AD">
            <w:pPr>
              <w:spacing w:line="240" w:lineRule="auto"/>
              <w:ind w:firstLine="0" w:firstLineChars="0"/>
              <w:rPr>
                <w:rFonts w:eastAsia="宋体"/>
                <w:sz w:val="18"/>
                <w:szCs w:val="18"/>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7C909">
            <w:pPr>
              <w:spacing w:line="240" w:lineRule="auto"/>
              <w:ind w:firstLine="0" w:firstLineChars="0"/>
              <w:rPr>
                <w:rFonts w:eastAsia="宋体"/>
                <w:sz w:val="18"/>
                <w:szCs w:val="18"/>
              </w:rPr>
            </w:pPr>
            <w:r>
              <w:rPr>
                <w:rFonts w:eastAsia="宋体"/>
                <w:sz w:val="18"/>
                <w:szCs w:val="18"/>
              </w:rPr>
              <w:t>B22</w:t>
            </w:r>
            <w:r>
              <w:rPr>
                <w:rFonts w:hint="eastAsia" w:eastAsia="宋体"/>
                <w:sz w:val="18"/>
                <w:szCs w:val="18"/>
                <w:lang w:val="en-US" w:eastAsia="zh-CN"/>
              </w:rPr>
              <w:t>5</w:t>
            </w:r>
            <w:r>
              <w:rPr>
                <w:rFonts w:eastAsia="宋体"/>
                <w:sz w:val="18"/>
                <w:szCs w:val="18"/>
              </w:rPr>
              <w:t>档案管理规范性</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81E1C">
            <w:pPr>
              <w:spacing w:line="240" w:lineRule="auto"/>
              <w:ind w:firstLine="0" w:firstLineChars="0"/>
              <w:jc w:val="center"/>
              <w:rPr>
                <w:rFonts w:eastAsia="宋体"/>
                <w:sz w:val="18"/>
                <w:szCs w:val="18"/>
              </w:rPr>
            </w:pPr>
            <w:r>
              <w:rPr>
                <w:rFonts w:hint="eastAsia" w:eastAsia="宋体"/>
                <w:sz w:val="18"/>
                <w:szCs w:val="18"/>
              </w:rPr>
              <w:t>2</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7E8B8">
            <w:pPr>
              <w:spacing w:line="240" w:lineRule="auto"/>
              <w:ind w:firstLine="0" w:firstLineChars="0"/>
              <w:jc w:val="center"/>
              <w:rPr>
                <w:rFonts w:eastAsia="宋体"/>
                <w:sz w:val="18"/>
                <w:szCs w:val="18"/>
              </w:rPr>
            </w:pPr>
            <w:r>
              <w:rPr>
                <w:rFonts w:eastAsia="宋体"/>
                <w:sz w:val="18"/>
                <w:szCs w:val="18"/>
              </w:rPr>
              <w:t>管理规范</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BECD">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2</w:t>
            </w:r>
          </w:p>
        </w:tc>
      </w:tr>
    </w:tbl>
    <w:p w14:paraId="04297485">
      <w:pPr>
        <w:pStyle w:val="5"/>
        <w:ind w:firstLine="560"/>
        <w:rPr>
          <w:rFonts w:ascii="Times New Roman" w:hAnsi="Times New Roman" w:cs="Times New Roman"/>
        </w:rPr>
      </w:pPr>
      <w:r>
        <w:rPr>
          <w:rFonts w:ascii="Times New Roman" w:hAnsi="Times New Roman" w:cs="Times New Roman"/>
        </w:rPr>
        <w:t>B21．资金管理。指标分值1</w:t>
      </w:r>
      <w:r>
        <w:rPr>
          <w:rFonts w:hint="eastAsia" w:ascii="Times New Roman" w:hAnsi="Times New Roman" w:cs="Times New Roman"/>
          <w:lang w:val="en-US" w:eastAsia="zh-CN"/>
        </w:rPr>
        <w:t>1</w:t>
      </w:r>
      <w:r>
        <w:rPr>
          <w:rFonts w:ascii="Times New Roman" w:hAnsi="Times New Roman" w:cs="Times New Roman"/>
        </w:rPr>
        <w:t>分，实际得</w:t>
      </w:r>
      <w:r>
        <w:rPr>
          <w:rFonts w:hint="eastAsia" w:ascii="Times New Roman" w:hAnsi="Times New Roman" w:cs="Times New Roman"/>
          <w:lang w:val="en-US" w:eastAsia="zh-CN"/>
        </w:rPr>
        <w:t>10.22</w:t>
      </w:r>
      <w:r>
        <w:rPr>
          <w:rFonts w:ascii="Times New Roman" w:hAnsi="Times New Roman" w:cs="Times New Roman"/>
        </w:rPr>
        <w:t>分。</w:t>
      </w:r>
    </w:p>
    <w:p w14:paraId="4567C664">
      <w:pPr>
        <w:pStyle w:val="6"/>
        <w:ind w:firstLine="560"/>
      </w:pPr>
      <w:r>
        <w:t>B211．资金到位率。指标分值3分，实际得</w:t>
      </w:r>
      <w:r>
        <w:rPr>
          <w:rFonts w:hint="eastAsia"/>
          <w:lang w:val="en-US" w:eastAsia="zh-CN"/>
        </w:rPr>
        <w:t>3</w:t>
      </w:r>
      <w:r>
        <w:t>分。</w:t>
      </w:r>
    </w:p>
    <w:p w14:paraId="3932CD62">
      <w:pPr>
        <w:ind w:firstLine="560"/>
        <w:rPr>
          <w:color w:val="333333"/>
          <w:szCs w:val="32"/>
          <w:shd w:val="clear" w:color="auto" w:fill="FFFFFF"/>
        </w:rPr>
      </w:pPr>
      <w:r>
        <w:rPr>
          <w:color w:val="333333"/>
          <w:szCs w:val="32"/>
          <w:shd w:val="clear" w:color="auto" w:fill="FFFFFF"/>
        </w:rPr>
        <w:t>该项指标考核资金落实情况对项目实施的总体保障程度。得分明细如下：</w:t>
      </w:r>
    </w:p>
    <w:p w14:paraId="6CFE0762">
      <w:pPr>
        <w:ind w:firstLine="560"/>
        <w:rPr>
          <w:color w:val="333333"/>
          <w:szCs w:val="32"/>
          <w:shd w:val="clear" w:color="auto" w:fill="FFFFFF"/>
        </w:rPr>
      </w:pPr>
      <w:r>
        <w:rPr>
          <w:rFonts w:hint="eastAsia"/>
          <w:color w:val="333333"/>
          <w:szCs w:val="32"/>
          <w:shd w:val="clear" w:color="auto" w:fill="FFFFFF"/>
        </w:rPr>
        <w:t>2024年度养老服务设施建设及运营、管理服务补助经费（老年食堂）项目年初预算15,612,000.00元，安宁市财政局下达本级预算资金15,612,000.00元</w:t>
      </w:r>
      <w:r>
        <w:rPr>
          <w:color w:val="333333"/>
          <w:szCs w:val="32"/>
          <w:shd w:val="clear" w:color="auto" w:fill="FFFFFF"/>
        </w:rPr>
        <w:t>，</w:t>
      </w:r>
      <w:r>
        <w:rPr>
          <w:rFonts w:hint="eastAsia"/>
          <w:color w:val="333333"/>
          <w:szCs w:val="32"/>
          <w:shd w:val="clear" w:color="auto" w:fill="FFFFFF"/>
        </w:rPr>
        <w:t>资金到位率=（实际到位资金/预算资金）×100%=（15,612,000.00÷15,612,000.00）×100%=100%。资金到位率得分=资金到位率100%×3分，</w:t>
      </w:r>
      <w:r>
        <w:t>根据评分标准得</w:t>
      </w:r>
      <w:r>
        <w:rPr>
          <w:rFonts w:hint="eastAsia"/>
        </w:rPr>
        <w:t>3</w:t>
      </w:r>
      <w:r>
        <w:t>分</w:t>
      </w:r>
      <w:r>
        <w:rPr>
          <w:rFonts w:hint="eastAsia"/>
          <w:color w:val="333333"/>
          <w:szCs w:val="32"/>
          <w:shd w:val="clear" w:color="auto" w:fill="FFFFFF"/>
        </w:rPr>
        <w:t>。</w:t>
      </w:r>
    </w:p>
    <w:p w14:paraId="686E322F">
      <w:pPr>
        <w:pStyle w:val="6"/>
        <w:ind w:firstLine="560"/>
      </w:pPr>
      <w:r>
        <w:t>B212．预算执行率。指标分值</w:t>
      </w:r>
      <w:r>
        <w:rPr>
          <w:rFonts w:hint="eastAsia"/>
          <w:lang w:val="en-US" w:eastAsia="zh-CN"/>
        </w:rPr>
        <w:t>3</w:t>
      </w:r>
      <w:r>
        <w:t>分，实际得</w:t>
      </w:r>
      <w:r>
        <w:rPr>
          <w:rFonts w:hint="eastAsia"/>
          <w:lang w:val="en-US" w:eastAsia="zh-CN"/>
        </w:rPr>
        <w:t>2.22</w:t>
      </w:r>
      <w:r>
        <w:t>分。</w:t>
      </w:r>
    </w:p>
    <w:p w14:paraId="66883161">
      <w:pPr>
        <w:ind w:firstLine="560"/>
        <w:rPr>
          <w:color w:val="333333"/>
          <w:szCs w:val="32"/>
          <w:shd w:val="clear" w:color="auto" w:fill="FFFFFF"/>
        </w:rPr>
      </w:pPr>
      <w:r>
        <w:rPr>
          <w:color w:val="333333"/>
          <w:szCs w:val="32"/>
          <w:shd w:val="clear" w:color="auto" w:fill="FFFFFF"/>
        </w:rPr>
        <w:t>该项指标用以反映项目预算资金是否按照计划执行，考核项目预算执行情况。得分明细如下：</w:t>
      </w:r>
    </w:p>
    <w:p w14:paraId="11DB3D31">
      <w:pPr>
        <w:ind w:firstLine="560"/>
        <w:rPr>
          <w:color w:val="333333"/>
          <w:szCs w:val="32"/>
          <w:shd w:val="clear" w:color="auto" w:fill="FFFFFF"/>
        </w:rPr>
      </w:pPr>
      <w:r>
        <w:rPr>
          <w:rFonts w:hint="eastAsia"/>
          <w:color w:val="333333"/>
          <w:szCs w:val="32"/>
          <w:shd w:val="clear" w:color="auto" w:fill="FFFFFF"/>
        </w:rPr>
        <w:t>根据《安宁市民政局关于申请调剂养老服务设施建设及运营、管理服务补助经费的请示》（安民请〔2024〕14号）、《安宁市民政局关于申请调剂养老服务设施建设及运营、管理服务补助经费的请示》（安民请〔2024〕43号）、财务凭证等，安宁市财政局下达2024年度养老服务设施建设及运营、管理服务补助经费（老年食堂）项目本级预算资金15,612,000.00元，实际支出11,551,900.00元，其中：用于</w:t>
      </w:r>
      <w:r>
        <w:rPr>
          <w:rFonts w:hint="eastAsia"/>
          <w:color w:val="333333"/>
          <w:szCs w:val="32"/>
          <w:shd w:val="clear" w:color="auto" w:fill="FFFFFF"/>
          <w:lang w:val="en-US" w:eastAsia="zh-CN"/>
        </w:rPr>
        <w:t>老年食堂</w:t>
      </w:r>
      <w:r>
        <w:rPr>
          <w:rFonts w:hint="eastAsia"/>
          <w:color w:val="333333"/>
          <w:szCs w:val="32"/>
          <w:shd w:val="clear" w:color="auto" w:fill="FFFFFF"/>
        </w:rPr>
        <w:t>老年人用餐服务补助8,653,840.00元，</w:t>
      </w:r>
      <w:r>
        <w:rPr>
          <w:rFonts w:hint="eastAsia"/>
          <w:color w:val="333333"/>
          <w:szCs w:val="32"/>
          <w:shd w:val="clear" w:color="auto" w:fill="FFFFFF"/>
          <w:lang w:val="en-US" w:eastAsia="zh-CN"/>
        </w:rPr>
        <w:t>老年食堂</w:t>
      </w:r>
      <w:r>
        <w:rPr>
          <w:rFonts w:hint="eastAsia"/>
          <w:color w:val="333333"/>
          <w:szCs w:val="32"/>
          <w:shd w:val="clear" w:color="auto" w:fill="FFFFFF"/>
        </w:rPr>
        <w:t>工作人员补助2,868,060.00元，</w:t>
      </w:r>
      <w:r>
        <w:rPr>
          <w:rFonts w:hint="eastAsia"/>
          <w:color w:val="333333"/>
          <w:szCs w:val="32"/>
          <w:shd w:val="clear" w:color="auto" w:fill="FFFFFF"/>
          <w:lang w:val="en-US" w:eastAsia="zh-CN"/>
        </w:rPr>
        <w:t>老年食堂启动</w:t>
      </w:r>
      <w:r>
        <w:rPr>
          <w:rFonts w:hint="eastAsia"/>
          <w:color w:val="333333"/>
          <w:szCs w:val="32"/>
          <w:shd w:val="clear" w:color="auto" w:fill="FFFFFF"/>
        </w:rPr>
        <w:t>运营补助30,000.00</w:t>
      </w:r>
      <w:r>
        <w:rPr>
          <w:rFonts w:hint="eastAsia"/>
          <w:color w:val="333333"/>
          <w:szCs w:val="32"/>
          <w:shd w:val="clear" w:color="auto" w:fill="FFFFFF"/>
          <w:lang w:val="en-US" w:eastAsia="zh-CN"/>
        </w:rPr>
        <w:t>元</w:t>
      </w:r>
      <w:r>
        <w:rPr>
          <w:rFonts w:hint="eastAsia"/>
          <w:color w:val="333333"/>
          <w:szCs w:val="32"/>
          <w:shd w:val="clear" w:color="auto" w:fill="FFFFFF"/>
        </w:rPr>
        <w:t>。预算执行率=（实际支出资金/实际到位资金）×100%=（11,551,900.00÷15,612,000.00）×100%=</w:t>
      </w:r>
      <w:r>
        <w:rPr>
          <w:rFonts w:hint="eastAsia"/>
          <w:color w:val="333333"/>
          <w:szCs w:val="32"/>
          <w:shd w:val="clear" w:color="auto" w:fill="FFFFFF"/>
          <w:lang w:val="en-US" w:eastAsia="zh-CN"/>
        </w:rPr>
        <w:t>74</w:t>
      </w:r>
      <w:r>
        <w:rPr>
          <w:rFonts w:hint="eastAsia"/>
          <w:color w:val="333333"/>
          <w:szCs w:val="32"/>
          <w:shd w:val="clear" w:color="auto" w:fill="FFFFFF"/>
        </w:rPr>
        <w:t>%。预算执行率得分=预算执行率</w:t>
      </w:r>
      <w:r>
        <w:rPr>
          <w:rFonts w:hint="eastAsia"/>
          <w:color w:val="333333"/>
          <w:szCs w:val="32"/>
          <w:shd w:val="clear" w:color="auto" w:fill="FFFFFF"/>
          <w:lang w:val="en-US" w:eastAsia="zh-CN"/>
        </w:rPr>
        <w:t>74</w:t>
      </w:r>
      <w:r>
        <w:rPr>
          <w:rFonts w:hint="eastAsia"/>
          <w:color w:val="333333"/>
          <w:szCs w:val="32"/>
          <w:shd w:val="clear" w:color="auto" w:fill="FFFFFF"/>
        </w:rPr>
        <w:t>%×</w:t>
      </w:r>
      <w:r>
        <w:rPr>
          <w:rFonts w:hint="eastAsia"/>
          <w:color w:val="333333"/>
          <w:szCs w:val="32"/>
          <w:shd w:val="clear" w:color="auto" w:fill="FFFFFF"/>
          <w:lang w:val="en-US" w:eastAsia="zh-CN"/>
        </w:rPr>
        <w:t>3</w:t>
      </w:r>
      <w:r>
        <w:rPr>
          <w:rFonts w:hint="eastAsia"/>
          <w:color w:val="333333"/>
          <w:szCs w:val="32"/>
          <w:shd w:val="clear" w:color="auto" w:fill="FFFFFF"/>
        </w:rPr>
        <w:t>分</w:t>
      </w:r>
      <w:r>
        <w:t>，根据评分标准得</w:t>
      </w:r>
      <w:r>
        <w:rPr>
          <w:rFonts w:hint="eastAsia"/>
          <w:lang w:val="en-US" w:eastAsia="zh-CN"/>
        </w:rPr>
        <w:t>2.22</w:t>
      </w:r>
      <w:r>
        <w:t>分</w:t>
      </w:r>
      <w:r>
        <w:rPr>
          <w:color w:val="333333"/>
          <w:szCs w:val="32"/>
          <w:shd w:val="clear" w:color="auto" w:fill="FFFFFF"/>
        </w:rPr>
        <w:t>。</w:t>
      </w:r>
    </w:p>
    <w:p w14:paraId="22C74A4F">
      <w:pPr>
        <w:pStyle w:val="6"/>
        <w:ind w:firstLine="560"/>
      </w:pPr>
      <w:r>
        <w:t>B213．资金使用合规性。指标分值</w:t>
      </w:r>
      <w:r>
        <w:rPr>
          <w:rFonts w:hint="eastAsia"/>
          <w:lang w:val="en-US" w:eastAsia="zh-CN"/>
        </w:rPr>
        <w:t>3</w:t>
      </w:r>
      <w:r>
        <w:t>分，实际得</w:t>
      </w:r>
      <w:r>
        <w:rPr>
          <w:rFonts w:hint="eastAsia"/>
          <w:lang w:val="en-US" w:eastAsia="zh-CN"/>
        </w:rPr>
        <w:t>3</w:t>
      </w:r>
      <w:r>
        <w:t>分。</w:t>
      </w:r>
    </w:p>
    <w:p w14:paraId="527A7371">
      <w:pPr>
        <w:ind w:firstLine="560"/>
        <w:rPr>
          <w:color w:val="333333"/>
          <w:szCs w:val="32"/>
          <w:shd w:val="clear" w:color="auto" w:fill="FFFFFF"/>
        </w:rPr>
      </w:pPr>
      <w:r>
        <w:rPr>
          <w:color w:val="333333"/>
          <w:szCs w:val="32"/>
          <w:shd w:val="clear" w:color="auto" w:fill="FFFFFF"/>
        </w:rPr>
        <w:t>该项指标用以反映</w:t>
      </w:r>
      <w:r>
        <w:rPr>
          <w:rFonts w:hint="eastAsia"/>
          <w:color w:val="333333"/>
          <w:szCs w:val="32"/>
          <w:shd w:val="clear" w:color="auto" w:fill="FFFFFF"/>
        </w:rPr>
        <w:t>项目资金使用是否符合预算规定的内容，考核项目资金的规范运行情况</w:t>
      </w:r>
      <w:r>
        <w:rPr>
          <w:color w:val="333333"/>
          <w:szCs w:val="32"/>
          <w:shd w:val="clear" w:color="auto" w:fill="FFFFFF"/>
        </w:rPr>
        <w:t>。得分明细如下：</w:t>
      </w:r>
    </w:p>
    <w:p w14:paraId="3EAB9F7A">
      <w:pPr>
        <w:ind w:firstLine="560"/>
        <w:rPr>
          <w:color w:val="333333"/>
          <w:szCs w:val="32"/>
          <w:shd w:val="clear" w:color="auto" w:fill="FFFFFF"/>
        </w:rPr>
      </w:pPr>
      <w:r>
        <w:rPr>
          <w:rFonts w:hint="eastAsia"/>
          <w:color w:val="333333"/>
          <w:szCs w:val="32"/>
          <w:shd w:val="clear" w:color="auto" w:fill="FFFFFF"/>
        </w:rPr>
        <w:t>《安宁市关于进一步推进养老服务事业发展的实施方案》（安政办〔2021〕38号）、《《安宁市城乡社区居家养老服务设施建设及运营管理指导意见(试行)》（安民〔2024〕23号）、财务凭证等</w:t>
      </w:r>
      <w:r>
        <w:rPr>
          <w:color w:val="333333"/>
          <w:szCs w:val="32"/>
          <w:shd w:val="clear" w:color="auto" w:fill="FFFFFF"/>
        </w:rPr>
        <w:t>，</w:t>
      </w:r>
      <w:r>
        <w:rPr>
          <w:rFonts w:hint="eastAsia"/>
          <w:color w:val="333333"/>
          <w:szCs w:val="32"/>
          <w:shd w:val="clear" w:color="auto" w:fill="FFFFFF"/>
        </w:rPr>
        <w:t>项目资金用于老年食堂老年人用餐服务补助8,653,840.00元，老年食堂工作人员补助2,868,060.00元，老年食堂启动运营补助30,000.00元。2024年度养老服务设施建设及运营、管理服务补助经费（老年食堂）项目支出专款专用，符合预算批复的用途</w:t>
      </w:r>
      <w:r>
        <w:rPr>
          <w:color w:val="333333"/>
          <w:szCs w:val="32"/>
          <w:shd w:val="clear" w:color="auto" w:fill="FFFFFF"/>
        </w:rPr>
        <w:t>。根据评分标准得</w:t>
      </w:r>
      <w:r>
        <w:rPr>
          <w:rFonts w:hint="eastAsia"/>
          <w:color w:val="333333"/>
          <w:szCs w:val="32"/>
          <w:shd w:val="clear" w:color="auto" w:fill="FFFFFF"/>
          <w:lang w:val="en-US" w:eastAsia="zh-CN"/>
        </w:rPr>
        <w:t>3</w:t>
      </w:r>
      <w:r>
        <w:rPr>
          <w:color w:val="333333"/>
          <w:szCs w:val="32"/>
          <w:shd w:val="clear" w:color="auto" w:fill="FFFFFF"/>
        </w:rPr>
        <w:t>分。</w:t>
      </w:r>
    </w:p>
    <w:p w14:paraId="5911D499">
      <w:pPr>
        <w:pStyle w:val="6"/>
        <w:ind w:firstLine="560"/>
      </w:pPr>
      <w:r>
        <w:t>B214．会计核算规范性。指标分值</w:t>
      </w:r>
      <w:r>
        <w:rPr>
          <w:rFonts w:hint="eastAsia"/>
        </w:rPr>
        <w:t>2</w:t>
      </w:r>
      <w:r>
        <w:t>分，实际得</w:t>
      </w:r>
      <w:r>
        <w:rPr>
          <w:rFonts w:hint="eastAsia"/>
          <w:lang w:val="en-US" w:eastAsia="zh-CN"/>
        </w:rPr>
        <w:t>2</w:t>
      </w:r>
      <w:r>
        <w:t>分。</w:t>
      </w:r>
    </w:p>
    <w:p w14:paraId="1C15E426">
      <w:pPr>
        <w:ind w:firstLine="560"/>
        <w:rPr>
          <w:color w:val="333333"/>
          <w:szCs w:val="32"/>
          <w:shd w:val="clear" w:color="auto" w:fill="FFFFFF"/>
        </w:rPr>
      </w:pPr>
      <w:r>
        <w:rPr>
          <w:color w:val="333333"/>
          <w:szCs w:val="32"/>
          <w:shd w:val="clear" w:color="auto" w:fill="FFFFFF"/>
        </w:rPr>
        <w:t>该项指标用以反映项目实施单位的项目资金会计核算是否符合</w:t>
      </w:r>
      <w:r>
        <w:rPr>
          <w:rFonts w:hint="eastAsia"/>
          <w:color w:val="333333"/>
          <w:szCs w:val="32"/>
          <w:shd w:val="clear" w:color="auto" w:fill="FFFFFF"/>
        </w:rPr>
        <w:t>相关的财务管理制度规定</w:t>
      </w:r>
      <w:r>
        <w:rPr>
          <w:color w:val="333333"/>
          <w:szCs w:val="32"/>
          <w:shd w:val="clear" w:color="auto" w:fill="FFFFFF"/>
        </w:rPr>
        <w:t>，考核项目资金会计核算的规范情况。得分明细如下：</w:t>
      </w:r>
    </w:p>
    <w:p w14:paraId="0EDE553B">
      <w:pPr>
        <w:ind w:firstLine="560"/>
        <w:rPr>
          <w:color w:val="333333"/>
          <w:szCs w:val="32"/>
          <w:shd w:val="clear" w:color="auto" w:fill="FFFFFF"/>
        </w:rPr>
      </w:pPr>
      <w:r>
        <w:rPr>
          <w:color w:val="333333"/>
          <w:szCs w:val="32"/>
          <w:shd w:val="clear" w:color="auto" w:fill="FFFFFF"/>
        </w:rPr>
        <w:t>根据财务凭证资料</w:t>
      </w:r>
      <w:r>
        <w:rPr>
          <w:rFonts w:hint="eastAsia"/>
          <w:color w:val="333333"/>
          <w:szCs w:val="32"/>
          <w:shd w:val="clear" w:color="auto" w:fill="FFFFFF"/>
        </w:rPr>
        <w:t>，该项目会计核算有完整的审批程序和手续，符合国家财经法规和财务管理制度以及内部会计控制规范、相关会计准则的规定</w:t>
      </w:r>
      <w:r>
        <w:rPr>
          <w:rFonts w:hint="eastAsia"/>
          <w:color w:val="333333"/>
          <w:szCs w:val="32"/>
          <w:shd w:val="clear" w:color="auto" w:fill="FFFFFF"/>
          <w:lang w:eastAsia="zh-CN"/>
        </w:rPr>
        <w:t>，</w:t>
      </w:r>
      <w:r>
        <w:rPr>
          <w:color w:val="333333"/>
          <w:szCs w:val="32"/>
          <w:shd w:val="clear" w:color="auto" w:fill="FFFFFF"/>
        </w:rPr>
        <w:t>根据评分标准得</w:t>
      </w:r>
      <w:r>
        <w:rPr>
          <w:rFonts w:hint="eastAsia"/>
          <w:color w:val="333333"/>
          <w:szCs w:val="32"/>
          <w:shd w:val="clear" w:color="auto" w:fill="FFFFFF"/>
          <w:lang w:val="en-US" w:eastAsia="zh-CN"/>
        </w:rPr>
        <w:t>2</w:t>
      </w:r>
      <w:r>
        <w:rPr>
          <w:color w:val="333333"/>
          <w:szCs w:val="32"/>
          <w:shd w:val="clear" w:color="auto" w:fill="FFFFFF"/>
        </w:rPr>
        <w:t>分。</w:t>
      </w:r>
    </w:p>
    <w:p w14:paraId="21CD75A5">
      <w:pPr>
        <w:pStyle w:val="5"/>
        <w:ind w:firstLine="560"/>
        <w:rPr>
          <w:rFonts w:ascii="Times New Roman" w:hAnsi="Times New Roman" w:cs="Times New Roman"/>
        </w:rPr>
      </w:pPr>
      <w:r>
        <w:rPr>
          <w:rFonts w:ascii="Times New Roman" w:hAnsi="Times New Roman" w:cs="Times New Roman"/>
        </w:rPr>
        <w:t>B22．组织实施。指标分值</w:t>
      </w:r>
      <w:r>
        <w:rPr>
          <w:rFonts w:hint="eastAsia" w:ascii="Times New Roman" w:hAnsi="Times New Roman" w:cs="Times New Roman"/>
          <w:lang w:val="en-US" w:eastAsia="zh-CN"/>
        </w:rPr>
        <w:t>14</w:t>
      </w:r>
      <w:r>
        <w:rPr>
          <w:rFonts w:ascii="Times New Roman" w:hAnsi="Times New Roman" w:cs="Times New Roman"/>
        </w:rPr>
        <w:t>分，实际得</w:t>
      </w:r>
      <w:r>
        <w:rPr>
          <w:rFonts w:hint="eastAsia" w:ascii="Times New Roman" w:hAnsi="Times New Roman" w:cs="Times New Roman"/>
          <w:lang w:val="en-US" w:eastAsia="zh-CN"/>
        </w:rPr>
        <w:t>14</w:t>
      </w:r>
      <w:r>
        <w:rPr>
          <w:rFonts w:ascii="Times New Roman" w:hAnsi="Times New Roman" w:cs="Times New Roman"/>
        </w:rPr>
        <w:t>分</w:t>
      </w:r>
    </w:p>
    <w:p w14:paraId="6226EE1E">
      <w:pPr>
        <w:pStyle w:val="6"/>
        <w:ind w:firstLine="560"/>
        <w:rPr>
          <w:color w:val="333333"/>
          <w:szCs w:val="32"/>
          <w:shd w:val="clear" w:color="auto" w:fill="FFFFFF"/>
        </w:rPr>
      </w:pPr>
      <w:bookmarkStart w:id="165" w:name="_Toc8395"/>
      <w:bookmarkEnd w:id="165"/>
      <w:bookmarkStart w:id="166" w:name="_Toc1145"/>
      <w:bookmarkEnd w:id="166"/>
      <w:bookmarkStart w:id="167" w:name="_Toc1187"/>
      <w:bookmarkEnd w:id="167"/>
      <w:bookmarkStart w:id="168" w:name="_Toc2196"/>
      <w:bookmarkEnd w:id="168"/>
      <w:bookmarkStart w:id="169" w:name="_Toc75872308"/>
      <w:bookmarkEnd w:id="169"/>
      <w:r>
        <w:rPr>
          <w:color w:val="333333"/>
          <w:szCs w:val="32"/>
        </w:rPr>
        <w:t>B221</w:t>
      </w:r>
      <w:r>
        <w:rPr>
          <w:color w:val="333333"/>
          <w:szCs w:val="32"/>
          <w:shd w:val="clear" w:color="auto" w:fill="FFFFFF"/>
        </w:rPr>
        <w:t>．</w:t>
      </w:r>
      <w:r>
        <w:rPr>
          <w:color w:val="333333"/>
          <w:szCs w:val="32"/>
        </w:rPr>
        <w:t>绩效自评。</w:t>
      </w:r>
      <w:r>
        <w:rPr>
          <w:color w:val="333333"/>
          <w:szCs w:val="32"/>
          <w:shd w:val="clear" w:color="auto" w:fill="FFFFFF"/>
        </w:rPr>
        <w:t>指标分值2分，实际得2分。</w:t>
      </w:r>
    </w:p>
    <w:p w14:paraId="0A89D110">
      <w:pPr>
        <w:ind w:firstLine="560"/>
        <w:rPr>
          <w:color w:val="333333"/>
          <w:szCs w:val="32"/>
          <w:shd w:val="clear" w:color="auto" w:fill="FFFFFF"/>
        </w:rPr>
      </w:pPr>
      <w:r>
        <w:rPr>
          <w:color w:val="333333"/>
          <w:szCs w:val="32"/>
          <w:shd w:val="clear" w:color="auto" w:fill="FFFFFF"/>
        </w:rPr>
        <w:t>该项指标用以反映</w:t>
      </w:r>
      <w:r>
        <w:rPr>
          <w:rFonts w:hint="eastAsia"/>
          <w:color w:val="333333"/>
          <w:szCs w:val="32"/>
          <w:shd w:val="clear" w:color="auto" w:fill="FFFFFF"/>
        </w:rPr>
        <w:t>安宁市民政局</w:t>
      </w:r>
      <w:r>
        <w:rPr>
          <w:color w:val="333333"/>
          <w:szCs w:val="32"/>
          <w:shd w:val="clear" w:color="auto" w:fill="FFFFFF"/>
        </w:rPr>
        <w:t>是否对</w:t>
      </w:r>
      <w:r>
        <w:rPr>
          <w:rFonts w:hint="eastAsia"/>
        </w:rPr>
        <w:t>2024年度养老服务设施建设及运营、管理服务补助经费（老年食堂）项目</w:t>
      </w:r>
      <w:r>
        <w:rPr>
          <w:color w:val="333333"/>
          <w:szCs w:val="32"/>
          <w:shd w:val="clear" w:color="auto" w:fill="FFFFFF"/>
        </w:rPr>
        <w:t>开展自评工作，考核项目自评完成情况。得分明细如下：</w:t>
      </w:r>
    </w:p>
    <w:p w14:paraId="64261652">
      <w:pPr>
        <w:ind w:firstLine="560"/>
        <w:rPr>
          <w:color w:val="333333"/>
          <w:szCs w:val="32"/>
          <w:shd w:val="clear" w:color="auto" w:fill="FFFFFF"/>
        </w:rPr>
      </w:pPr>
      <w:r>
        <w:rPr>
          <w:color w:val="333333"/>
          <w:szCs w:val="32"/>
          <w:shd w:val="clear" w:color="auto" w:fill="FFFFFF"/>
        </w:rPr>
        <w:t>根据</w:t>
      </w:r>
      <w:r>
        <w:rPr>
          <w:rFonts w:hint="eastAsia"/>
          <w:color w:val="333333"/>
          <w:szCs w:val="32"/>
          <w:shd w:val="clear" w:color="auto" w:fill="FFFFFF"/>
        </w:rPr>
        <w:t>《安宁市2024年养老服务设施建设及运营、管理服务补助经费（项目）绩效目标自评表》《安宁市民政局关于2024“养老服务设施建设及运营、管理服务补助经费”预算项目自查自评报告》</w:t>
      </w:r>
      <w:r>
        <w:rPr>
          <w:color w:val="333333"/>
          <w:szCs w:val="32"/>
          <w:shd w:val="clear" w:color="auto" w:fill="FFFFFF"/>
        </w:rPr>
        <w:t>，</w:t>
      </w:r>
      <w:r>
        <w:rPr>
          <w:rFonts w:hint="eastAsia"/>
          <w:color w:val="333333"/>
          <w:szCs w:val="32"/>
          <w:shd w:val="clear" w:color="auto" w:fill="FFFFFF"/>
        </w:rPr>
        <w:t>安宁市民政局在资金投入和使用情况、绩效目标完成情况等方面开展自评，</w:t>
      </w:r>
      <w:r>
        <w:rPr>
          <w:color w:val="333333"/>
          <w:szCs w:val="32"/>
          <w:shd w:val="clear" w:color="auto" w:fill="FFFFFF"/>
        </w:rPr>
        <w:t>安宁市民政局按照安宁市财政局要求的自评工作程序开展自评工作，评价的基本内容符合绩效目标要求。根据评分标准得2分。</w:t>
      </w:r>
    </w:p>
    <w:p w14:paraId="24333AE2">
      <w:pPr>
        <w:pStyle w:val="6"/>
        <w:ind w:firstLine="560"/>
        <w:rPr>
          <w:color w:val="333333"/>
          <w:szCs w:val="32"/>
          <w:shd w:val="clear" w:color="auto" w:fill="FFFFFF"/>
        </w:rPr>
      </w:pPr>
      <w:r>
        <w:rPr>
          <w:color w:val="333333"/>
          <w:szCs w:val="32"/>
        </w:rPr>
        <w:t>B222</w:t>
      </w:r>
      <w:r>
        <w:rPr>
          <w:color w:val="333333"/>
          <w:szCs w:val="32"/>
          <w:shd w:val="clear" w:color="auto" w:fill="FFFFFF"/>
        </w:rPr>
        <w:t>．</w:t>
      </w:r>
      <w:r>
        <w:rPr>
          <w:color w:val="333333"/>
          <w:szCs w:val="32"/>
        </w:rPr>
        <w:t>管理制度健全性。</w:t>
      </w:r>
      <w:r>
        <w:rPr>
          <w:color w:val="333333"/>
          <w:szCs w:val="32"/>
          <w:shd w:val="clear" w:color="auto" w:fill="FFFFFF"/>
        </w:rPr>
        <w:t>指标分值</w:t>
      </w:r>
      <w:r>
        <w:rPr>
          <w:rFonts w:hint="eastAsia"/>
          <w:color w:val="333333"/>
          <w:szCs w:val="32"/>
          <w:shd w:val="clear" w:color="auto" w:fill="FFFFFF"/>
          <w:lang w:val="en-US" w:eastAsia="zh-CN"/>
        </w:rPr>
        <w:t>3</w:t>
      </w:r>
      <w:r>
        <w:rPr>
          <w:color w:val="333333"/>
          <w:szCs w:val="32"/>
          <w:shd w:val="clear" w:color="auto" w:fill="FFFFFF"/>
        </w:rPr>
        <w:t>分，实际得</w:t>
      </w:r>
      <w:r>
        <w:rPr>
          <w:rFonts w:hint="eastAsia"/>
          <w:color w:val="333333"/>
          <w:szCs w:val="32"/>
          <w:shd w:val="clear" w:color="auto" w:fill="FFFFFF"/>
          <w:lang w:val="en-US" w:eastAsia="zh-CN"/>
        </w:rPr>
        <w:t>3</w:t>
      </w:r>
      <w:r>
        <w:rPr>
          <w:color w:val="333333"/>
          <w:szCs w:val="32"/>
          <w:shd w:val="clear" w:color="auto" w:fill="FFFFFF"/>
        </w:rPr>
        <w:t>分。</w:t>
      </w:r>
    </w:p>
    <w:p w14:paraId="5C66A393">
      <w:pPr>
        <w:ind w:firstLine="560"/>
        <w:rPr>
          <w:color w:val="333333"/>
          <w:szCs w:val="32"/>
          <w:shd w:val="clear" w:color="auto" w:fill="FFFFFF"/>
        </w:rPr>
      </w:pPr>
      <w:r>
        <w:rPr>
          <w:color w:val="333333"/>
          <w:szCs w:val="32"/>
          <w:shd w:val="clear" w:color="auto" w:fill="FFFFFF"/>
        </w:rPr>
        <w:t>该项指标用以反映项目实施单位的财务和业务管理制度是否健全，考核财务和业务管理制度对项目顺利实施的保障情况。得分明细如下：</w:t>
      </w:r>
    </w:p>
    <w:p w14:paraId="689E366F">
      <w:pPr>
        <w:ind w:firstLine="560"/>
        <w:rPr>
          <w:color w:val="333333"/>
          <w:szCs w:val="32"/>
          <w:shd w:val="clear" w:color="auto" w:fill="FFFFFF"/>
        </w:rPr>
      </w:pPr>
      <w:r>
        <w:rPr>
          <w:rFonts w:hint="eastAsia"/>
          <w:color w:val="333333"/>
          <w:szCs w:val="32"/>
          <w:shd w:val="clear" w:color="auto" w:fill="FFFFFF"/>
        </w:rPr>
        <w:t>根据《安宁市关于进一步推进养老服务事业发展的实施方案》（安政办〔2021〕38号）、《安宁市老年幸福食堂老年人用餐卡管理办法》（安</w:t>
      </w:r>
      <w:r>
        <w:rPr>
          <w:rFonts w:hint="eastAsia"/>
          <w:color w:val="333333"/>
          <w:szCs w:val="32"/>
          <w:shd w:val="clear" w:color="auto" w:fill="FFFFFF"/>
          <w:lang w:val="en-US" w:eastAsia="zh-CN"/>
        </w:rPr>
        <w:t>民</w:t>
      </w:r>
      <w:r>
        <w:rPr>
          <w:rFonts w:hint="eastAsia"/>
          <w:color w:val="333333"/>
          <w:szCs w:val="32"/>
          <w:shd w:val="clear" w:color="auto" w:fill="FFFFFF"/>
        </w:rPr>
        <w:t>〔202</w:t>
      </w:r>
      <w:r>
        <w:rPr>
          <w:rFonts w:hint="eastAsia"/>
          <w:color w:val="333333"/>
          <w:szCs w:val="32"/>
          <w:shd w:val="clear" w:color="auto" w:fill="FFFFFF"/>
          <w:lang w:val="en-US" w:eastAsia="zh-CN"/>
        </w:rPr>
        <w:t>4</w:t>
      </w:r>
      <w:r>
        <w:rPr>
          <w:rFonts w:hint="eastAsia"/>
          <w:color w:val="333333"/>
          <w:szCs w:val="32"/>
          <w:shd w:val="clear" w:color="auto" w:fill="FFFFFF"/>
        </w:rPr>
        <w:t>〕8号）、《安宁市老年幸福食堂老年人用餐服务补贴审核管理办法(试行)》（安民〔2024〕20号）、《安宁市城乡居家养老服务单位工作人员核定及资金使用管理办法》（安民〔2024〕10号）等，明确规定</w:t>
      </w:r>
      <w:r>
        <w:rPr>
          <w:rFonts w:hint="eastAsia"/>
          <w:color w:val="333333"/>
          <w:szCs w:val="32"/>
          <w:shd w:val="clear" w:color="auto" w:fill="FFFFFF"/>
          <w:lang w:val="en-US" w:eastAsia="zh-CN"/>
        </w:rPr>
        <w:t>老年食堂</w:t>
      </w:r>
      <w:r>
        <w:rPr>
          <w:rFonts w:hint="eastAsia"/>
          <w:color w:val="333333"/>
          <w:szCs w:val="32"/>
          <w:shd w:val="clear" w:color="auto" w:fill="FFFFFF"/>
        </w:rPr>
        <w:t>老年人用餐服务</w:t>
      </w:r>
      <w:r>
        <w:rPr>
          <w:rFonts w:hint="eastAsia"/>
          <w:color w:val="333333"/>
          <w:szCs w:val="32"/>
          <w:shd w:val="clear" w:color="auto" w:fill="FFFFFF"/>
          <w:lang w:val="en-US" w:eastAsia="zh-CN"/>
        </w:rPr>
        <w:t>补助</w:t>
      </w:r>
      <w:r>
        <w:rPr>
          <w:rFonts w:hint="eastAsia"/>
          <w:color w:val="333333"/>
          <w:szCs w:val="32"/>
          <w:shd w:val="clear" w:color="auto" w:fill="FFFFFF"/>
        </w:rPr>
        <w:t>、工作人员补助标准</w:t>
      </w:r>
      <w:r>
        <w:rPr>
          <w:rFonts w:hint="eastAsia"/>
          <w:color w:val="333333"/>
          <w:szCs w:val="32"/>
          <w:shd w:val="clear" w:color="auto" w:fill="FFFFFF"/>
          <w:lang w:eastAsia="zh-CN"/>
        </w:rPr>
        <w:t>，</w:t>
      </w:r>
      <w:r>
        <w:rPr>
          <w:rFonts w:hint="eastAsia"/>
          <w:color w:val="333333"/>
          <w:szCs w:val="32"/>
          <w:shd w:val="clear" w:color="auto" w:fill="FFFFFF"/>
        </w:rPr>
        <w:t>加强民政专项资金的使用管理，落实主体管理职责，规范专项资金的分配、拨付、使用和监管，确保资金安全，制度</w:t>
      </w:r>
      <w:r>
        <w:rPr>
          <w:color w:val="333333"/>
          <w:szCs w:val="32"/>
          <w:shd w:val="clear" w:color="auto" w:fill="FFFFFF"/>
        </w:rPr>
        <w:t>合法、合规、完整，根据评分标准得</w:t>
      </w:r>
      <w:r>
        <w:rPr>
          <w:rFonts w:hint="eastAsia"/>
          <w:color w:val="333333"/>
          <w:szCs w:val="32"/>
          <w:shd w:val="clear" w:color="auto" w:fill="FFFFFF"/>
          <w:lang w:val="en-US" w:eastAsia="zh-CN"/>
        </w:rPr>
        <w:t>3</w:t>
      </w:r>
      <w:r>
        <w:rPr>
          <w:color w:val="333333"/>
          <w:szCs w:val="32"/>
          <w:shd w:val="clear" w:color="auto" w:fill="FFFFFF"/>
        </w:rPr>
        <w:t>分。</w:t>
      </w:r>
    </w:p>
    <w:p w14:paraId="189B4014">
      <w:pPr>
        <w:pStyle w:val="6"/>
        <w:ind w:firstLine="560"/>
        <w:rPr>
          <w:color w:val="333333"/>
          <w:szCs w:val="32"/>
          <w:shd w:val="clear" w:color="auto" w:fill="FFFFFF"/>
        </w:rPr>
      </w:pPr>
      <w:r>
        <w:rPr>
          <w:color w:val="333333"/>
          <w:szCs w:val="32"/>
        </w:rPr>
        <w:t>B223</w:t>
      </w:r>
      <w:r>
        <w:rPr>
          <w:color w:val="333333"/>
          <w:szCs w:val="32"/>
          <w:shd w:val="clear" w:color="auto" w:fill="FFFFFF"/>
        </w:rPr>
        <w:t>．</w:t>
      </w:r>
      <w:r>
        <w:rPr>
          <w:color w:val="333333"/>
          <w:szCs w:val="32"/>
        </w:rPr>
        <w:t>制度执行有效性。</w:t>
      </w:r>
      <w:r>
        <w:rPr>
          <w:color w:val="333333"/>
          <w:szCs w:val="32"/>
          <w:shd w:val="clear" w:color="auto" w:fill="FFFFFF"/>
        </w:rPr>
        <w:t>指标分值</w:t>
      </w:r>
      <w:r>
        <w:rPr>
          <w:rFonts w:hint="eastAsia"/>
          <w:color w:val="333333"/>
          <w:szCs w:val="32"/>
          <w:shd w:val="clear" w:color="auto" w:fill="FFFFFF"/>
          <w:lang w:val="en-US" w:eastAsia="zh-CN"/>
        </w:rPr>
        <w:t>3</w:t>
      </w:r>
      <w:r>
        <w:rPr>
          <w:color w:val="333333"/>
          <w:szCs w:val="32"/>
          <w:shd w:val="clear" w:color="auto" w:fill="FFFFFF"/>
        </w:rPr>
        <w:t>分，实际得</w:t>
      </w:r>
      <w:r>
        <w:rPr>
          <w:rFonts w:hint="eastAsia"/>
          <w:color w:val="333333"/>
          <w:szCs w:val="32"/>
          <w:shd w:val="clear" w:color="auto" w:fill="FFFFFF"/>
          <w:lang w:val="en-US" w:eastAsia="zh-CN"/>
        </w:rPr>
        <w:t>3</w:t>
      </w:r>
      <w:r>
        <w:rPr>
          <w:color w:val="333333"/>
          <w:szCs w:val="32"/>
          <w:shd w:val="clear" w:color="auto" w:fill="FFFFFF"/>
        </w:rPr>
        <w:t>分。</w:t>
      </w:r>
    </w:p>
    <w:p w14:paraId="16F60D7E">
      <w:pPr>
        <w:ind w:firstLine="560"/>
        <w:rPr>
          <w:color w:val="333333"/>
          <w:szCs w:val="32"/>
          <w:shd w:val="clear" w:color="auto" w:fill="FFFFFF"/>
        </w:rPr>
      </w:pPr>
      <w:r>
        <w:rPr>
          <w:color w:val="333333"/>
          <w:szCs w:val="32"/>
          <w:shd w:val="clear" w:color="auto" w:fill="FFFFFF"/>
        </w:rPr>
        <w:t>该指标用以反映项目实施是否符合相关管理规定，考核项目管理制度的有效执行情况。得分明细如下：</w:t>
      </w:r>
    </w:p>
    <w:p w14:paraId="02A541DA">
      <w:pPr>
        <w:ind w:firstLine="560"/>
        <w:rPr>
          <w:rFonts w:hint="eastAsia" w:eastAsia="仿宋_GB2312"/>
          <w:color w:val="333333"/>
          <w:szCs w:val="32"/>
          <w:shd w:val="clear" w:color="auto" w:fill="FFFFFF"/>
          <w:lang w:eastAsia="zh-CN"/>
        </w:rPr>
      </w:pPr>
      <w:r>
        <w:rPr>
          <w:rFonts w:hint="eastAsia"/>
          <w:color w:val="333333"/>
          <w:szCs w:val="32"/>
          <w:shd w:val="clear" w:color="auto" w:fill="FFFFFF"/>
        </w:rPr>
        <w:t>《安宁市关于进一步推进养老服务事业发展的实施方案》（安政办〔2021〕38号、《安宁市老年人用餐补助评估报告(2023年7月至12月)》、《安宁市老年人用餐补助评估报告(2024年1月至3月)》、2024年4-12月老年人用餐系统导出数据《机构统计报表》、财务凭证等</w:t>
      </w:r>
      <w:r>
        <w:rPr>
          <w:color w:val="333333"/>
          <w:szCs w:val="32"/>
          <w:shd w:val="clear" w:color="auto" w:fill="FFFFFF"/>
        </w:rPr>
        <w:t>，</w:t>
      </w:r>
      <w:r>
        <w:rPr>
          <w:rFonts w:hint="eastAsia"/>
          <w:color w:val="333333"/>
          <w:szCs w:val="32"/>
          <w:shd w:val="clear" w:color="auto" w:fill="FFFFFF"/>
        </w:rPr>
        <w:t>为提供助餐服务的养老服务单位根据实际服务的老年人数和服务月数，给予服务机构200元/人/月的服务补助资金，其中城乡低收入老年人再增加200元/人/月的补助标准；为建成投入使用的城乡居家养老服务单位按2300元/人/月标准给予工作人员补助。安宁市民政局按照</w:t>
      </w:r>
      <w:r>
        <w:rPr>
          <w:rFonts w:hint="eastAsia"/>
        </w:rPr>
        <w:t>规定</w:t>
      </w:r>
      <w:r>
        <w:rPr>
          <w:rFonts w:hint="eastAsia"/>
          <w:lang w:val="en-US" w:eastAsia="zh-CN"/>
        </w:rPr>
        <w:t>补助标准</w:t>
      </w:r>
      <w:r>
        <w:rPr>
          <w:rFonts w:hint="eastAsia"/>
        </w:rPr>
        <w:t>发放补助资金</w:t>
      </w:r>
      <w:r>
        <w:rPr>
          <w:color w:val="333333"/>
          <w:szCs w:val="32"/>
          <w:shd w:val="clear" w:color="auto" w:fill="FFFFFF"/>
        </w:rPr>
        <w:t>。根据评分标准得</w:t>
      </w:r>
      <w:r>
        <w:rPr>
          <w:rFonts w:hint="eastAsia"/>
          <w:color w:val="333333"/>
          <w:szCs w:val="32"/>
          <w:shd w:val="clear" w:color="auto" w:fill="FFFFFF"/>
          <w:lang w:val="en-US" w:eastAsia="zh-CN"/>
        </w:rPr>
        <w:t>3</w:t>
      </w:r>
      <w:r>
        <w:rPr>
          <w:color w:val="333333"/>
          <w:szCs w:val="32"/>
          <w:shd w:val="clear" w:color="auto" w:fill="FFFFFF"/>
        </w:rPr>
        <w:t>分。</w:t>
      </w:r>
    </w:p>
    <w:p w14:paraId="51AF767D">
      <w:pPr>
        <w:pStyle w:val="6"/>
        <w:ind w:firstLine="560"/>
        <w:rPr>
          <w:rFonts w:hint="eastAsia" w:eastAsia="仿宋_GB2312"/>
          <w:color w:val="333333"/>
          <w:szCs w:val="32"/>
          <w:shd w:val="clear" w:color="auto" w:fill="FFFFFF"/>
          <w:lang w:eastAsia="zh-CN"/>
        </w:rPr>
      </w:pPr>
      <w:r>
        <w:rPr>
          <w:color w:val="333333"/>
          <w:szCs w:val="32"/>
        </w:rPr>
        <w:t>B22</w:t>
      </w:r>
      <w:r>
        <w:rPr>
          <w:rFonts w:hint="eastAsia"/>
          <w:color w:val="333333"/>
          <w:szCs w:val="32"/>
          <w:lang w:val="en-US" w:eastAsia="zh-CN"/>
        </w:rPr>
        <w:t>4</w:t>
      </w:r>
      <w:r>
        <w:rPr>
          <w:color w:val="333333"/>
          <w:szCs w:val="32"/>
          <w:shd w:val="clear" w:color="auto" w:fill="FFFFFF"/>
        </w:rPr>
        <w:t>．</w:t>
      </w:r>
      <w:r>
        <w:rPr>
          <w:rFonts w:hint="eastAsia"/>
          <w:color w:val="333333"/>
          <w:szCs w:val="32"/>
        </w:rPr>
        <w:t>监督检查</w:t>
      </w:r>
      <w:r>
        <w:rPr>
          <w:color w:val="333333"/>
          <w:szCs w:val="32"/>
        </w:rPr>
        <w:t>。</w:t>
      </w:r>
      <w:r>
        <w:rPr>
          <w:color w:val="333333"/>
          <w:szCs w:val="32"/>
          <w:shd w:val="clear" w:color="auto" w:fill="FFFFFF"/>
        </w:rPr>
        <w:t>指标分值</w:t>
      </w:r>
      <w:r>
        <w:rPr>
          <w:rFonts w:hint="eastAsia"/>
          <w:color w:val="333333"/>
          <w:szCs w:val="32"/>
          <w:shd w:val="clear" w:color="auto" w:fill="FFFFFF"/>
          <w:lang w:val="en-US" w:eastAsia="zh-CN"/>
        </w:rPr>
        <w:t>4</w:t>
      </w:r>
      <w:r>
        <w:rPr>
          <w:color w:val="333333"/>
          <w:szCs w:val="32"/>
          <w:shd w:val="clear" w:color="auto" w:fill="FFFFFF"/>
        </w:rPr>
        <w:t>分，实际得</w:t>
      </w:r>
      <w:r>
        <w:rPr>
          <w:rFonts w:hint="eastAsia"/>
          <w:color w:val="333333"/>
          <w:szCs w:val="32"/>
          <w:shd w:val="clear" w:color="auto" w:fill="FFFFFF"/>
          <w:lang w:val="en-US" w:eastAsia="zh-CN"/>
        </w:rPr>
        <w:t>4</w:t>
      </w:r>
      <w:r>
        <w:rPr>
          <w:color w:val="333333"/>
          <w:szCs w:val="32"/>
          <w:shd w:val="clear" w:color="auto" w:fill="FFFFFF"/>
        </w:rPr>
        <w:t>分</w:t>
      </w:r>
      <w:r>
        <w:rPr>
          <w:rFonts w:hint="eastAsia"/>
          <w:color w:val="333333"/>
          <w:szCs w:val="32"/>
          <w:shd w:val="clear" w:color="auto" w:fill="FFFFFF"/>
          <w:lang w:eastAsia="zh-CN"/>
        </w:rPr>
        <w:t>。</w:t>
      </w:r>
    </w:p>
    <w:p w14:paraId="7C06108E">
      <w:pPr>
        <w:rPr>
          <w:color w:val="333333"/>
          <w:szCs w:val="32"/>
          <w:shd w:val="clear" w:color="auto" w:fill="FFFFFF"/>
        </w:rPr>
      </w:pPr>
      <w:r>
        <w:rPr>
          <w:color w:val="333333"/>
          <w:szCs w:val="32"/>
          <w:shd w:val="clear" w:color="auto" w:fill="FFFFFF"/>
        </w:rPr>
        <w:t>该指标用以</w:t>
      </w:r>
      <w:r>
        <w:rPr>
          <w:rFonts w:hint="eastAsia"/>
          <w:color w:val="333333"/>
          <w:szCs w:val="32"/>
          <w:shd w:val="clear" w:color="auto" w:fill="FFFFFF"/>
        </w:rPr>
        <w:t>项目主管单位是否对老年食堂工作情况采取了必要的监督措施</w:t>
      </w:r>
      <w:r>
        <w:rPr>
          <w:color w:val="333333"/>
          <w:szCs w:val="32"/>
          <w:shd w:val="clear" w:color="auto" w:fill="FFFFFF"/>
        </w:rPr>
        <w:t>，考核</w:t>
      </w:r>
      <w:r>
        <w:rPr>
          <w:rFonts w:hint="eastAsia"/>
          <w:color w:val="333333"/>
          <w:szCs w:val="32"/>
          <w:shd w:val="clear" w:color="auto" w:fill="FFFFFF"/>
        </w:rPr>
        <w:t>项目主管单位对项目运行的控制情况</w:t>
      </w:r>
      <w:r>
        <w:rPr>
          <w:color w:val="333333"/>
          <w:szCs w:val="32"/>
          <w:shd w:val="clear" w:color="auto" w:fill="FFFFFF"/>
        </w:rPr>
        <w:t>。得分明细如下：</w:t>
      </w:r>
    </w:p>
    <w:p w14:paraId="7EE705D9">
      <w:pPr>
        <w:rPr>
          <w:rFonts w:hint="eastAsia" w:eastAsia="仿宋_GB2312"/>
          <w:color w:val="333333"/>
          <w:szCs w:val="32"/>
          <w:shd w:val="clear" w:color="auto" w:fill="FFFFFF"/>
          <w:lang w:val="en-US" w:eastAsia="zh-CN"/>
        </w:rPr>
      </w:pPr>
      <w:r>
        <w:rPr>
          <w:rFonts w:hint="eastAsia"/>
          <w:color w:val="333333"/>
          <w:szCs w:val="32"/>
          <w:shd w:val="clear" w:color="auto" w:fill="FFFFFF"/>
          <w:lang w:val="en-US" w:eastAsia="zh-CN"/>
        </w:rPr>
        <w:t>根据《安宁市城乡社区居家养老服务设施建设及运营管理指导意见(试行)》（安民〔2024〕23号）、《安宁市养老服务单位分级分类监督检查管理实施方案》（安民〔2024〕18号）、2024年安宁市民政局监督检查资料，按照“部门履职、行业指导、属地监管、主体负责”原则推进养老服务单位监督管理，分级分类履行指导监管责任，2024年安宁市民政局与安宁市财政局联合检查老年食堂老年人用餐服务补助及工作人员补助进行检查，促进养老服务高质量发展，</w:t>
      </w:r>
      <w:r>
        <w:rPr>
          <w:color w:val="333333"/>
          <w:szCs w:val="32"/>
          <w:shd w:val="clear" w:color="auto" w:fill="FFFFFF"/>
        </w:rPr>
        <w:t>根据评分标准得</w:t>
      </w:r>
      <w:r>
        <w:rPr>
          <w:rFonts w:hint="eastAsia"/>
          <w:color w:val="333333"/>
          <w:szCs w:val="32"/>
          <w:shd w:val="clear" w:color="auto" w:fill="FFFFFF"/>
          <w:lang w:val="en-US" w:eastAsia="zh-CN"/>
        </w:rPr>
        <w:t>4</w:t>
      </w:r>
      <w:r>
        <w:rPr>
          <w:color w:val="333333"/>
          <w:szCs w:val="32"/>
          <w:shd w:val="clear" w:color="auto" w:fill="FFFFFF"/>
        </w:rPr>
        <w:t>分</w:t>
      </w:r>
      <w:r>
        <w:rPr>
          <w:rFonts w:hint="eastAsia"/>
          <w:color w:val="333333"/>
          <w:szCs w:val="32"/>
          <w:shd w:val="clear" w:color="auto" w:fill="FFFFFF"/>
          <w:lang w:eastAsia="zh-CN"/>
        </w:rPr>
        <w:t>。</w:t>
      </w:r>
    </w:p>
    <w:p w14:paraId="18DC044A">
      <w:pPr>
        <w:pStyle w:val="6"/>
        <w:ind w:firstLine="560"/>
        <w:rPr>
          <w:color w:val="333333"/>
          <w:szCs w:val="32"/>
          <w:shd w:val="clear" w:color="auto" w:fill="FFFFFF"/>
        </w:rPr>
      </w:pPr>
      <w:r>
        <w:rPr>
          <w:color w:val="333333"/>
          <w:szCs w:val="32"/>
        </w:rPr>
        <w:t>B22</w:t>
      </w:r>
      <w:r>
        <w:rPr>
          <w:rFonts w:hint="eastAsia"/>
          <w:color w:val="333333"/>
          <w:szCs w:val="32"/>
          <w:lang w:val="en-US" w:eastAsia="zh-CN"/>
        </w:rPr>
        <w:t>5</w:t>
      </w:r>
      <w:r>
        <w:rPr>
          <w:color w:val="333333"/>
          <w:szCs w:val="32"/>
          <w:shd w:val="clear" w:color="auto" w:fill="FFFFFF"/>
        </w:rPr>
        <w:t>．</w:t>
      </w:r>
      <w:r>
        <w:rPr>
          <w:color w:val="333333"/>
          <w:szCs w:val="32"/>
        </w:rPr>
        <w:t>档案管理规范性。</w:t>
      </w:r>
      <w:r>
        <w:rPr>
          <w:color w:val="333333"/>
          <w:szCs w:val="32"/>
          <w:shd w:val="clear" w:color="auto" w:fill="FFFFFF"/>
        </w:rPr>
        <w:t>指标分值</w:t>
      </w:r>
      <w:r>
        <w:rPr>
          <w:rFonts w:hint="eastAsia"/>
          <w:color w:val="333333"/>
          <w:szCs w:val="32"/>
          <w:shd w:val="clear" w:color="auto" w:fill="FFFFFF"/>
        </w:rPr>
        <w:t>2</w:t>
      </w:r>
      <w:r>
        <w:rPr>
          <w:color w:val="333333"/>
          <w:szCs w:val="32"/>
          <w:shd w:val="clear" w:color="auto" w:fill="FFFFFF"/>
        </w:rPr>
        <w:t>分，实际得</w:t>
      </w:r>
      <w:r>
        <w:rPr>
          <w:rFonts w:hint="eastAsia"/>
          <w:color w:val="333333"/>
          <w:szCs w:val="32"/>
          <w:shd w:val="clear" w:color="auto" w:fill="FFFFFF"/>
          <w:lang w:val="en-US" w:eastAsia="zh-CN"/>
        </w:rPr>
        <w:t>2</w:t>
      </w:r>
      <w:r>
        <w:rPr>
          <w:color w:val="333333"/>
          <w:szCs w:val="32"/>
          <w:shd w:val="clear" w:color="auto" w:fill="FFFFFF"/>
        </w:rPr>
        <w:t>分。</w:t>
      </w:r>
    </w:p>
    <w:p w14:paraId="4B9D5849">
      <w:pPr>
        <w:ind w:firstLine="560"/>
        <w:rPr>
          <w:color w:val="333333"/>
          <w:szCs w:val="32"/>
          <w:shd w:val="clear" w:color="auto" w:fill="FFFFFF"/>
        </w:rPr>
      </w:pPr>
      <w:r>
        <w:rPr>
          <w:color w:val="333333"/>
          <w:szCs w:val="32"/>
          <w:shd w:val="clear" w:color="auto" w:fill="FFFFFF"/>
        </w:rPr>
        <w:t>该指标用以反映项目实施单位是否指定专人对项目相关资料进行收集、分类、整理、归档，专门管理，考核项目实施单位对项目档案管理的情况。得分明细如下：</w:t>
      </w:r>
    </w:p>
    <w:p w14:paraId="6E50CB59">
      <w:pPr>
        <w:ind w:firstLine="560"/>
        <w:rPr>
          <w:color w:val="333333"/>
          <w:szCs w:val="32"/>
          <w:shd w:val="clear" w:color="auto" w:fill="FFFFFF"/>
        </w:rPr>
      </w:pPr>
      <w:r>
        <w:rPr>
          <w:rFonts w:hint="eastAsia"/>
          <w:color w:val="333333"/>
          <w:szCs w:val="32"/>
          <w:shd w:val="clear" w:color="auto" w:fill="FFFFFF"/>
        </w:rPr>
        <w:t>安宁市民政局有专人管理2024年度养老服务设施建设及运营、管理服务补助经费（老年食堂）项目</w:t>
      </w:r>
      <w:r>
        <w:rPr>
          <w:color w:val="333333"/>
          <w:szCs w:val="32"/>
          <w:shd w:val="clear" w:color="auto" w:fill="FFFFFF"/>
        </w:rPr>
        <w:t>，</w:t>
      </w:r>
      <w:r>
        <w:rPr>
          <w:rFonts w:hint="eastAsia"/>
          <w:color w:val="333333"/>
          <w:szCs w:val="32"/>
          <w:shd w:val="clear" w:color="auto" w:fill="FFFFFF"/>
        </w:rPr>
        <w:t>负责资料的收集、分类、整理和归档</w:t>
      </w:r>
      <w:r>
        <w:rPr>
          <w:rFonts w:hint="eastAsia"/>
          <w:color w:val="333333"/>
          <w:szCs w:val="32"/>
          <w:shd w:val="clear" w:color="auto" w:fill="FFFFFF"/>
          <w:lang w:eastAsia="zh-CN"/>
        </w:rPr>
        <w:t>，项目档案资料完整、齐全、规范，</w:t>
      </w:r>
      <w:r>
        <w:rPr>
          <w:color w:val="333333"/>
          <w:szCs w:val="32"/>
          <w:shd w:val="clear" w:color="auto" w:fill="FFFFFF"/>
        </w:rPr>
        <w:t>根据评分标准得</w:t>
      </w:r>
      <w:r>
        <w:rPr>
          <w:rFonts w:hint="eastAsia"/>
          <w:color w:val="333333"/>
          <w:szCs w:val="32"/>
          <w:shd w:val="clear" w:color="auto" w:fill="FFFFFF"/>
          <w:lang w:val="en-US" w:eastAsia="zh-CN"/>
        </w:rPr>
        <w:t>2</w:t>
      </w:r>
      <w:r>
        <w:rPr>
          <w:color w:val="333333"/>
          <w:szCs w:val="32"/>
          <w:shd w:val="clear" w:color="auto" w:fill="FFFFFF"/>
        </w:rPr>
        <w:t>分。</w:t>
      </w:r>
    </w:p>
    <w:p w14:paraId="23383F79">
      <w:pPr>
        <w:pStyle w:val="4"/>
        <w:ind w:firstLine="560"/>
      </w:pPr>
      <w:bookmarkStart w:id="170" w:name="_Toc118041732"/>
      <w:bookmarkEnd w:id="170"/>
      <w:bookmarkStart w:id="171" w:name="_Toc118282091"/>
      <w:bookmarkEnd w:id="171"/>
      <w:bookmarkStart w:id="172" w:name="_Toc18695"/>
      <w:bookmarkStart w:id="173" w:name="_Toc9775"/>
      <w:bookmarkStart w:id="174" w:name="_Toc19510"/>
      <w:r>
        <w:t>C3．项目产出情况分析</w:t>
      </w:r>
      <w:bookmarkEnd w:id="172"/>
      <w:bookmarkEnd w:id="173"/>
      <w:bookmarkEnd w:id="174"/>
    </w:p>
    <w:p w14:paraId="3FE7C7DE">
      <w:pPr>
        <w:ind w:firstLine="560"/>
        <w:rPr>
          <w:szCs w:val="32"/>
        </w:rPr>
      </w:pPr>
      <w:r>
        <w:rPr>
          <w:szCs w:val="32"/>
        </w:rPr>
        <w:t>项目</w:t>
      </w:r>
      <w:r>
        <w:rPr>
          <w:rFonts w:hint="eastAsia"/>
          <w:szCs w:val="32"/>
        </w:rPr>
        <w:t>产出</w:t>
      </w:r>
      <w:r>
        <w:rPr>
          <w:szCs w:val="32"/>
        </w:rPr>
        <w:t>类指标由</w:t>
      </w:r>
      <w:r>
        <w:rPr>
          <w:rFonts w:hint="eastAsia"/>
          <w:szCs w:val="32"/>
        </w:rPr>
        <w:t>3</w:t>
      </w:r>
      <w:r>
        <w:rPr>
          <w:szCs w:val="32"/>
        </w:rPr>
        <w:t>个二级指标，</w:t>
      </w:r>
      <w:r>
        <w:rPr>
          <w:rFonts w:hint="eastAsia"/>
          <w:szCs w:val="32"/>
          <w:lang w:val="en-US" w:eastAsia="zh-CN"/>
        </w:rPr>
        <w:t>4</w:t>
      </w:r>
      <w:r>
        <w:rPr>
          <w:szCs w:val="32"/>
        </w:rPr>
        <w:t>个三级指标构成，指标分值3</w:t>
      </w:r>
      <w:r>
        <w:rPr>
          <w:rFonts w:hint="eastAsia"/>
          <w:szCs w:val="32"/>
        </w:rPr>
        <w:t>0</w:t>
      </w:r>
      <w:r>
        <w:rPr>
          <w:szCs w:val="32"/>
        </w:rPr>
        <w:t>分，实际得分为</w:t>
      </w:r>
      <w:r>
        <w:rPr>
          <w:rFonts w:hint="eastAsia"/>
          <w:szCs w:val="32"/>
          <w:lang w:val="en-US" w:eastAsia="zh-CN"/>
        </w:rPr>
        <w:t>25.5</w:t>
      </w:r>
      <w:r>
        <w:rPr>
          <w:szCs w:val="32"/>
        </w:rPr>
        <w:t>分。其中满分三级指标</w:t>
      </w:r>
      <w:r>
        <w:rPr>
          <w:rFonts w:hint="eastAsia"/>
          <w:szCs w:val="32"/>
        </w:rPr>
        <w:t>2</w:t>
      </w:r>
      <w:r>
        <w:rPr>
          <w:szCs w:val="32"/>
        </w:rPr>
        <w:t>个，扣分三级指标</w:t>
      </w:r>
      <w:r>
        <w:rPr>
          <w:rFonts w:hint="eastAsia"/>
          <w:szCs w:val="32"/>
          <w:lang w:val="en-US" w:eastAsia="zh-CN"/>
        </w:rPr>
        <w:t>2</w:t>
      </w:r>
      <w:r>
        <w:rPr>
          <w:szCs w:val="32"/>
        </w:rPr>
        <w:t>个。各指标得分情况明细如下：</w:t>
      </w:r>
    </w:p>
    <w:tbl>
      <w:tblPr>
        <w:tblStyle w:val="17"/>
        <w:tblW w:w="4998" w:type="pct"/>
        <w:tblInd w:w="0" w:type="dxa"/>
        <w:tblLayout w:type="autofit"/>
        <w:tblCellMar>
          <w:top w:w="0" w:type="dxa"/>
          <w:left w:w="108" w:type="dxa"/>
          <w:bottom w:w="0" w:type="dxa"/>
          <w:right w:w="108" w:type="dxa"/>
        </w:tblCellMar>
      </w:tblPr>
      <w:tblGrid>
        <w:gridCol w:w="1188"/>
        <w:gridCol w:w="2131"/>
        <w:gridCol w:w="1914"/>
        <w:gridCol w:w="939"/>
        <w:gridCol w:w="1256"/>
        <w:gridCol w:w="1091"/>
      </w:tblGrid>
      <w:tr w14:paraId="6D401F8F">
        <w:tblPrEx>
          <w:tblCellMar>
            <w:top w:w="0" w:type="dxa"/>
            <w:left w:w="108" w:type="dxa"/>
            <w:bottom w:w="0" w:type="dxa"/>
            <w:right w:w="108" w:type="dxa"/>
          </w:tblCellMar>
        </w:tblPrEx>
        <w:trPr>
          <w:trHeight w:val="377" w:hRule="atLeast"/>
        </w:trPr>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715B">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88481">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123" w:type="pct"/>
            <w:tcBorders>
              <w:top w:val="single" w:color="000000" w:sz="4" w:space="0"/>
              <w:left w:val="single" w:color="000000" w:sz="4" w:space="0"/>
              <w:bottom w:val="single" w:color="000000" w:sz="4" w:space="0"/>
              <w:right w:val="nil"/>
            </w:tcBorders>
            <w:shd w:val="clear" w:color="auto" w:fill="auto"/>
            <w:vAlign w:val="center"/>
          </w:tcPr>
          <w:p w14:paraId="7CB01789">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3D856">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F0E91">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BAC5">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48E12EA1">
        <w:tblPrEx>
          <w:tblCellMar>
            <w:top w:w="0" w:type="dxa"/>
            <w:left w:w="108" w:type="dxa"/>
            <w:bottom w:w="0" w:type="dxa"/>
            <w:right w:w="108" w:type="dxa"/>
          </w:tblCellMar>
        </w:tblPrEx>
        <w:trPr>
          <w:trHeight w:val="450" w:hRule="atLeast"/>
        </w:trPr>
        <w:tc>
          <w:tcPr>
            <w:tcW w:w="6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7A4DD">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C3产出</w:t>
            </w:r>
            <w:r>
              <w:rPr>
                <w:rFonts w:eastAsia="宋体"/>
                <w:color w:val="000000"/>
                <w:kern w:val="0"/>
                <w:sz w:val="18"/>
                <w:szCs w:val="18"/>
                <w:lang w:bidi="ar"/>
              </w:rPr>
              <w:br w:type="textWrapping"/>
            </w:r>
            <w:r>
              <w:rPr>
                <w:rFonts w:hint="eastAsia" w:eastAsia="宋体"/>
                <w:color w:val="000000"/>
                <w:kern w:val="0"/>
                <w:sz w:val="18"/>
                <w:szCs w:val="18"/>
                <w:lang w:eastAsia="zh-CN" w:bidi="ar"/>
              </w:rPr>
              <w:t>（</w:t>
            </w:r>
            <w:r>
              <w:rPr>
                <w:rFonts w:eastAsia="宋体"/>
                <w:color w:val="000000"/>
                <w:kern w:val="0"/>
                <w:sz w:val="18"/>
                <w:szCs w:val="18"/>
                <w:lang w:bidi="ar"/>
              </w:rPr>
              <w:t>30分</w:t>
            </w:r>
            <w:r>
              <w:rPr>
                <w:rFonts w:hint="eastAsia" w:eastAsia="宋体"/>
                <w:color w:val="000000"/>
                <w:kern w:val="0"/>
                <w:sz w:val="18"/>
                <w:szCs w:val="18"/>
                <w:lang w:eastAsia="zh-CN" w:bidi="ar"/>
              </w:rPr>
              <w:t>）</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C8C20">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C31产出数量（10分）</w:t>
            </w:r>
          </w:p>
        </w:tc>
        <w:tc>
          <w:tcPr>
            <w:tcW w:w="1123" w:type="pct"/>
            <w:tcBorders>
              <w:top w:val="single" w:color="000000" w:sz="4" w:space="0"/>
              <w:left w:val="single" w:color="000000" w:sz="4" w:space="0"/>
              <w:bottom w:val="single" w:color="000000" w:sz="4" w:space="0"/>
              <w:right w:val="nil"/>
            </w:tcBorders>
            <w:shd w:val="clear" w:color="auto" w:fill="auto"/>
            <w:vAlign w:val="center"/>
          </w:tcPr>
          <w:p w14:paraId="23A8794D">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C311</w:t>
            </w:r>
            <w:r>
              <w:rPr>
                <w:rFonts w:hint="eastAsia" w:eastAsia="宋体"/>
                <w:color w:val="000000"/>
                <w:kern w:val="0"/>
                <w:sz w:val="18"/>
                <w:szCs w:val="18"/>
                <w:lang w:bidi="ar"/>
              </w:rPr>
              <w:t>老年食堂运营率</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3201">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10</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F83A">
            <w:pPr>
              <w:widowControl/>
              <w:spacing w:line="240" w:lineRule="auto"/>
              <w:ind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75%</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94D3">
            <w:pPr>
              <w:widowControl/>
              <w:spacing w:line="240" w:lineRule="auto"/>
              <w:ind w:firstLine="0" w:firstLineChars="0"/>
              <w:jc w:val="center"/>
              <w:textAlignment w:val="center"/>
              <w:rPr>
                <w:rFonts w:hint="default" w:eastAsia="宋体"/>
                <w:color w:val="000000"/>
                <w:sz w:val="18"/>
                <w:szCs w:val="18"/>
                <w:lang w:val="en-US" w:eastAsia="zh-CN"/>
              </w:rPr>
            </w:pPr>
            <w:r>
              <w:rPr>
                <w:rFonts w:hint="eastAsia" w:eastAsia="宋体"/>
                <w:color w:val="000000"/>
                <w:kern w:val="0"/>
                <w:sz w:val="18"/>
                <w:szCs w:val="18"/>
                <w:lang w:val="en-US" w:eastAsia="zh-CN" w:bidi="ar"/>
              </w:rPr>
              <w:t>7.5</w:t>
            </w:r>
          </w:p>
        </w:tc>
      </w:tr>
      <w:tr w14:paraId="79453D37">
        <w:tblPrEx>
          <w:tblCellMar>
            <w:top w:w="0" w:type="dxa"/>
            <w:left w:w="108" w:type="dxa"/>
            <w:bottom w:w="0" w:type="dxa"/>
            <w:right w:w="108" w:type="dxa"/>
          </w:tblCellMar>
        </w:tblPrEx>
        <w:trPr>
          <w:trHeight w:val="450" w:hRule="atLeast"/>
        </w:trPr>
        <w:tc>
          <w:tcPr>
            <w:tcW w:w="6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6B760">
            <w:pPr>
              <w:widowControl/>
              <w:spacing w:line="240" w:lineRule="auto"/>
              <w:ind w:firstLine="0" w:firstLineChars="0"/>
              <w:jc w:val="center"/>
              <w:rPr>
                <w:rFonts w:eastAsia="宋体"/>
                <w:color w:val="000000"/>
                <w:sz w:val="18"/>
                <w:szCs w:val="18"/>
              </w:rPr>
            </w:pPr>
          </w:p>
        </w:tc>
        <w:tc>
          <w:tcPr>
            <w:tcW w:w="1250" w:type="pct"/>
            <w:vMerge w:val="restart"/>
            <w:tcBorders>
              <w:top w:val="single" w:color="000000" w:sz="4" w:space="0"/>
              <w:left w:val="single" w:color="000000" w:sz="4" w:space="0"/>
              <w:right w:val="single" w:color="000000" w:sz="4" w:space="0"/>
            </w:tcBorders>
            <w:shd w:val="clear" w:color="auto" w:fill="auto"/>
            <w:vAlign w:val="center"/>
          </w:tcPr>
          <w:p w14:paraId="3F758C08">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C32产出质量（</w:t>
            </w:r>
            <w:r>
              <w:rPr>
                <w:rFonts w:hint="eastAsia" w:eastAsia="宋体"/>
                <w:color w:val="000000"/>
                <w:kern w:val="0"/>
                <w:sz w:val="18"/>
                <w:szCs w:val="18"/>
                <w:lang w:val="en-US" w:eastAsia="zh-CN" w:bidi="ar"/>
              </w:rPr>
              <w:t>12</w:t>
            </w:r>
            <w:r>
              <w:rPr>
                <w:rFonts w:eastAsia="宋体"/>
                <w:color w:val="000000"/>
                <w:kern w:val="0"/>
                <w:sz w:val="18"/>
                <w:szCs w:val="18"/>
                <w:lang w:bidi="ar"/>
              </w:rPr>
              <w:t>分）</w:t>
            </w:r>
          </w:p>
        </w:tc>
        <w:tc>
          <w:tcPr>
            <w:tcW w:w="1123" w:type="pct"/>
            <w:tcBorders>
              <w:top w:val="single" w:color="000000" w:sz="4" w:space="0"/>
              <w:left w:val="single" w:color="000000" w:sz="4" w:space="0"/>
              <w:bottom w:val="single" w:color="000000" w:sz="4" w:space="0"/>
              <w:right w:val="nil"/>
            </w:tcBorders>
            <w:shd w:val="clear" w:color="auto" w:fill="auto"/>
            <w:vAlign w:val="center"/>
          </w:tcPr>
          <w:p w14:paraId="1B89E48E">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C321补助发放准确</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1D74F">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6</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D9C43">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发放准确</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7068">
            <w:pPr>
              <w:widowControl/>
              <w:spacing w:line="240" w:lineRule="auto"/>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6</w:t>
            </w:r>
          </w:p>
        </w:tc>
      </w:tr>
      <w:tr w14:paraId="4AB5790D">
        <w:tblPrEx>
          <w:tblCellMar>
            <w:top w:w="0" w:type="dxa"/>
            <w:left w:w="108" w:type="dxa"/>
            <w:bottom w:w="0" w:type="dxa"/>
            <w:right w:w="108" w:type="dxa"/>
          </w:tblCellMar>
        </w:tblPrEx>
        <w:trPr>
          <w:trHeight w:val="450" w:hRule="atLeast"/>
        </w:trPr>
        <w:tc>
          <w:tcPr>
            <w:tcW w:w="6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F333A">
            <w:pPr>
              <w:widowControl/>
              <w:spacing w:line="240" w:lineRule="auto"/>
              <w:ind w:firstLine="0" w:firstLineChars="0"/>
              <w:jc w:val="center"/>
              <w:rPr>
                <w:rFonts w:eastAsia="宋体"/>
                <w:color w:val="000000"/>
                <w:sz w:val="18"/>
                <w:szCs w:val="18"/>
              </w:rPr>
            </w:pPr>
          </w:p>
        </w:tc>
        <w:tc>
          <w:tcPr>
            <w:tcW w:w="1250" w:type="pct"/>
            <w:vMerge w:val="continue"/>
            <w:tcBorders>
              <w:left w:val="single" w:color="000000" w:sz="4" w:space="0"/>
              <w:bottom w:val="single" w:color="000000" w:sz="4" w:space="0"/>
              <w:right w:val="single" w:color="000000" w:sz="4" w:space="0"/>
            </w:tcBorders>
            <w:shd w:val="clear" w:color="auto" w:fill="auto"/>
            <w:vAlign w:val="center"/>
          </w:tcPr>
          <w:p w14:paraId="31074FBF">
            <w:pPr>
              <w:widowControl/>
              <w:spacing w:line="240" w:lineRule="auto"/>
              <w:ind w:firstLine="0" w:firstLineChars="0"/>
              <w:jc w:val="center"/>
              <w:textAlignment w:val="center"/>
              <w:rPr>
                <w:rFonts w:eastAsia="宋体"/>
                <w:color w:val="000000"/>
                <w:kern w:val="0"/>
                <w:sz w:val="18"/>
                <w:szCs w:val="18"/>
                <w:lang w:bidi="ar"/>
              </w:rPr>
            </w:pPr>
          </w:p>
        </w:tc>
        <w:tc>
          <w:tcPr>
            <w:tcW w:w="1123" w:type="pct"/>
            <w:tcBorders>
              <w:top w:val="single" w:color="000000" w:sz="4" w:space="0"/>
              <w:left w:val="single" w:color="000000" w:sz="4" w:space="0"/>
              <w:bottom w:val="single" w:color="000000" w:sz="4" w:space="0"/>
              <w:right w:val="nil"/>
            </w:tcBorders>
            <w:shd w:val="clear" w:color="auto" w:fill="auto"/>
            <w:vAlign w:val="center"/>
          </w:tcPr>
          <w:p w14:paraId="6E1CFFF6">
            <w:pPr>
              <w:widowControl/>
              <w:spacing w:line="240" w:lineRule="auto"/>
              <w:ind w:firstLine="0" w:firstLineChars="0"/>
              <w:jc w:val="left"/>
              <w:textAlignment w:val="center"/>
              <w:rPr>
                <w:rFonts w:eastAsia="宋体"/>
                <w:color w:val="000000"/>
                <w:kern w:val="0"/>
                <w:sz w:val="18"/>
                <w:szCs w:val="18"/>
                <w:lang w:bidi="ar"/>
              </w:rPr>
            </w:pPr>
            <w:r>
              <w:rPr>
                <w:rFonts w:hint="eastAsia" w:eastAsia="宋体"/>
                <w:color w:val="000000"/>
                <w:kern w:val="0"/>
                <w:sz w:val="18"/>
                <w:szCs w:val="18"/>
                <w:lang w:bidi="ar"/>
              </w:rPr>
              <w:t>C322老年人用餐数据真实性</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102F5">
            <w:pPr>
              <w:widowControl/>
              <w:spacing w:line="240" w:lineRule="auto"/>
              <w:ind w:firstLine="0" w:firstLineChars="0"/>
              <w:jc w:val="center"/>
              <w:textAlignment w:val="center"/>
              <w:rPr>
                <w:rFonts w:hint="eastAsia" w:eastAsia="宋体"/>
                <w:color w:val="000000"/>
                <w:kern w:val="0"/>
                <w:sz w:val="18"/>
                <w:szCs w:val="18"/>
                <w:lang w:val="en-US" w:eastAsia="zh-CN" w:bidi="ar"/>
              </w:rPr>
            </w:pPr>
            <w:r>
              <w:rPr>
                <w:rFonts w:hint="eastAsia" w:eastAsia="宋体"/>
                <w:color w:val="000000"/>
                <w:kern w:val="0"/>
                <w:sz w:val="18"/>
                <w:szCs w:val="18"/>
                <w:lang w:val="en-US" w:eastAsia="zh-CN" w:bidi="ar"/>
              </w:rPr>
              <w:t>6</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CC22">
            <w:pPr>
              <w:widowControl/>
              <w:spacing w:line="240" w:lineRule="auto"/>
              <w:ind w:firstLine="0" w:firstLineChars="0"/>
              <w:jc w:val="center"/>
              <w:textAlignment w:val="center"/>
              <w:rPr>
                <w:rFonts w:hint="default" w:eastAsia="宋体"/>
                <w:color w:val="000000"/>
                <w:kern w:val="0"/>
                <w:sz w:val="18"/>
                <w:szCs w:val="18"/>
                <w:lang w:val="en-US" w:eastAsia="zh-CN" w:bidi="ar"/>
              </w:rPr>
            </w:pPr>
            <w:r>
              <w:rPr>
                <w:rFonts w:hint="eastAsia" w:eastAsia="宋体"/>
                <w:color w:val="000000"/>
                <w:kern w:val="0"/>
                <w:sz w:val="18"/>
                <w:szCs w:val="18"/>
                <w:lang w:val="en-US" w:eastAsia="zh-CN" w:bidi="ar"/>
              </w:rPr>
              <w:t>不够真实</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A31E2">
            <w:pPr>
              <w:widowControl/>
              <w:spacing w:line="240" w:lineRule="auto"/>
              <w:ind w:firstLine="0" w:firstLineChars="0"/>
              <w:jc w:val="center"/>
              <w:textAlignment w:val="center"/>
              <w:rPr>
                <w:rFonts w:hint="eastAsia" w:eastAsia="宋体"/>
                <w:color w:val="000000"/>
                <w:kern w:val="0"/>
                <w:sz w:val="18"/>
                <w:szCs w:val="18"/>
                <w:lang w:val="en-US" w:eastAsia="zh-CN" w:bidi="ar"/>
              </w:rPr>
            </w:pPr>
            <w:r>
              <w:rPr>
                <w:rFonts w:hint="eastAsia" w:eastAsia="宋体"/>
                <w:color w:val="000000"/>
                <w:kern w:val="0"/>
                <w:sz w:val="18"/>
                <w:szCs w:val="18"/>
                <w:lang w:val="en-US" w:eastAsia="zh-CN" w:bidi="ar"/>
              </w:rPr>
              <w:t>4</w:t>
            </w:r>
          </w:p>
        </w:tc>
      </w:tr>
      <w:tr w14:paraId="018A91F1">
        <w:tblPrEx>
          <w:tblCellMar>
            <w:top w:w="0" w:type="dxa"/>
            <w:left w:w="108" w:type="dxa"/>
            <w:bottom w:w="0" w:type="dxa"/>
            <w:right w:w="108" w:type="dxa"/>
          </w:tblCellMar>
        </w:tblPrEx>
        <w:trPr>
          <w:trHeight w:val="450" w:hRule="atLeast"/>
        </w:trPr>
        <w:tc>
          <w:tcPr>
            <w:tcW w:w="6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4D63">
            <w:pPr>
              <w:widowControl/>
              <w:spacing w:line="240" w:lineRule="auto"/>
              <w:ind w:firstLine="0" w:firstLineChars="0"/>
              <w:jc w:val="center"/>
              <w:rPr>
                <w:rFonts w:eastAsia="宋体"/>
                <w:color w:val="000000"/>
                <w:sz w:val="18"/>
                <w:szCs w:val="18"/>
              </w:rPr>
            </w:pP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E657">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C33产出时效（</w:t>
            </w:r>
            <w:r>
              <w:rPr>
                <w:rFonts w:hint="eastAsia" w:eastAsia="宋体"/>
                <w:color w:val="000000"/>
                <w:kern w:val="0"/>
                <w:sz w:val="18"/>
                <w:szCs w:val="18"/>
                <w:lang w:val="en-US" w:eastAsia="zh-CN" w:bidi="ar"/>
              </w:rPr>
              <w:t>8</w:t>
            </w:r>
            <w:r>
              <w:rPr>
                <w:rFonts w:eastAsia="宋体"/>
                <w:color w:val="000000"/>
                <w:kern w:val="0"/>
                <w:sz w:val="18"/>
                <w:szCs w:val="18"/>
                <w:lang w:bidi="ar"/>
              </w:rPr>
              <w:t>分）</w:t>
            </w:r>
          </w:p>
        </w:tc>
        <w:tc>
          <w:tcPr>
            <w:tcW w:w="1123" w:type="pct"/>
            <w:tcBorders>
              <w:top w:val="single" w:color="000000" w:sz="4" w:space="0"/>
              <w:left w:val="single" w:color="000000" w:sz="4" w:space="0"/>
              <w:bottom w:val="single" w:color="000000" w:sz="4" w:space="0"/>
              <w:right w:val="nil"/>
            </w:tcBorders>
            <w:shd w:val="clear" w:color="auto" w:fill="auto"/>
            <w:vAlign w:val="center"/>
          </w:tcPr>
          <w:p w14:paraId="2C978587">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C331补助资金发放及时率</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A5180">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8</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583F2">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及时</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3E30F">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8</w:t>
            </w:r>
          </w:p>
        </w:tc>
      </w:tr>
    </w:tbl>
    <w:p w14:paraId="3C0D75B6">
      <w:pPr>
        <w:pStyle w:val="5"/>
        <w:ind w:firstLine="560"/>
        <w:rPr>
          <w:rFonts w:ascii="Times New Roman" w:hAnsi="Times New Roman" w:cs="Times New Roman"/>
        </w:rPr>
      </w:pPr>
      <w:bookmarkStart w:id="175" w:name="_Toc13716"/>
      <w:bookmarkEnd w:id="175"/>
      <w:bookmarkStart w:id="176" w:name="_Toc19041"/>
      <w:bookmarkEnd w:id="176"/>
      <w:bookmarkStart w:id="177" w:name="_Toc75872309"/>
      <w:bookmarkEnd w:id="177"/>
      <w:bookmarkStart w:id="178" w:name="_Toc3803"/>
      <w:bookmarkEnd w:id="178"/>
      <w:bookmarkStart w:id="179" w:name="_Toc689"/>
      <w:bookmarkEnd w:id="179"/>
      <w:r>
        <w:rPr>
          <w:rFonts w:ascii="Times New Roman" w:hAnsi="Times New Roman" w:cs="Times New Roman"/>
        </w:rPr>
        <w:t>C31．产出数量。指标分值</w:t>
      </w:r>
      <w:r>
        <w:rPr>
          <w:rFonts w:hint="eastAsia" w:ascii="Times New Roman" w:hAnsi="Times New Roman" w:cs="Times New Roman"/>
        </w:rPr>
        <w:t>10</w:t>
      </w:r>
      <w:r>
        <w:rPr>
          <w:rFonts w:ascii="Times New Roman" w:hAnsi="Times New Roman" w:cs="Times New Roman"/>
        </w:rPr>
        <w:t>分，实际得</w:t>
      </w:r>
      <w:r>
        <w:rPr>
          <w:rFonts w:hint="eastAsia" w:ascii="Times New Roman" w:hAnsi="Times New Roman" w:cs="Times New Roman"/>
          <w:lang w:val="en-US" w:eastAsia="zh-CN"/>
        </w:rPr>
        <w:t>7.5</w:t>
      </w:r>
      <w:r>
        <w:rPr>
          <w:rFonts w:ascii="Times New Roman" w:hAnsi="Times New Roman" w:cs="Times New Roman"/>
        </w:rPr>
        <w:t>分。</w:t>
      </w:r>
    </w:p>
    <w:p w14:paraId="6B699292">
      <w:pPr>
        <w:pStyle w:val="6"/>
        <w:ind w:firstLine="560"/>
      </w:pPr>
      <w:r>
        <w:t>C311．</w:t>
      </w:r>
      <w:r>
        <w:rPr>
          <w:rFonts w:hint="eastAsia"/>
        </w:rPr>
        <w:t>老年食堂运营率</w:t>
      </w:r>
      <w:r>
        <w:t>。指标分值</w:t>
      </w:r>
      <w:r>
        <w:rPr>
          <w:rFonts w:hint="eastAsia"/>
        </w:rPr>
        <w:t>10</w:t>
      </w:r>
      <w:r>
        <w:t>分，实际得</w:t>
      </w:r>
      <w:r>
        <w:rPr>
          <w:rFonts w:hint="eastAsia"/>
          <w:lang w:val="en-US" w:eastAsia="zh-CN"/>
        </w:rPr>
        <w:t>7.5</w:t>
      </w:r>
      <w:r>
        <w:t>分。</w:t>
      </w:r>
    </w:p>
    <w:p w14:paraId="0175976F">
      <w:pPr>
        <w:ind w:firstLine="560"/>
        <w:rPr>
          <w:rFonts w:hint="eastAsia"/>
          <w:szCs w:val="32"/>
          <w:lang w:val="en-US" w:eastAsia="zh-CN"/>
        </w:rPr>
      </w:pPr>
      <w:r>
        <w:rPr>
          <w:rFonts w:hint="eastAsia"/>
          <w:szCs w:val="32"/>
          <w:lang w:val="en-US" w:eastAsia="zh-CN"/>
        </w:rPr>
        <w:t>该项指标用以考核老年食堂的运营效率。得分明细如下：</w:t>
      </w:r>
    </w:p>
    <w:p w14:paraId="4C28CCF8">
      <w:pPr>
        <w:ind w:firstLine="560"/>
        <w:rPr>
          <w:rFonts w:hint="default" w:eastAsia="仿宋_GB2312"/>
          <w:szCs w:val="32"/>
          <w:lang w:val="en-US" w:eastAsia="zh-CN"/>
        </w:rPr>
      </w:pPr>
      <w:r>
        <w:rPr>
          <w:rFonts w:hint="eastAsia"/>
          <w:szCs w:val="32"/>
          <w:lang w:val="en-US" w:eastAsia="zh-CN"/>
        </w:rPr>
        <w:t>根据《安宁市民政局关于2024“养老服务设施建设及运营、管理服务补助经费”预算项目自查自评报告》，截止2024年末，已建成老年食堂63家，其中：正常运营47家，停运16家。老年食堂运营率=（2024年运营的老年食堂/已建成的老年食堂）×100%=（47/63）×100%=75%，老年食堂运营率得分=老年食堂运营率×10</w:t>
      </w:r>
      <w:r>
        <w:rPr>
          <w:rFonts w:hint="eastAsia"/>
        </w:rPr>
        <w:t>分</w:t>
      </w:r>
      <w:r>
        <w:rPr>
          <w:rFonts w:hint="eastAsia"/>
          <w:lang w:eastAsia="zh-CN"/>
        </w:rPr>
        <w:t>，</w:t>
      </w:r>
      <w:r>
        <w:rPr>
          <w:rFonts w:hint="eastAsia"/>
        </w:rPr>
        <w:t>根据评分标准得</w:t>
      </w:r>
      <w:r>
        <w:rPr>
          <w:rFonts w:hint="eastAsia"/>
          <w:lang w:val="en-US" w:eastAsia="zh-CN"/>
        </w:rPr>
        <w:t>7.5分。</w:t>
      </w:r>
    </w:p>
    <w:p w14:paraId="544C2F84">
      <w:pPr>
        <w:pStyle w:val="5"/>
        <w:ind w:firstLine="560"/>
        <w:rPr>
          <w:rFonts w:ascii="Times New Roman" w:hAnsi="Times New Roman" w:cs="Times New Roman"/>
        </w:rPr>
      </w:pPr>
      <w:r>
        <w:rPr>
          <w:rFonts w:ascii="Times New Roman" w:hAnsi="Times New Roman" w:cs="Times New Roman"/>
        </w:rPr>
        <w:t>C32．产出质量。指标分值</w:t>
      </w:r>
      <w:r>
        <w:rPr>
          <w:rFonts w:hint="eastAsia" w:ascii="Times New Roman" w:hAnsi="Times New Roman" w:cs="Times New Roman"/>
        </w:rPr>
        <w:t>1</w:t>
      </w:r>
      <w:r>
        <w:rPr>
          <w:rFonts w:hint="eastAsia" w:ascii="Times New Roman" w:hAnsi="Times New Roman" w:cs="Times New Roman"/>
          <w:lang w:val="en-US" w:eastAsia="zh-CN"/>
        </w:rPr>
        <w:t>2</w:t>
      </w:r>
      <w:r>
        <w:rPr>
          <w:rFonts w:ascii="Times New Roman" w:hAnsi="Times New Roman" w:cs="Times New Roman"/>
        </w:rPr>
        <w:t>分，实际得</w:t>
      </w:r>
      <w:r>
        <w:rPr>
          <w:rFonts w:hint="eastAsia" w:ascii="Times New Roman" w:hAnsi="Times New Roman" w:cs="Times New Roman"/>
          <w:lang w:val="en-US" w:eastAsia="zh-CN"/>
        </w:rPr>
        <w:t>10</w:t>
      </w:r>
      <w:r>
        <w:rPr>
          <w:rFonts w:ascii="Times New Roman" w:hAnsi="Times New Roman" w:cs="Times New Roman"/>
        </w:rPr>
        <w:t>分。</w:t>
      </w:r>
    </w:p>
    <w:p w14:paraId="09C7CA9A">
      <w:pPr>
        <w:pStyle w:val="6"/>
        <w:ind w:firstLine="560"/>
      </w:pPr>
      <w:r>
        <w:t>C321．</w:t>
      </w:r>
      <w:r>
        <w:rPr>
          <w:rFonts w:hint="eastAsia"/>
        </w:rPr>
        <w:t>补助发放准确率。指标分值</w:t>
      </w:r>
      <w:r>
        <w:rPr>
          <w:rFonts w:hint="eastAsia"/>
          <w:lang w:val="en-US" w:eastAsia="zh-CN"/>
        </w:rPr>
        <w:t>6</w:t>
      </w:r>
      <w:r>
        <w:rPr>
          <w:rFonts w:hint="eastAsia"/>
        </w:rPr>
        <w:t>分，实际得6分。</w:t>
      </w:r>
    </w:p>
    <w:p w14:paraId="50B41BC9">
      <w:pPr>
        <w:ind w:firstLine="560"/>
      </w:pPr>
      <w:r>
        <w:rPr>
          <w:rFonts w:hint="eastAsia"/>
        </w:rPr>
        <w:t>该项指标用以考核项目补助金额的资金使用质量。得分明细如下：</w:t>
      </w:r>
    </w:p>
    <w:p w14:paraId="289ABD72">
      <w:pPr>
        <w:bidi w:val="0"/>
      </w:pPr>
      <w:r>
        <w:rPr>
          <w:rFonts w:hint="eastAsia"/>
        </w:rPr>
        <w:t>《安宁市关于进一步推进养老服务事业发展的实施方案》（安政办〔2021〕38号、《安宁市老年人用餐补助评估报告(2024年7月至12月)》、《安宁市老年人用餐补助评估报告(2024年1月至3月)》、2024年4-12月老年人用餐系统导出数据《机构统计报表》、财务凭证等，</w:t>
      </w:r>
      <w:r>
        <w:rPr>
          <w:rFonts w:hint="eastAsia"/>
          <w:lang w:val="en-US" w:eastAsia="zh-CN"/>
        </w:rPr>
        <w:t>补助标准为</w:t>
      </w:r>
      <w:r>
        <w:rPr>
          <w:rFonts w:hint="eastAsia"/>
          <w:color w:val="333333"/>
          <w:szCs w:val="32"/>
          <w:shd w:val="clear" w:color="auto" w:fill="FFFFFF"/>
        </w:rPr>
        <w:t>提供助餐服务的养老服务单位根据实际服务的老年人数和服务月数，给予服务机构200元/人/月的服务补助资金，其中城乡低收入老年人再增加200元/人/月的补助标准；为建成投入使用的城乡居家养老服务单位按2300元/人/月标准给予工作人员补助。</w:t>
      </w:r>
    </w:p>
    <w:p w14:paraId="53628692">
      <w:pPr>
        <w:bidi w:val="0"/>
        <w:rPr>
          <w:rFonts w:hint="eastAsia"/>
        </w:rPr>
      </w:pPr>
      <w:r>
        <w:rPr>
          <w:rFonts w:hint="eastAsia"/>
        </w:rPr>
        <w:t>安宁市民政局按照规定发放2024年度养老服务设施建设及运营、管理服务补助经费（老年食堂）项目</w:t>
      </w:r>
      <w:r>
        <w:rPr>
          <w:rFonts w:hint="eastAsia"/>
          <w:lang w:val="en-US" w:eastAsia="zh-CN"/>
        </w:rPr>
        <w:t>补助资</w:t>
      </w:r>
      <w:r>
        <w:rPr>
          <w:rFonts w:hint="eastAsia"/>
        </w:rPr>
        <w:t>金11,551,900.00元，其中：用于老年食堂老年人用餐服务补助8,653,840.00元，老年食堂工作人员补助2,868,060.00元，老年食堂启动运营补助30,000.00元。根据评分标准得6分。</w:t>
      </w:r>
    </w:p>
    <w:p w14:paraId="6A86D42B">
      <w:pPr>
        <w:bidi w:val="0"/>
        <w:rPr>
          <w:rFonts w:hint="eastAsia"/>
        </w:rPr>
      </w:pPr>
      <w:r>
        <w:t>C32</w:t>
      </w:r>
      <w:r>
        <w:rPr>
          <w:rFonts w:hint="eastAsia"/>
          <w:lang w:val="en-US" w:eastAsia="zh-CN"/>
        </w:rPr>
        <w:t>2</w:t>
      </w:r>
      <w:r>
        <w:t>．</w:t>
      </w:r>
      <w:r>
        <w:rPr>
          <w:rFonts w:hint="eastAsia"/>
        </w:rPr>
        <w:t>老年人用餐数据真实性。指标分值</w:t>
      </w:r>
      <w:r>
        <w:rPr>
          <w:rFonts w:hint="eastAsia"/>
          <w:lang w:val="en-US" w:eastAsia="zh-CN"/>
        </w:rPr>
        <w:t>6</w:t>
      </w:r>
      <w:r>
        <w:rPr>
          <w:rFonts w:hint="eastAsia"/>
        </w:rPr>
        <w:t>分，实际得</w:t>
      </w:r>
      <w:r>
        <w:rPr>
          <w:rFonts w:hint="eastAsia"/>
          <w:lang w:val="en-US" w:eastAsia="zh-CN"/>
        </w:rPr>
        <w:t>4</w:t>
      </w:r>
      <w:r>
        <w:rPr>
          <w:rFonts w:hint="eastAsia"/>
        </w:rPr>
        <w:t>分。</w:t>
      </w:r>
    </w:p>
    <w:p w14:paraId="7E4205BE">
      <w:pPr>
        <w:bidi w:val="0"/>
        <w:rPr>
          <w:rFonts w:hint="eastAsia"/>
        </w:rPr>
      </w:pPr>
      <w:r>
        <w:rPr>
          <w:rFonts w:hint="eastAsia"/>
        </w:rPr>
        <w:t>该项指标用以考核项目补助数据的真实程度</w:t>
      </w:r>
      <w:r>
        <w:rPr>
          <w:rFonts w:hint="eastAsia"/>
          <w:lang w:eastAsia="zh-CN"/>
        </w:rPr>
        <w:t>。</w:t>
      </w:r>
      <w:r>
        <w:rPr>
          <w:rFonts w:hint="eastAsia"/>
        </w:rPr>
        <w:t>指标分值</w:t>
      </w:r>
      <w:r>
        <w:rPr>
          <w:rFonts w:hint="eastAsia"/>
          <w:lang w:val="en-US" w:eastAsia="zh-CN"/>
        </w:rPr>
        <w:t>6</w:t>
      </w:r>
      <w:r>
        <w:rPr>
          <w:rFonts w:hint="eastAsia"/>
        </w:rPr>
        <w:t>分，实际得</w:t>
      </w:r>
      <w:r>
        <w:rPr>
          <w:rFonts w:hint="eastAsia"/>
          <w:lang w:val="en-US" w:eastAsia="zh-CN"/>
        </w:rPr>
        <w:t>4</w:t>
      </w:r>
      <w:r>
        <w:rPr>
          <w:rFonts w:hint="eastAsia"/>
        </w:rPr>
        <w:t>分。</w:t>
      </w:r>
    </w:p>
    <w:p w14:paraId="012A3900">
      <w:pPr>
        <w:bidi w:val="0"/>
        <w:rPr>
          <w:rFonts w:hint="default" w:eastAsia="仿宋_GB2312"/>
          <w:lang w:val="en-US" w:eastAsia="zh-CN"/>
        </w:rPr>
      </w:pPr>
      <w:r>
        <w:rPr>
          <w:rFonts w:hint="eastAsia"/>
          <w:lang w:val="en-US" w:eastAsia="zh-CN"/>
        </w:rPr>
        <w:t>根据</w:t>
      </w:r>
      <w:r>
        <w:rPr>
          <w:rFonts w:hint="eastAsia"/>
          <w:lang w:eastAsia="zh-CN"/>
        </w:rPr>
        <w:t>《安宁市关于进一步推进养老服务事业发展的实施方案》（安政办〔2021〕38号、《安宁市老年人用餐补助评估报告(2024年7月至12月)》、《安宁市老年人用餐补助评估报告(2024年1月至3月)》、2024年4-12月老年人用餐系统导出数据《机构统计报表》、财务凭证</w:t>
      </w:r>
      <w:r>
        <w:rPr>
          <w:rFonts w:hint="eastAsia"/>
          <w:lang w:val="en-US" w:eastAsia="zh-CN"/>
        </w:rPr>
        <w:t>等，未发现其他</w:t>
      </w:r>
      <w:r>
        <w:rPr>
          <w:rFonts w:hint="eastAsia"/>
        </w:rPr>
        <w:t>补助数据的</w:t>
      </w:r>
      <w:r>
        <w:rPr>
          <w:rFonts w:hint="eastAsia"/>
          <w:lang w:val="en-US" w:eastAsia="zh-CN"/>
        </w:rPr>
        <w:t>不</w:t>
      </w:r>
      <w:r>
        <w:rPr>
          <w:rFonts w:hint="eastAsia"/>
        </w:rPr>
        <w:t>真实</w:t>
      </w:r>
      <w:r>
        <w:rPr>
          <w:rFonts w:hint="eastAsia"/>
          <w:lang w:eastAsia="zh-CN"/>
        </w:rPr>
        <w:t>的</w:t>
      </w:r>
      <w:r>
        <w:rPr>
          <w:rFonts w:hint="eastAsia"/>
          <w:lang w:val="en-US" w:eastAsia="zh-CN"/>
        </w:rPr>
        <w:t>情况，</w:t>
      </w:r>
      <w:r>
        <w:rPr>
          <w:rFonts w:hint="eastAsia"/>
        </w:rPr>
        <w:t>根据评分标准得</w:t>
      </w:r>
      <w:r>
        <w:rPr>
          <w:rFonts w:hint="eastAsia"/>
          <w:lang w:val="en-US" w:eastAsia="zh-CN"/>
        </w:rPr>
        <w:t>4</w:t>
      </w:r>
      <w:r>
        <w:rPr>
          <w:rFonts w:hint="eastAsia"/>
        </w:rPr>
        <w:t>分。</w:t>
      </w:r>
    </w:p>
    <w:p w14:paraId="32BEADCE">
      <w:pPr>
        <w:bidi w:val="0"/>
        <w:rPr>
          <w:rFonts w:hint="default"/>
          <w:lang w:val="en-US" w:eastAsia="zh-CN"/>
        </w:rPr>
      </w:pPr>
      <w:r>
        <w:rPr>
          <w:rFonts w:hint="eastAsia"/>
          <w:color w:val="333333"/>
          <w:szCs w:val="32"/>
          <w:shd w:val="clear" w:color="auto" w:fill="FFFFFF"/>
        </w:rPr>
        <w:t>扣分明细如下：</w:t>
      </w:r>
    </w:p>
    <w:p w14:paraId="64948D7B">
      <w:pPr>
        <w:bidi w:val="0"/>
        <w:rPr>
          <w:rFonts w:hint="eastAsia"/>
          <w:lang w:eastAsia="zh-CN"/>
        </w:rPr>
      </w:pPr>
      <w:r>
        <w:rPr>
          <w:rFonts w:hint="eastAsia"/>
          <w:lang w:val="en-US" w:eastAsia="zh-CN"/>
        </w:rPr>
        <w:t>根据</w:t>
      </w:r>
      <w:r>
        <w:rPr>
          <w:rFonts w:hint="eastAsia"/>
          <w:lang w:eastAsia="zh-CN"/>
        </w:rPr>
        <w:t>《连然街道办事处关于螳川社区居家养老服务中心2024年资金未拨付情况说明》，螳川社区居家养老服务中心存在代刷卡虚报用餐人数的情况。</w:t>
      </w:r>
      <w:r>
        <w:rPr>
          <w:rFonts w:hint="eastAsia"/>
        </w:rPr>
        <w:t>根据评分标准</w:t>
      </w:r>
      <w:r>
        <w:rPr>
          <w:rFonts w:hint="eastAsia"/>
          <w:lang w:val="en-US" w:eastAsia="zh-CN"/>
        </w:rPr>
        <w:t>扣2</w:t>
      </w:r>
      <w:r>
        <w:rPr>
          <w:rFonts w:hint="eastAsia"/>
        </w:rPr>
        <w:t>分。</w:t>
      </w:r>
    </w:p>
    <w:p w14:paraId="7D460D03">
      <w:pPr>
        <w:pStyle w:val="5"/>
        <w:ind w:firstLine="560"/>
        <w:rPr>
          <w:rFonts w:ascii="Times New Roman" w:hAnsi="Times New Roman" w:cs="Times New Roman"/>
        </w:rPr>
      </w:pPr>
      <w:r>
        <w:rPr>
          <w:rFonts w:ascii="Times New Roman" w:hAnsi="Times New Roman" w:cs="Times New Roman"/>
        </w:rPr>
        <w:t>C33．产出时效。指标分值</w:t>
      </w:r>
      <w:r>
        <w:rPr>
          <w:rFonts w:hint="eastAsia" w:ascii="Times New Roman" w:hAnsi="Times New Roman" w:cs="Times New Roman"/>
          <w:lang w:val="en-US" w:eastAsia="zh-CN"/>
        </w:rPr>
        <w:t>8</w:t>
      </w:r>
      <w:r>
        <w:rPr>
          <w:rFonts w:ascii="Times New Roman" w:hAnsi="Times New Roman" w:cs="Times New Roman"/>
        </w:rPr>
        <w:t>分，实际得</w:t>
      </w:r>
      <w:r>
        <w:rPr>
          <w:rFonts w:hint="eastAsia" w:ascii="Times New Roman" w:hAnsi="Times New Roman" w:cs="Times New Roman"/>
          <w:lang w:val="en-US" w:eastAsia="zh-CN"/>
        </w:rPr>
        <w:t>8</w:t>
      </w:r>
      <w:r>
        <w:rPr>
          <w:rFonts w:ascii="Times New Roman" w:hAnsi="Times New Roman" w:cs="Times New Roman"/>
        </w:rPr>
        <w:t>分。</w:t>
      </w:r>
    </w:p>
    <w:p w14:paraId="036E37AF">
      <w:pPr>
        <w:pStyle w:val="6"/>
        <w:ind w:firstLine="560"/>
        <w:rPr>
          <w:color w:val="333333"/>
          <w:szCs w:val="32"/>
        </w:rPr>
      </w:pPr>
      <w:r>
        <w:rPr>
          <w:color w:val="333333"/>
          <w:szCs w:val="32"/>
        </w:rPr>
        <w:t>C331</w:t>
      </w:r>
      <w:r>
        <w:rPr>
          <w:szCs w:val="32"/>
        </w:rPr>
        <w:t>．</w:t>
      </w:r>
      <w:r>
        <w:rPr>
          <w:rFonts w:hint="eastAsia"/>
          <w:color w:val="333333"/>
          <w:szCs w:val="32"/>
        </w:rPr>
        <w:t>补助资金发放及时率。指标分值8分，实际得8分。</w:t>
      </w:r>
    </w:p>
    <w:p w14:paraId="365AF756">
      <w:pPr>
        <w:ind w:firstLine="560"/>
        <w:rPr>
          <w:szCs w:val="32"/>
        </w:rPr>
      </w:pPr>
      <w:r>
        <w:rPr>
          <w:rFonts w:hint="eastAsia"/>
          <w:color w:val="333333"/>
          <w:szCs w:val="32"/>
        </w:rPr>
        <w:t>该项指标用以考核项目资金使用的及时程度。得分明细如下：</w:t>
      </w:r>
    </w:p>
    <w:p w14:paraId="5ACF7203">
      <w:pPr>
        <w:bidi w:val="0"/>
      </w:pPr>
      <w:r>
        <w:rPr>
          <w:rFonts w:hint="eastAsia"/>
        </w:rPr>
        <w:t>202</w:t>
      </w:r>
      <w:r>
        <w:rPr>
          <w:rFonts w:hint="eastAsia"/>
          <w:lang w:val="en-US" w:eastAsia="zh-CN"/>
        </w:rPr>
        <w:t>4</w:t>
      </w:r>
      <w:r>
        <w:rPr>
          <w:rFonts w:hint="eastAsia"/>
        </w:rPr>
        <w:t>年安宁市民政局发放</w:t>
      </w:r>
      <w:r>
        <w:rPr>
          <w:rFonts w:hint="eastAsia"/>
          <w:lang w:val="en-US" w:eastAsia="zh-CN"/>
        </w:rPr>
        <w:t>老年食堂</w:t>
      </w:r>
      <w:r>
        <w:rPr>
          <w:rFonts w:hint="eastAsia"/>
        </w:rPr>
        <w:t>老年人用餐服务、工作人员补助资金11,551,900.00元，补助资金发放工作已全部完成，其中：用于老年食堂老年人用餐服务补助8,653,840.00元，老年食堂工作人员补助2,868,060.00元，老年食堂启动运营补助30,000.00元。补助资金发放及时率=（202</w:t>
      </w:r>
      <w:r>
        <w:rPr>
          <w:rFonts w:hint="eastAsia"/>
          <w:lang w:val="en-US" w:eastAsia="zh-CN"/>
        </w:rPr>
        <w:t>4</w:t>
      </w:r>
      <w:r>
        <w:rPr>
          <w:rFonts w:hint="eastAsia"/>
        </w:rPr>
        <w:t>年实际发放补助资金/应发放补助资金）×100%=（11,551,900.00÷11,551,900.00）×100%，补助资金发放及时率得分=补助资金发放及时率100%×8分，根据评分标准得</w:t>
      </w:r>
      <w:r>
        <w:rPr>
          <w:rFonts w:hint="eastAsia"/>
          <w:lang w:val="en-US" w:eastAsia="zh-CN"/>
        </w:rPr>
        <w:t>8</w:t>
      </w:r>
      <w:r>
        <w:rPr>
          <w:rFonts w:hint="eastAsia"/>
        </w:rPr>
        <w:t>分。</w:t>
      </w:r>
    </w:p>
    <w:p w14:paraId="6355B9C6">
      <w:pPr>
        <w:pStyle w:val="4"/>
        <w:ind w:firstLine="560"/>
      </w:pPr>
      <w:bookmarkStart w:id="180" w:name="_Toc118282092"/>
      <w:bookmarkEnd w:id="180"/>
      <w:bookmarkStart w:id="181" w:name="_Toc118041733"/>
      <w:bookmarkEnd w:id="181"/>
      <w:bookmarkStart w:id="182" w:name="_Toc10995"/>
      <w:bookmarkStart w:id="183" w:name="_Toc22651"/>
      <w:bookmarkStart w:id="184" w:name="_Toc13004"/>
      <w:r>
        <w:t>D4．项目效益情况分析</w:t>
      </w:r>
      <w:bookmarkEnd w:id="182"/>
      <w:bookmarkEnd w:id="183"/>
      <w:bookmarkEnd w:id="184"/>
    </w:p>
    <w:p w14:paraId="6AC4D537">
      <w:pPr>
        <w:ind w:firstLine="560"/>
        <w:rPr>
          <w:color w:val="333333"/>
          <w:szCs w:val="32"/>
          <w:shd w:val="clear" w:color="auto" w:fill="FFFFFF"/>
        </w:rPr>
      </w:pPr>
      <w:r>
        <w:rPr>
          <w:color w:val="333333"/>
          <w:szCs w:val="32"/>
          <w:shd w:val="clear" w:color="auto" w:fill="FFFFFF"/>
        </w:rPr>
        <w:t>项目效益类指标由</w:t>
      </w:r>
      <w:r>
        <w:rPr>
          <w:rFonts w:hint="eastAsia"/>
          <w:color w:val="333333"/>
          <w:szCs w:val="32"/>
          <w:shd w:val="clear" w:color="auto" w:fill="FFFFFF"/>
        </w:rPr>
        <w:t>2</w:t>
      </w:r>
      <w:r>
        <w:rPr>
          <w:color w:val="333333"/>
          <w:szCs w:val="32"/>
          <w:shd w:val="clear" w:color="auto" w:fill="FFFFFF"/>
        </w:rPr>
        <w:t>个二级指标，</w:t>
      </w:r>
      <w:r>
        <w:rPr>
          <w:rFonts w:hint="eastAsia"/>
          <w:color w:val="333333"/>
          <w:szCs w:val="32"/>
          <w:shd w:val="clear" w:color="auto" w:fill="FFFFFF"/>
        </w:rPr>
        <w:t>4</w:t>
      </w:r>
      <w:r>
        <w:rPr>
          <w:color w:val="333333"/>
          <w:szCs w:val="32"/>
          <w:shd w:val="clear" w:color="auto" w:fill="FFFFFF"/>
        </w:rPr>
        <w:t>个三级指标构成，指标分值</w:t>
      </w:r>
      <w:r>
        <w:rPr>
          <w:rFonts w:hint="eastAsia"/>
          <w:color w:val="333333"/>
          <w:szCs w:val="32"/>
          <w:shd w:val="clear" w:color="auto" w:fill="FFFFFF"/>
        </w:rPr>
        <w:t>30</w:t>
      </w:r>
      <w:r>
        <w:rPr>
          <w:color w:val="333333"/>
          <w:szCs w:val="32"/>
          <w:shd w:val="clear" w:color="auto" w:fill="FFFFFF"/>
        </w:rPr>
        <w:t>分，实际得分为</w:t>
      </w:r>
      <w:r>
        <w:rPr>
          <w:rFonts w:hint="eastAsia"/>
          <w:color w:val="333333"/>
          <w:szCs w:val="32"/>
          <w:shd w:val="clear" w:color="auto" w:fill="FFFFFF"/>
        </w:rPr>
        <w:t>24</w:t>
      </w:r>
      <w:r>
        <w:rPr>
          <w:color w:val="333333"/>
          <w:szCs w:val="32"/>
          <w:shd w:val="clear" w:color="auto" w:fill="FFFFFF"/>
        </w:rPr>
        <w:t>分。其中满分三级指标</w:t>
      </w:r>
      <w:r>
        <w:rPr>
          <w:rFonts w:hint="eastAsia"/>
          <w:color w:val="333333"/>
          <w:szCs w:val="32"/>
          <w:shd w:val="clear" w:color="auto" w:fill="FFFFFF"/>
        </w:rPr>
        <w:t>1</w:t>
      </w:r>
      <w:r>
        <w:rPr>
          <w:color w:val="333333"/>
          <w:szCs w:val="32"/>
          <w:shd w:val="clear" w:color="auto" w:fill="FFFFFF"/>
        </w:rPr>
        <w:t>个，扣分三级指标</w:t>
      </w:r>
      <w:r>
        <w:rPr>
          <w:rFonts w:hint="eastAsia"/>
          <w:color w:val="333333"/>
          <w:szCs w:val="32"/>
          <w:shd w:val="clear" w:color="auto" w:fill="FFFFFF"/>
        </w:rPr>
        <w:t>3</w:t>
      </w:r>
      <w:r>
        <w:rPr>
          <w:color w:val="333333"/>
          <w:szCs w:val="32"/>
          <w:shd w:val="clear" w:color="auto" w:fill="FFFFFF"/>
        </w:rPr>
        <w:t>个。各指标得分情况明细如下：</w:t>
      </w:r>
    </w:p>
    <w:tbl>
      <w:tblPr>
        <w:tblStyle w:val="1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17"/>
        <w:gridCol w:w="1238"/>
        <w:gridCol w:w="2101"/>
        <w:gridCol w:w="1096"/>
        <w:gridCol w:w="1836"/>
        <w:gridCol w:w="1231"/>
      </w:tblGrid>
      <w:tr w14:paraId="0A39F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blHeader/>
        </w:trPr>
        <w:tc>
          <w:tcPr>
            <w:tcW w:w="618" w:type="pct"/>
            <w:tcBorders>
              <w:tl2br w:val="nil"/>
              <w:tr2bl w:val="nil"/>
            </w:tcBorders>
            <w:shd w:val="clear" w:color="auto" w:fill="auto"/>
            <w:noWrap/>
            <w:vAlign w:val="center"/>
          </w:tcPr>
          <w:p w14:paraId="1C349B97">
            <w:pPr>
              <w:spacing w:line="240" w:lineRule="auto"/>
              <w:ind w:firstLine="0" w:firstLineChars="0"/>
              <w:jc w:val="center"/>
              <w:rPr>
                <w:rFonts w:eastAsia="宋体"/>
                <w:b/>
                <w:bCs/>
                <w:sz w:val="18"/>
                <w:szCs w:val="18"/>
              </w:rPr>
            </w:pPr>
            <w:r>
              <w:rPr>
                <w:rFonts w:eastAsia="宋体"/>
                <w:b/>
                <w:bCs/>
                <w:sz w:val="18"/>
                <w:szCs w:val="18"/>
              </w:rPr>
              <w:t>一级指标</w:t>
            </w:r>
          </w:p>
        </w:tc>
        <w:tc>
          <w:tcPr>
            <w:tcW w:w="748" w:type="pct"/>
            <w:tcBorders>
              <w:tl2br w:val="nil"/>
              <w:tr2bl w:val="nil"/>
            </w:tcBorders>
            <w:shd w:val="clear" w:color="auto" w:fill="auto"/>
            <w:noWrap/>
            <w:vAlign w:val="center"/>
          </w:tcPr>
          <w:p w14:paraId="2941A608">
            <w:pPr>
              <w:spacing w:line="240" w:lineRule="auto"/>
              <w:ind w:firstLine="0" w:firstLineChars="0"/>
              <w:jc w:val="center"/>
              <w:rPr>
                <w:rFonts w:eastAsia="宋体"/>
                <w:b/>
                <w:bCs/>
                <w:sz w:val="18"/>
                <w:szCs w:val="18"/>
              </w:rPr>
            </w:pPr>
            <w:r>
              <w:rPr>
                <w:rFonts w:eastAsia="宋体"/>
                <w:b/>
                <w:bCs/>
                <w:sz w:val="18"/>
                <w:szCs w:val="18"/>
              </w:rPr>
              <w:t>二级指标</w:t>
            </w:r>
          </w:p>
        </w:tc>
        <w:tc>
          <w:tcPr>
            <w:tcW w:w="1254" w:type="pct"/>
            <w:tcBorders>
              <w:tl2br w:val="nil"/>
              <w:tr2bl w:val="nil"/>
            </w:tcBorders>
            <w:shd w:val="clear" w:color="auto" w:fill="auto"/>
            <w:noWrap/>
            <w:vAlign w:val="center"/>
          </w:tcPr>
          <w:p w14:paraId="568B40E5">
            <w:pPr>
              <w:spacing w:line="240" w:lineRule="auto"/>
              <w:ind w:firstLine="0" w:firstLineChars="0"/>
              <w:jc w:val="center"/>
              <w:rPr>
                <w:rFonts w:eastAsia="宋体"/>
                <w:b/>
                <w:bCs/>
                <w:sz w:val="18"/>
                <w:szCs w:val="18"/>
              </w:rPr>
            </w:pPr>
            <w:r>
              <w:rPr>
                <w:rFonts w:eastAsia="宋体"/>
                <w:b/>
                <w:bCs/>
                <w:sz w:val="18"/>
                <w:szCs w:val="18"/>
              </w:rPr>
              <w:t>三级指标</w:t>
            </w:r>
          </w:p>
        </w:tc>
        <w:tc>
          <w:tcPr>
            <w:tcW w:w="664" w:type="pct"/>
            <w:tcBorders>
              <w:tl2br w:val="nil"/>
              <w:tr2bl w:val="nil"/>
            </w:tcBorders>
            <w:shd w:val="clear" w:color="auto" w:fill="auto"/>
            <w:noWrap/>
            <w:vAlign w:val="center"/>
          </w:tcPr>
          <w:p w14:paraId="37456FAD">
            <w:pPr>
              <w:spacing w:line="240" w:lineRule="auto"/>
              <w:ind w:firstLine="0" w:firstLineChars="0"/>
              <w:jc w:val="center"/>
              <w:rPr>
                <w:rFonts w:eastAsia="宋体"/>
                <w:b/>
                <w:bCs/>
                <w:sz w:val="18"/>
                <w:szCs w:val="18"/>
              </w:rPr>
            </w:pPr>
            <w:r>
              <w:rPr>
                <w:rFonts w:eastAsia="宋体"/>
                <w:b/>
                <w:bCs/>
                <w:sz w:val="18"/>
                <w:szCs w:val="18"/>
              </w:rPr>
              <w:t>指标分值</w:t>
            </w:r>
          </w:p>
        </w:tc>
        <w:tc>
          <w:tcPr>
            <w:tcW w:w="970" w:type="pct"/>
            <w:tcBorders>
              <w:tl2br w:val="nil"/>
              <w:tr2bl w:val="nil"/>
            </w:tcBorders>
            <w:shd w:val="clear" w:color="auto" w:fill="auto"/>
            <w:noWrap/>
            <w:vAlign w:val="center"/>
          </w:tcPr>
          <w:p w14:paraId="7DDA1B8E">
            <w:pPr>
              <w:spacing w:line="240" w:lineRule="auto"/>
              <w:ind w:firstLine="0" w:firstLineChars="0"/>
              <w:jc w:val="center"/>
              <w:rPr>
                <w:rFonts w:eastAsia="宋体"/>
                <w:b/>
                <w:bCs/>
                <w:sz w:val="18"/>
                <w:szCs w:val="18"/>
              </w:rPr>
            </w:pPr>
            <w:r>
              <w:rPr>
                <w:rFonts w:eastAsia="宋体"/>
                <w:b/>
                <w:bCs/>
                <w:sz w:val="18"/>
                <w:szCs w:val="18"/>
              </w:rPr>
              <w:t>实现情况</w:t>
            </w:r>
          </w:p>
        </w:tc>
        <w:tc>
          <w:tcPr>
            <w:tcW w:w="743" w:type="pct"/>
            <w:tcBorders>
              <w:tl2br w:val="nil"/>
              <w:tr2bl w:val="nil"/>
            </w:tcBorders>
            <w:shd w:val="clear" w:color="auto" w:fill="auto"/>
            <w:noWrap/>
            <w:vAlign w:val="center"/>
          </w:tcPr>
          <w:p w14:paraId="33602361">
            <w:pPr>
              <w:spacing w:line="240" w:lineRule="auto"/>
              <w:ind w:firstLine="0" w:firstLineChars="0"/>
              <w:jc w:val="center"/>
              <w:rPr>
                <w:rFonts w:eastAsia="宋体"/>
                <w:b/>
                <w:bCs/>
                <w:sz w:val="18"/>
                <w:szCs w:val="18"/>
              </w:rPr>
            </w:pPr>
            <w:r>
              <w:rPr>
                <w:rFonts w:eastAsia="宋体"/>
                <w:b/>
                <w:bCs/>
                <w:sz w:val="18"/>
                <w:szCs w:val="18"/>
              </w:rPr>
              <w:t>实际得分</w:t>
            </w:r>
          </w:p>
        </w:tc>
      </w:tr>
      <w:tr w14:paraId="0194D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618" w:type="pct"/>
            <w:vMerge w:val="restart"/>
            <w:tcBorders>
              <w:tl2br w:val="nil"/>
              <w:tr2bl w:val="nil"/>
            </w:tcBorders>
            <w:shd w:val="clear" w:color="auto" w:fill="auto"/>
            <w:vAlign w:val="center"/>
          </w:tcPr>
          <w:p w14:paraId="6E07F0FA">
            <w:pPr>
              <w:spacing w:line="240" w:lineRule="auto"/>
              <w:ind w:firstLine="0" w:firstLineChars="0"/>
              <w:rPr>
                <w:rFonts w:eastAsia="宋体"/>
                <w:sz w:val="18"/>
                <w:szCs w:val="18"/>
              </w:rPr>
            </w:pPr>
            <w:r>
              <w:rPr>
                <w:rFonts w:eastAsia="宋体"/>
                <w:sz w:val="18"/>
                <w:szCs w:val="18"/>
              </w:rPr>
              <w:t>D4效益（</w:t>
            </w:r>
            <w:r>
              <w:rPr>
                <w:rFonts w:hint="eastAsia" w:eastAsia="宋体"/>
                <w:sz w:val="18"/>
                <w:szCs w:val="18"/>
              </w:rPr>
              <w:t>30</w:t>
            </w:r>
            <w:r>
              <w:rPr>
                <w:rFonts w:eastAsia="宋体"/>
                <w:sz w:val="18"/>
                <w:szCs w:val="18"/>
              </w:rPr>
              <w:t>分）</w:t>
            </w:r>
          </w:p>
        </w:tc>
        <w:tc>
          <w:tcPr>
            <w:tcW w:w="748" w:type="pct"/>
            <w:vMerge w:val="restart"/>
            <w:tcBorders>
              <w:tl2br w:val="nil"/>
              <w:tr2bl w:val="nil"/>
            </w:tcBorders>
            <w:shd w:val="clear" w:color="auto" w:fill="auto"/>
            <w:vAlign w:val="center"/>
          </w:tcPr>
          <w:p w14:paraId="41B48980">
            <w:pPr>
              <w:spacing w:line="240" w:lineRule="auto"/>
              <w:ind w:firstLine="0" w:firstLineChars="0"/>
              <w:jc w:val="center"/>
              <w:rPr>
                <w:rFonts w:eastAsia="宋体"/>
                <w:sz w:val="18"/>
                <w:szCs w:val="18"/>
              </w:rPr>
            </w:pPr>
            <w:r>
              <w:rPr>
                <w:rFonts w:eastAsia="宋体"/>
                <w:sz w:val="18"/>
                <w:szCs w:val="18"/>
              </w:rPr>
              <w:t>D41项目效益（</w:t>
            </w:r>
            <w:r>
              <w:rPr>
                <w:rFonts w:hint="eastAsia" w:eastAsia="宋体"/>
                <w:sz w:val="18"/>
                <w:szCs w:val="18"/>
              </w:rPr>
              <w:t>24</w:t>
            </w:r>
            <w:r>
              <w:rPr>
                <w:rFonts w:eastAsia="宋体"/>
                <w:sz w:val="18"/>
                <w:szCs w:val="18"/>
              </w:rPr>
              <w:t>分）</w:t>
            </w:r>
          </w:p>
        </w:tc>
        <w:tc>
          <w:tcPr>
            <w:tcW w:w="1254" w:type="pct"/>
            <w:tcBorders>
              <w:tl2br w:val="nil"/>
              <w:tr2bl w:val="nil"/>
            </w:tcBorders>
            <w:shd w:val="clear" w:color="auto" w:fill="auto"/>
            <w:vAlign w:val="center"/>
          </w:tcPr>
          <w:p w14:paraId="460BD5E1">
            <w:pPr>
              <w:spacing w:line="240" w:lineRule="auto"/>
              <w:ind w:firstLine="0" w:firstLineChars="0"/>
              <w:rPr>
                <w:rFonts w:eastAsia="宋体"/>
                <w:sz w:val="18"/>
                <w:szCs w:val="18"/>
              </w:rPr>
            </w:pPr>
            <w:r>
              <w:rPr>
                <w:rFonts w:eastAsia="宋体"/>
                <w:sz w:val="18"/>
                <w:szCs w:val="18"/>
              </w:rPr>
              <w:t>D411社会效益</w:t>
            </w:r>
          </w:p>
        </w:tc>
        <w:tc>
          <w:tcPr>
            <w:tcW w:w="664" w:type="pct"/>
            <w:tcBorders>
              <w:tl2br w:val="nil"/>
              <w:tr2bl w:val="nil"/>
            </w:tcBorders>
            <w:shd w:val="clear" w:color="auto" w:fill="auto"/>
            <w:vAlign w:val="center"/>
          </w:tcPr>
          <w:p w14:paraId="4F190589">
            <w:pPr>
              <w:spacing w:line="240" w:lineRule="auto"/>
              <w:ind w:firstLine="0" w:firstLineChars="0"/>
              <w:jc w:val="center"/>
              <w:rPr>
                <w:rFonts w:eastAsia="宋体"/>
                <w:sz w:val="18"/>
                <w:szCs w:val="18"/>
              </w:rPr>
            </w:pPr>
            <w:r>
              <w:rPr>
                <w:rFonts w:hint="eastAsia" w:eastAsia="宋体"/>
                <w:sz w:val="18"/>
                <w:szCs w:val="18"/>
              </w:rPr>
              <w:t>12</w:t>
            </w:r>
          </w:p>
        </w:tc>
        <w:tc>
          <w:tcPr>
            <w:tcW w:w="970" w:type="pct"/>
            <w:tcBorders>
              <w:tl2br w:val="nil"/>
              <w:tr2bl w:val="nil"/>
            </w:tcBorders>
            <w:shd w:val="clear" w:color="auto" w:fill="auto"/>
            <w:noWrap/>
            <w:vAlign w:val="center"/>
          </w:tcPr>
          <w:p w14:paraId="0DF628B9">
            <w:pPr>
              <w:spacing w:line="240" w:lineRule="auto"/>
              <w:ind w:firstLine="0" w:firstLineChars="0"/>
              <w:jc w:val="center"/>
              <w:rPr>
                <w:rFonts w:eastAsia="宋体"/>
                <w:sz w:val="18"/>
                <w:szCs w:val="18"/>
              </w:rPr>
            </w:pPr>
            <w:r>
              <w:rPr>
                <w:rFonts w:eastAsia="宋体"/>
                <w:color w:val="000000"/>
                <w:kern w:val="0"/>
                <w:sz w:val="18"/>
                <w:szCs w:val="18"/>
              </w:rPr>
              <w:t>目标效果可部分实现</w:t>
            </w:r>
          </w:p>
        </w:tc>
        <w:tc>
          <w:tcPr>
            <w:tcW w:w="743" w:type="pct"/>
            <w:tcBorders>
              <w:tl2br w:val="nil"/>
              <w:tr2bl w:val="nil"/>
            </w:tcBorders>
            <w:shd w:val="clear" w:color="auto" w:fill="auto"/>
            <w:noWrap/>
            <w:vAlign w:val="center"/>
          </w:tcPr>
          <w:p w14:paraId="3784ED6A">
            <w:pPr>
              <w:spacing w:line="240" w:lineRule="auto"/>
              <w:ind w:firstLine="0" w:firstLineChars="0"/>
              <w:jc w:val="center"/>
              <w:rPr>
                <w:rFonts w:hint="eastAsia" w:eastAsia="宋体"/>
                <w:sz w:val="18"/>
                <w:szCs w:val="18"/>
                <w:lang w:val="en-US" w:eastAsia="zh-CN"/>
              </w:rPr>
            </w:pPr>
            <w:r>
              <w:rPr>
                <w:rFonts w:hint="eastAsia" w:eastAsia="宋体"/>
                <w:sz w:val="18"/>
                <w:szCs w:val="18"/>
                <w:lang w:val="en-US" w:eastAsia="zh-CN"/>
              </w:rPr>
              <w:t>9</w:t>
            </w:r>
          </w:p>
        </w:tc>
      </w:tr>
      <w:tr w14:paraId="072D4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618" w:type="pct"/>
            <w:vMerge w:val="continue"/>
            <w:tcBorders>
              <w:tl2br w:val="nil"/>
              <w:tr2bl w:val="nil"/>
            </w:tcBorders>
            <w:shd w:val="clear" w:color="auto" w:fill="auto"/>
            <w:vAlign w:val="center"/>
          </w:tcPr>
          <w:p w14:paraId="46C0BDE2">
            <w:pPr>
              <w:spacing w:line="240" w:lineRule="auto"/>
              <w:ind w:firstLine="0" w:firstLineChars="0"/>
              <w:rPr>
                <w:rFonts w:eastAsia="宋体"/>
                <w:sz w:val="18"/>
                <w:szCs w:val="18"/>
              </w:rPr>
            </w:pPr>
          </w:p>
        </w:tc>
        <w:tc>
          <w:tcPr>
            <w:tcW w:w="748" w:type="pct"/>
            <w:vMerge w:val="continue"/>
            <w:tcBorders>
              <w:tl2br w:val="nil"/>
              <w:tr2bl w:val="nil"/>
            </w:tcBorders>
            <w:shd w:val="clear" w:color="auto" w:fill="auto"/>
            <w:vAlign w:val="center"/>
          </w:tcPr>
          <w:p w14:paraId="6B415759">
            <w:pPr>
              <w:spacing w:line="240" w:lineRule="auto"/>
              <w:ind w:firstLine="0" w:firstLineChars="0"/>
              <w:jc w:val="center"/>
              <w:rPr>
                <w:rFonts w:eastAsia="宋体"/>
                <w:sz w:val="18"/>
                <w:szCs w:val="18"/>
              </w:rPr>
            </w:pPr>
          </w:p>
        </w:tc>
        <w:tc>
          <w:tcPr>
            <w:tcW w:w="1254" w:type="pct"/>
            <w:tcBorders>
              <w:tl2br w:val="nil"/>
              <w:tr2bl w:val="nil"/>
            </w:tcBorders>
            <w:shd w:val="clear" w:color="auto" w:fill="auto"/>
            <w:vAlign w:val="center"/>
          </w:tcPr>
          <w:p w14:paraId="44C0EB3E">
            <w:pPr>
              <w:spacing w:line="240" w:lineRule="auto"/>
              <w:ind w:firstLine="0" w:firstLineChars="0"/>
              <w:rPr>
                <w:rFonts w:eastAsia="宋体"/>
                <w:sz w:val="18"/>
                <w:szCs w:val="18"/>
              </w:rPr>
            </w:pPr>
            <w:r>
              <w:rPr>
                <w:rFonts w:eastAsia="宋体"/>
                <w:sz w:val="18"/>
                <w:szCs w:val="18"/>
              </w:rPr>
              <w:t>D412经济效益</w:t>
            </w:r>
          </w:p>
        </w:tc>
        <w:tc>
          <w:tcPr>
            <w:tcW w:w="664" w:type="pct"/>
            <w:tcBorders>
              <w:tl2br w:val="nil"/>
              <w:tr2bl w:val="nil"/>
            </w:tcBorders>
            <w:shd w:val="clear" w:color="auto" w:fill="auto"/>
            <w:vAlign w:val="center"/>
          </w:tcPr>
          <w:p w14:paraId="380D7161">
            <w:pPr>
              <w:spacing w:line="240" w:lineRule="auto"/>
              <w:ind w:firstLine="0" w:firstLineChars="0"/>
              <w:jc w:val="center"/>
              <w:rPr>
                <w:rFonts w:eastAsia="宋体"/>
                <w:sz w:val="18"/>
                <w:szCs w:val="18"/>
              </w:rPr>
            </w:pPr>
            <w:r>
              <w:rPr>
                <w:rFonts w:hint="eastAsia" w:eastAsia="宋体"/>
                <w:sz w:val="18"/>
                <w:szCs w:val="18"/>
              </w:rPr>
              <w:t>6</w:t>
            </w:r>
          </w:p>
        </w:tc>
        <w:tc>
          <w:tcPr>
            <w:tcW w:w="970" w:type="pct"/>
            <w:tcBorders>
              <w:tl2br w:val="nil"/>
              <w:tr2bl w:val="nil"/>
            </w:tcBorders>
            <w:shd w:val="clear" w:color="auto" w:fill="auto"/>
            <w:noWrap/>
            <w:vAlign w:val="center"/>
          </w:tcPr>
          <w:p w14:paraId="76C3777E">
            <w:pPr>
              <w:spacing w:line="240" w:lineRule="auto"/>
              <w:ind w:firstLine="0" w:firstLineChars="0"/>
              <w:jc w:val="center"/>
              <w:rPr>
                <w:rFonts w:eastAsia="宋体"/>
                <w:sz w:val="18"/>
                <w:szCs w:val="18"/>
              </w:rPr>
            </w:pPr>
            <w:r>
              <w:rPr>
                <w:rFonts w:eastAsia="宋体"/>
                <w:color w:val="000000"/>
                <w:kern w:val="0"/>
                <w:sz w:val="18"/>
                <w:szCs w:val="18"/>
              </w:rPr>
              <w:t>目标效果可部分实现</w:t>
            </w:r>
          </w:p>
        </w:tc>
        <w:tc>
          <w:tcPr>
            <w:tcW w:w="743" w:type="pct"/>
            <w:tcBorders>
              <w:tl2br w:val="nil"/>
              <w:tr2bl w:val="nil"/>
            </w:tcBorders>
            <w:shd w:val="clear" w:color="auto" w:fill="auto"/>
            <w:noWrap/>
            <w:vAlign w:val="center"/>
          </w:tcPr>
          <w:p w14:paraId="43CC1422">
            <w:pPr>
              <w:spacing w:line="240" w:lineRule="auto"/>
              <w:ind w:firstLine="0" w:firstLineChars="0"/>
              <w:jc w:val="center"/>
              <w:rPr>
                <w:rFonts w:eastAsia="宋体"/>
                <w:sz w:val="18"/>
                <w:szCs w:val="18"/>
              </w:rPr>
            </w:pPr>
            <w:r>
              <w:rPr>
                <w:rFonts w:hint="eastAsia" w:eastAsia="宋体"/>
                <w:sz w:val="18"/>
                <w:szCs w:val="18"/>
              </w:rPr>
              <w:t>4</w:t>
            </w:r>
          </w:p>
        </w:tc>
      </w:tr>
      <w:tr w14:paraId="39A48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618" w:type="pct"/>
            <w:vMerge w:val="continue"/>
            <w:tcBorders>
              <w:tl2br w:val="nil"/>
              <w:tr2bl w:val="nil"/>
            </w:tcBorders>
            <w:shd w:val="clear" w:color="auto" w:fill="auto"/>
            <w:vAlign w:val="center"/>
          </w:tcPr>
          <w:p w14:paraId="6E8FEFEF">
            <w:pPr>
              <w:spacing w:line="240" w:lineRule="auto"/>
              <w:ind w:firstLine="0" w:firstLineChars="0"/>
              <w:rPr>
                <w:rFonts w:eastAsia="宋体"/>
                <w:sz w:val="18"/>
                <w:szCs w:val="18"/>
              </w:rPr>
            </w:pPr>
          </w:p>
        </w:tc>
        <w:tc>
          <w:tcPr>
            <w:tcW w:w="748" w:type="pct"/>
            <w:vMerge w:val="continue"/>
            <w:tcBorders>
              <w:tl2br w:val="nil"/>
              <w:tr2bl w:val="nil"/>
            </w:tcBorders>
            <w:shd w:val="clear" w:color="auto" w:fill="auto"/>
            <w:vAlign w:val="center"/>
          </w:tcPr>
          <w:p w14:paraId="22F48E73">
            <w:pPr>
              <w:spacing w:line="240" w:lineRule="auto"/>
              <w:ind w:firstLine="0" w:firstLineChars="0"/>
              <w:jc w:val="center"/>
              <w:rPr>
                <w:rFonts w:eastAsia="宋体"/>
                <w:sz w:val="18"/>
                <w:szCs w:val="18"/>
              </w:rPr>
            </w:pPr>
          </w:p>
        </w:tc>
        <w:tc>
          <w:tcPr>
            <w:tcW w:w="1254" w:type="pct"/>
            <w:tcBorders>
              <w:tl2br w:val="nil"/>
              <w:tr2bl w:val="nil"/>
            </w:tcBorders>
            <w:shd w:val="clear" w:color="auto" w:fill="auto"/>
            <w:vAlign w:val="center"/>
          </w:tcPr>
          <w:p w14:paraId="1B09978A">
            <w:pPr>
              <w:spacing w:line="240" w:lineRule="auto"/>
              <w:ind w:firstLine="0" w:firstLineChars="0"/>
              <w:rPr>
                <w:rFonts w:eastAsia="宋体"/>
                <w:sz w:val="18"/>
                <w:szCs w:val="18"/>
              </w:rPr>
            </w:pPr>
            <w:r>
              <w:rPr>
                <w:rFonts w:eastAsia="宋体"/>
                <w:sz w:val="18"/>
                <w:szCs w:val="18"/>
              </w:rPr>
              <w:t>D413可持续影响</w:t>
            </w:r>
          </w:p>
        </w:tc>
        <w:tc>
          <w:tcPr>
            <w:tcW w:w="664" w:type="pct"/>
            <w:tcBorders>
              <w:tl2br w:val="nil"/>
              <w:tr2bl w:val="nil"/>
            </w:tcBorders>
            <w:shd w:val="clear" w:color="auto" w:fill="auto"/>
            <w:vAlign w:val="center"/>
          </w:tcPr>
          <w:p w14:paraId="5A0740BA">
            <w:pPr>
              <w:spacing w:line="240" w:lineRule="auto"/>
              <w:ind w:firstLine="0" w:firstLineChars="0"/>
              <w:jc w:val="center"/>
              <w:rPr>
                <w:rFonts w:eastAsia="宋体"/>
                <w:sz w:val="18"/>
                <w:szCs w:val="18"/>
              </w:rPr>
            </w:pPr>
            <w:r>
              <w:rPr>
                <w:rFonts w:hint="eastAsia" w:eastAsia="宋体"/>
                <w:sz w:val="18"/>
                <w:szCs w:val="18"/>
              </w:rPr>
              <w:t>6</w:t>
            </w:r>
          </w:p>
        </w:tc>
        <w:tc>
          <w:tcPr>
            <w:tcW w:w="970" w:type="pct"/>
            <w:tcBorders>
              <w:tl2br w:val="nil"/>
              <w:tr2bl w:val="nil"/>
            </w:tcBorders>
            <w:shd w:val="clear" w:color="auto" w:fill="auto"/>
            <w:noWrap/>
            <w:vAlign w:val="center"/>
          </w:tcPr>
          <w:p w14:paraId="634B173B">
            <w:pPr>
              <w:spacing w:line="240" w:lineRule="auto"/>
              <w:ind w:firstLine="0" w:firstLineChars="0"/>
              <w:jc w:val="center"/>
              <w:rPr>
                <w:rFonts w:eastAsia="宋体"/>
                <w:sz w:val="18"/>
                <w:szCs w:val="18"/>
              </w:rPr>
            </w:pPr>
            <w:r>
              <w:rPr>
                <w:rFonts w:eastAsia="宋体"/>
                <w:color w:val="000000"/>
                <w:kern w:val="0"/>
                <w:sz w:val="18"/>
                <w:szCs w:val="18"/>
              </w:rPr>
              <w:t>目标效果可实现</w:t>
            </w:r>
          </w:p>
        </w:tc>
        <w:tc>
          <w:tcPr>
            <w:tcW w:w="743" w:type="pct"/>
            <w:tcBorders>
              <w:tl2br w:val="nil"/>
              <w:tr2bl w:val="nil"/>
            </w:tcBorders>
            <w:shd w:val="clear" w:color="auto" w:fill="auto"/>
            <w:noWrap/>
            <w:vAlign w:val="center"/>
          </w:tcPr>
          <w:p w14:paraId="52C70F58">
            <w:pPr>
              <w:spacing w:line="240" w:lineRule="auto"/>
              <w:ind w:firstLine="0" w:firstLineChars="0"/>
              <w:jc w:val="center"/>
              <w:rPr>
                <w:rFonts w:hint="eastAsia" w:eastAsia="宋体"/>
                <w:sz w:val="18"/>
                <w:szCs w:val="18"/>
                <w:lang w:eastAsia="zh-CN"/>
              </w:rPr>
            </w:pPr>
            <w:r>
              <w:rPr>
                <w:rFonts w:hint="eastAsia" w:eastAsia="宋体"/>
                <w:sz w:val="18"/>
                <w:szCs w:val="18"/>
                <w:lang w:val="en-US" w:eastAsia="zh-CN"/>
              </w:rPr>
              <w:t>6</w:t>
            </w:r>
          </w:p>
        </w:tc>
      </w:tr>
      <w:tr w14:paraId="1B6C3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618" w:type="pct"/>
            <w:vMerge w:val="continue"/>
            <w:tcBorders>
              <w:tl2br w:val="nil"/>
              <w:tr2bl w:val="nil"/>
            </w:tcBorders>
            <w:shd w:val="clear" w:color="auto" w:fill="auto"/>
            <w:vAlign w:val="center"/>
          </w:tcPr>
          <w:p w14:paraId="77ADD359">
            <w:pPr>
              <w:spacing w:line="240" w:lineRule="auto"/>
              <w:ind w:firstLine="0" w:firstLineChars="0"/>
              <w:rPr>
                <w:rFonts w:eastAsia="宋体"/>
                <w:sz w:val="18"/>
                <w:szCs w:val="18"/>
              </w:rPr>
            </w:pPr>
          </w:p>
        </w:tc>
        <w:tc>
          <w:tcPr>
            <w:tcW w:w="748" w:type="pct"/>
            <w:tcBorders>
              <w:tl2br w:val="nil"/>
              <w:tr2bl w:val="nil"/>
            </w:tcBorders>
            <w:shd w:val="clear" w:color="auto" w:fill="auto"/>
            <w:vAlign w:val="center"/>
          </w:tcPr>
          <w:p w14:paraId="62920147">
            <w:pPr>
              <w:spacing w:line="240" w:lineRule="auto"/>
              <w:ind w:firstLine="0" w:firstLineChars="0"/>
              <w:jc w:val="center"/>
              <w:rPr>
                <w:rFonts w:eastAsia="宋体"/>
                <w:sz w:val="18"/>
                <w:szCs w:val="18"/>
              </w:rPr>
            </w:pPr>
            <w:r>
              <w:rPr>
                <w:rFonts w:hint="eastAsia" w:eastAsia="宋体"/>
                <w:sz w:val="18"/>
                <w:szCs w:val="18"/>
              </w:rPr>
              <w:t>D42社会满意度（6分）</w:t>
            </w:r>
          </w:p>
        </w:tc>
        <w:tc>
          <w:tcPr>
            <w:tcW w:w="1254" w:type="pct"/>
            <w:tcBorders>
              <w:tl2br w:val="nil"/>
              <w:tr2bl w:val="nil"/>
            </w:tcBorders>
            <w:shd w:val="clear" w:color="auto" w:fill="auto"/>
            <w:vAlign w:val="center"/>
          </w:tcPr>
          <w:p w14:paraId="1647FC0E">
            <w:pPr>
              <w:spacing w:line="240" w:lineRule="auto"/>
              <w:ind w:firstLine="0" w:firstLineChars="0"/>
              <w:rPr>
                <w:rFonts w:eastAsia="宋体"/>
                <w:sz w:val="18"/>
                <w:szCs w:val="18"/>
              </w:rPr>
            </w:pPr>
            <w:r>
              <w:rPr>
                <w:rFonts w:hint="eastAsia" w:eastAsia="宋体"/>
                <w:sz w:val="18"/>
                <w:szCs w:val="18"/>
              </w:rPr>
              <w:t>D421服务对象满意度</w:t>
            </w:r>
          </w:p>
        </w:tc>
        <w:tc>
          <w:tcPr>
            <w:tcW w:w="664" w:type="pct"/>
            <w:tcBorders>
              <w:tl2br w:val="nil"/>
              <w:tr2bl w:val="nil"/>
            </w:tcBorders>
            <w:shd w:val="clear" w:color="auto" w:fill="auto"/>
            <w:vAlign w:val="center"/>
          </w:tcPr>
          <w:p w14:paraId="629D50D8">
            <w:pPr>
              <w:spacing w:line="240" w:lineRule="auto"/>
              <w:ind w:firstLine="0" w:firstLineChars="0"/>
              <w:jc w:val="center"/>
              <w:rPr>
                <w:rFonts w:eastAsia="宋体"/>
                <w:sz w:val="18"/>
                <w:szCs w:val="18"/>
              </w:rPr>
            </w:pPr>
            <w:r>
              <w:rPr>
                <w:rFonts w:hint="eastAsia" w:eastAsia="宋体"/>
                <w:sz w:val="18"/>
                <w:szCs w:val="18"/>
              </w:rPr>
              <w:t>6</w:t>
            </w:r>
          </w:p>
        </w:tc>
        <w:tc>
          <w:tcPr>
            <w:tcW w:w="970" w:type="pct"/>
            <w:tcBorders>
              <w:tl2br w:val="nil"/>
              <w:tr2bl w:val="nil"/>
            </w:tcBorders>
            <w:shd w:val="clear" w:color="auto" w:fill="auto"/>
            <w:noWrap/>
            <w:vAlign w:val="center"/>
          </w:tcPr>
          <w:p w14:paraId="48334B4E">
            <w:pPr>
              <w:spacing w:line="240" w:lineRule="auto"/>
              <w:ind w:firstLine="0" w:firstLineChars="0"/>
              <w:jc w:val="center"/>
              <w:rPr>
                <w:rFonts w:eastAsia="宋体"/>
                <w:sz w:val="18"/>
                <w:szCs w:val="18"/>
              </w:rPr>
            </w:pPr>
            <w:r>
              <w:rPr>
                <w:rFonts w:hint="eastAsia" w:eastAsia="宋体"/>
                <w:sz w:val="18"/>
                <w:szCs w:val="18"/>
                <w:lang w:val="en-US" w:eastAsia="zh-CN"/>
              </w:rPr>
              <w:t>88.3</w:t>
            </w:r>
            <w:r>
              <w:rPr>
                <w:rFonts w:hint="eastAsia" w:eastAsia="宋体"/>
                <w:sz w:val="18"/>
                <w:szCs w:val="18"/>
              </w:rPr>
              <w:t>%</w:t>
            </w:r>
          </w:p>
        </w:tc>
        <w:tc>
          <w:tcPr>
            <w:tcW w:w="743" w:type="pct"/>
            <w:tcBorders>
              <w:tl2br w:val="nil"/>
              <w:tr2bl w:val="nil"/>
            </w:tcBorders>
            <w:shd w:val="clear" w:color="auto" w:fill="auto"/>
            <w:noWrap/>
            <w:vAlign w:val="center"/>
          </w:tcPr>
          <w:p w14:paraId="72DCCB32">
            <w:pPr>
              <w:spacing w:line="240" w:lineRule="auto"/>
              <w:ind w:firstLine="0" w:firstLineChars="0"/>
              <w:jc w:val="center"/>
              <w:rPr>
                <w:rFonts w:hint="eastAsia" w:eastAsia="宋体"/>
                <w:sz w:val="18"/>
                <w:szCs w:val="18"/>
                <w:lang w:val="en-US" w:eastAsia="zh-CN"/>
              </w:rPr>
            </w:pPr>
            <w:r>
              <w:rPr>
                <w:rFonts w:hint="eastAsia" w:eastAsia="宋体"/>
                <w:sz w:val="18"/>
                <w:szCs w:val="18"/>
                <w:lang w:val="en-US" w:eastAsia="zh-CN"/>
              </w:rPr>
              <w:t>5</w:t>
            </w:r>
          </w:p>
        </w:tc>
      </w:tr>
    </w:tbl>
    <w:p w14:paraId="20B4E555">
      <w:pPr>
        <w:pStyle w:val="5"/>
        <w:ind w:firstLine="560"/>
        <w:rPr>
          <w:rFonts w:ascii="Times New Roman" w:hAnsi="Times New Roman" w:cs="Times New Roman"/>
        </w:rPr>
      </w:pPr>
      <w:r>
        <w:rPr>
          <w:rFonts w:ascii="Times New Roman" w:hAnsi="Times New Roman" w:cs="Times New Roman"/>
        </w:rPr>
        <w:t>D41．项目效益。指标分值2</w:t>
      </w:r>
      <w:r>
        <w:rPr>
          <w:rFonts w:hint="eastAsia" w:ascii="Times New Roman" w:hAnsi="Times New Roman" w:cs="Times New Roman"/>
        </w:rPr>
        <w:t>4</w:t>
      </w:r>
      <w:r>
        <w:rPr>
          <w:rFonts w:ascii="Times New Roman" w:hAnsi="Times New Roman" w:cs="Times New Roman"/>
        </w:rPr>
        <w:t>分，实际得</w:t>
      </w:r>
      <w:r>
        <w:rPr>
          <w:rFonts w:hint="eastAsia" w:ascii="Times New Roman" w:hAnsi="Times New Roman" w:cs="Times New Roman"/>
        </w:rPr>
        <w:t>1</w:t>
      </w:r>
      <w:r>
        <w:rPr>
          <w:rFonts w:hint="eastAsia" w:ascii="Times New Roman" w:hAnsi="Times New Roman" w:cs="Times New Roman"/>
          <w:lang w:val="en-US" w:eastAsia="zh-CN"/>
        </w:rPr>
        <w:t>9</w:t>
      </w:r>
      <w:r>
        <w:rPr>
          <w:rFonts w:ascii="Times New Roman" w:hAnsi="Times New Roman" w:cs="Times New Roman"/>
        </w:rPr>
        <w:t>分。</w:t>
      </w:r>
    </w:p>
    <w:p w14:paraId="56CEA6D3">
      <w:pPr>
        <w:pStyle w:val="6"/>
        <w:ind w:firstLine="560"/>
      </w:pPr>
      <w:r>
        <w:t>D411．社会效益。指标分值1</w:t>
      </w:r>
      <w:r>
        <w:rPr>
          <w:rFonts w:hint="eastAsia"/>
        </w:rPr>
        <w:t>2</w:t>
      </w:r>
      <w:r>
        <w:t>分，实际得</w:t>
      </w:r>
      <w:r>
        <w:rPr>
          <w:rFonts w:hint="eastAsia"/>
          <w:lang w:val="en-US" w:eastAsia="zh-CN"/>
        </w:rPr>
        <w:t>9</w:t>
      </w:r>
      <w:r>
        <w:t>分。</w:t>
      </w:r>
    </w:p>
    <w:p w14:paraId="50E2C84A">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color w:val="333333"/>
          <w:szCs w:val="32"/>
          <w:shd w:val="clear" w:color="auto" w:fill="FFFFFF"/>
        </w:rPr>
        <w:t>该指标用以反映项目实施对社会发展所带来的直接或间接影响情况。得分明细如下：</w:t>
      </w:r>
    </w:p>
    <w:p w14:paraId="272A9E58">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lang w:val="en-US" w:eastAsia="zh-CN"/>
        </w:rPr>
        <w:t>根据</w:t>
      </w:r>
      <w:r>
        <w:rPr>
          <w:rFonts w:hint="eastAsia"/>
          <w:color w:val="333333"/>
          <w:szCs w:val="32"/>
          <w:shd w:val="clear" w:color="auto" w:fill="FFFFFF"/>
        </w:rPr>
        <w:t>《安宁市民政局关于2024“养老服务设施建设及运营、管理服务补助经费”预算项目自查自评报告》，截止2024年末，已建成老年食堂63家，其中</w:t>
      </w:r>
      <w:r>
        <w:rPr>
          <w:rFonts w:hint="eastAsia"/>
          <w:color w:val="333333"/>
          <w:szCs w:val="32"/>
          <w:shd w:val="clear" w:color="auto" w:fill="FFFFFF"/>
          <w:lang w:eastAsia="zh-CN"/>
        </w:rPr>
        <w:t>：</w:t>
      </w:r>
      <w:r>
        <w:rPr>
          <w:rFonts w:hint="eastAsia"/>
          <w:color w:val="333333"/>
          <w:szCs w:val="32"/>
          <w:shd w:val="clear" w:color="auto" w:fill="FFFFFF"/>
        </w:rPr>
        <w:t>农村老年食堂46家，城区老年食堂17家</w:t>
      </w:r>
      <w:r>
        <w:rPr>
          <w:rFonts w:hint="eastAsia"/>
          <w:color w:val="333333"/>
          <w:szCs w:val="32"/>
          <w:shd w:val="clear" w:color="auto" w:fill="FFFFFF"/>
          <w:lang w:eastAsia="zh-CN"/>
        </w:rPr>
        <w:t>。</w:t>
      </w:r>
      <w:r>
        <w:rPr>
          <w:rFonts w:hint="eastAsia"/>
          <w:color w:val="333333"/>
          <w:szCs w:val="32"/>
          <w:shd w:val="clear" w:color="auto" w:fill="FFFFFF"/>
          <w:lang w:val="en-US" w:eastAsia="zh-CN"/>
        </w:rPr>
        <w:t>2024年正常运营47家，</w:t>
      </w:r>
      <w:r>
        <w:rPr>
          <w:rFonts w:hint="eastAsia"/>
          <w:color w:val="333333"/>
          <w:szCs w:val="32"/>
          <w:shd w:val="clear" w:color="auto" w:fill="FFFFFF"/>
        </w:rPr>
        <w:t>为老年人提供用餐服务，每餐收费不高于8元，</w:t>
      </w:r>
      <w:r>
        <w:rPr>
          <w:rFonts w:hint="eastAsia"/>
          <w:color w:val="333333"/>
          <w:szCs w:val="32"/>
          <w:shd w:val="clear" w:color="auto" w:fill="FFFFFF"/>
          <w:lang w:val="en-US" w:eastAsia="zh-CN"/>
        </w:rPr>
        <w:t>同时结合服务内容的多少、好坏、距离城区的远近等因素，为无法到食堂就餐的老年人提供送餐服务，适当增加1-2名不等工作人员补助经费。</w:t>
      </w:r>
      <w:r>
        <w:rPr>
          <w:rFonts w:hint="eastAsia"/>
          <w:color w:val="333333"/>
          <w:szCs w:val="32"/>
        </w:rPr>
        <w:t>满足多层次、多元化的养老服务需求，提高老年人的幸福感、获得感，促进社会和谐稳定。</w:t>
      </w:r>
    </w:p>
    <w:p w14:paraId="7A4C8568">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rPr>
      </w:pPr>
      <w:r>
        <w:rPr>
          <w:rFonts w:hint="eastAsia"/>
          <w:color w:val="333333"/>
          <w:szCs w:val="32"/>
        </w:rPr>
        <w:t>安宁市正在打造“安e养老”服务品牌，旨在以“安宁市互联网+智慧养老系统平台”为依托，以“一刻钟”养老服务圈建设为抓手，以“安逸”养老为目标，有效整合行政区域内养老、医疗、家政、金融等各类资源，为老年人提供便捷的三位一体养老服务，让养老触手可及。根据评分标准得</w:t>
      </w:r>
      <w:r>
        <w:rPr>
          <w:rFonts w:hint="eastAsia"/>
          <w:color w:val="333333"/>
          <w:szCs w:val="32"/>
          <w:lang w:val="en-US" w:eastAsia="zh-CN"/>
        </w:rPr>
        <w:t>9</w:t>
      </w:r>
      <w:r>
        <w:rPr>
          <w:rFonts w:hint="eastAsia"/>
          <w:color w:val="333333"/>
          <w:szCs w:val="32"/>
        </w:rPr>
        <w:t>分。</w:t>
      </w:r>
    </w:p>
    <w:p w14:paraId="64A6CE41">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扣分明细如下：</w:t>
      </w:r>
    </w:p>
    <w:p w14:paraId="6E438DF8">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lang w:val="en-US" w:eastAsia="zh-CN"/>
        </w:rPr>
        <w:t>根据</w:t>
      </w:r>
      <w:r>
        <w:rPr>
          <w:rFonts w:hint="eastAsia"/>
          <w:color w:val="333333"/>
          <w:szCs w:val="32"/>
          <w:shd w:val="clear" w:color="auto" w:fill="FFFFFF"/>
        </w:rPr>
        <w:t>《安宁市民政局关于2024“养老服务设施建设及运营、管理服务补助经费”预算项目自查自评报告》，</w:t>
      </w:r>
      <w:r>
        <w:rPr>
          <w:rFonts w:hint="eastAsia"/>
          <w:color w:val="333333"/>
          <w:szCs w:val="32"/>
          <w:shd w:val="clear" w:color="auto" w:fill="FFFFFF"/>
          <w:lang w:val="en-US" w:eastAsia="zh-CN"/>
        </w:rPr>
        <w:t>2024年老年食堂停</w:t>
      </w:r>
      <w:r>
        <w:rPr>
          <w:rFonts w:hint="default" w:ascii="Times New Roman" w:hAnsi="Times New Roman" w:cs="Times New Roman"/>
          <w:bCs/>
          <w:spacing w:val="-6"/>
          <w:kern w:val="2"/>
          <w:sz w:val="32"/>
          <w:szCs w:val="32"/>
          <w:highlight w:val="none"/>
          <w:u w:val="none"/>
          <w:lang w:val="en-US" w:eastAsia="zh-CN" w:bidi="ar-SA"/>
        </w:rPr>
        <w:t>运</w:t>
      </w:r>
      <w:r>
        <w:rPr>
          <w:rFonts w:hint="eastAsia"/>
          <w:color w:val="333333"/>
          <w:szCs w:val="32"/>
          <w:shd w:val="clear" w:color="auto" w:fill="FFFFFF"/>
          <w:lang w:val="en-US" w:eastAsia="zh-CN"/>
        </w:rPr>
        <w:t>16家</w:t>
      </w:r>
      <w:r>
        <w:rPr>
          <w:rFonts w:hint="eastAsia"/>
          <w:color w:val="333333"/>
          <w:szCs w:val="32"/>
          <w:shd w:val="clear" w:color="auto" w:fill="FFFFFF"/>
        </w:rPr>
        <w:t>，</w:t>
      </w:r>
      <w:r>
        <w:rPr>
          <w:rFonts w:hint="eastAsia"/>
          <w:color w:val="333333"/>
          <w:szCs w:val="32"/>
          <w:shd w:val="clear" w:color="auto" w:fill="FFFFFF"/>
          <w:lang w:val="en-US" w:eastAsia="zh-CN"/>
        </w:rPr>
        <w:t>老年食堂停运数量较多，运行效率较低，</w:t>
      </w:r>
      <w:r>
        <w:rPr>
          <w:rFonts w:hint="eastAsia"/>
          <w:color w:val="333333"/>
          <w:szCs w:val="32"/>
        </w:rPr>
        <w:t>根据评分标准扣</w:t>
      </w:r>
      <w:r>
        <w:rPr>
          <w:rFonts w:hint="eastAsia"/>
          <w:color w:val="333333"/>
          <w:szCs w:val="32"/>
          <w:lang w:val="en-US" w:eastAsia="zh-CN"/>
        </w:rPr>
        <w:t>3</w:t>
      </w:r>
      <w:r>
        <w:rPr>
          <w:rFonts w:hint="eastAsia"/>
          <w:color w:val="333333"/>
          <w:szCs w:val="32"/>
        </w:rPr>
        <w:t>分。</w:t>
      </w:r>
    </w:p>
    <w:p w14:paraId="30AA54B0">
      <w:pPr>
        <w:pStyle w:val="6"/>
        <w:pageBreakBefore w:val="0"/>
        <w:widowControl w:val="0"/>
        <w:kinsoku/>
        <w:wordWrap/>
        <w:overflowPunct/>
        <w:topLinePunct w:val="0"/>
        <w:autoSpaceDE/>
        <w:autoSpaceDN/>
        <w:bidi w:val="0"/>
        <w:adjustRightInd/>
        <w:snapToGrid/>
        <w:spacing w:line="600" w:lineRule="exact"/>
        <w:ind w:firstLine="560"/>
        <w:textAlignment w:val="auto"/>
      </w:pPr>
      <w:r>
        <w:t>D412．经济效益。指标分值</w:t>
      </w:r>
      <w:r>
        <w:rPr>
          <w:rFonts w:hint="eastAsia"/>
        </w:rPr>
        <w:t>6</w:t>
      </w:r>
      <w:r>
        <w:t>分，实际得</w:t>
      </w:r>
      <w:r>
        <w:rPr>
          <w:rFonts w:hint="eastAsia"/>
        </w:rPr>
        <w:t>4</w:t>
      </w:r>
      <w:r>
        <w:t>分。</w:t>
      </w:r>
    </w:p>
    <w:p w14:paraId="117FA581">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color w:val="333333"/>
          <w:szCs w:val="32"/>
          <w:shd w:val="clear" w:color="auto" w:fill="FFFFFF"/>
        </w:rPr>
        <w:t>该指标用以反映项目实施对经济发展所带来的直接或间接影响情况。得分明细如下：</w:t>
      </w:r>
    </w:p>
    <w:p w14:paraId="68FCF6DD">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根据《昆明市积极开展老年助餐服务工作方案》（昆民联发〔2024〕23号），加大老年食堂运营扶持力度，在已有扶持力度基础上，完善“个人出一点、企业让一点、政府补一点、集体添一点社会捐一点”的多元筹资机制，确保老年助餐服务机构提供稳定、可持续的服务。对符合条件的老年助餐服务机构，按规定落实税费优惠政策，用水、用电、用气、用热按规定执行居民生活类价格。对于运营的</w:t>
      </w:r>
      <w:r>
        <w:rPr>
          <w:rFonts w:hint="eastAsia"/>
          <w:color w:val="333333"/>
          <w:szCs w:val="32"/>
          <w:shd w:val="clear" w:color="auto" w:fill="FFFFFF"/>
          <w:lang w:val="en-US" w:eastAsia="zh-CN"/>
        </w:rPr>
        <w:t>老年食堂</w:t>
      </w:r>
      <w:r>
        <w:rPr>
          <w:rFonts w:hint="eastAsia"/>
          <w:color w:val="333333"/>
          <w:szCs w:val="32"/>
          <w:shd w:val="clear" w:color="auto" w:fill="FFFFFF"/>
        </w:rPr>
        <w:t>，给予</w:t>
      </w:r>
      <w:r>
        <w:rPr>
          <w:rFonts w:hint="eastAsia"/>
          <w:color w:val="333333"/>
          <w:szCs w:val="32"/>
          <w:shd w:val="clear" w:color="auto" w:fill="FFFFFF"/>
          <w:lang w:val="en-US" w:eastAsia="zh-CN"/>
        </w:rPr>
        <w:t>老年人用餐补助、工作人员补助</w:t>
      </w:r>
      <w:r>
        <w:rPr>
          <w:rFonts w:hint="eastAsia"/>
          <w:color w:val="333333"/>
          <w:szCs w:val="32"/>
          <w:shd w:val="clear" w:color="auto" w:fill="FFFFFF"/>
        </w:rPr>
        <w:t>等，能够降低居家养老服务中心运营成本，促进</w:t>
      </w:r>
      <w:r>
        <w:rPr>
          <w:rFonts w:hint="eastAsia"/>
          <w:color w:val="333333"/>
          <w:szCs w:val="32"/>
          <w:shd w:val="clear" w:color="auto" w:fill="FFFFFF"/>
          <w:lang w:val="en-US" w:eastAsia="zh-CN"/>
        </w:rPr>
        <w:t>老年食堂</w:t>
      </w:r>
      <w:r>
        <w:rPr>
          <w:rFonts w:hint="eastAsia"/>
          <w:color w:val="333333"/>
          <w:szCs w:val="32"/>
          <w:shd w:val="clear" w:color="auto" w:fill="FFFFFF"/>
        </w:rPr>
        <w:t>持续运营。</w:t>
      </w:r>
    </w:p>
    <w:p w14:paraId="0C5EE6CB">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2024年</w:t>
      </w:r>
      <w:r>
        <w:rPr>
          <w:rFonts w:hint="eastAsia"/>
          <w:color w:val="333333"/>
          <w:szCs w:val="32"/>
          <w:shd w:val="clear" w:color="auto" w:fill="FFFFFF"/>
          <w:lang w:val="en-US" w:eastAsia="zh-CN"/>
        </w:rPr>
        <w:t>老年食堂</w:t>
      </w:r>
      <w:r>
        <w:rPr>
          <w:rFonts w:hint="eastAsia"/>
          <w:color w:val="333333"/>
          <w:szCs w:val="32"/>
          <w:shd w:val="clear" w:color="auto" w:fill="FFFFFF"/>
        </w:rPr>
        <w:t>正常运营47家，提供较多的就业岗位，提高工作人员的生活水平。养老服务单位的持续运营，带动相关产业的发展。根据评分标准得4分。</w:t>
      </w:r>
    </w:p>
    <w:p w14:paraId="2FC8BB9C">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扣</w:t>
      </w:r>
      <w:r>
        <w:rPr>
          <w:color w:val="333333"/>
          <w:szCs w:val="32"/>
          <w:shd w:val="clear" w:color="auto" w:fill="FFFFFF"/>
        </w:rPr>
        <w:t>分明细如下：</w:t>
      </w:r>
    </w:p>
    <w:p w14:paraId="42D21C8C">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根据《安宁市民政局关于2024“养老服务设施建设及运营、管理服务补助经费”预算项目自查自评报告》，2024年老年食堂停运16家，老年食堂停运数量较多，运行效率较低，根据评分标准扣2分。</w:t>
      </w:r>
    </w:p>
    <w:p w14:paraId="119E0EA3">
      <w:pPr>
        <w:pStyle w:val="6"/>
        <w:pageBreakBefore w:val="0"/>
        <w:widowControl w:val="0"/>
        <w:kinsoku/>
        <w:wordWrap/>
        <w:overflowPunct/>
        <w:topLinePunct w:val="0"/>
        <w:autoSpaceDE/>
        <w:autoSpaceDN/>
        <w:bidi w:val="0"/>
        <w:adjustRightInd/>
        <w:snapToGrid/>
        <w:spacing w:line="600" w:lineRule="exact"/>
        <w:ind w:firstLine="560"/>
        <w:textAlignment w:val="auto"/>
      </w:pPr>
      <w:r>
        <w:t>D413．可持续影响。指标分值</w:t>
      </w:r>
      <w:r>
        <w:rPr>
          <w:rFonts w:hint="eastAsia"/>
        </w:rPr>
        <w:t>6</w:t>
      </w:r>
      <w:r>
        <w:t>分，实际得</w:t>
      </w:r>
      <w:r>
        <w:rPr>
          <w:rFonts w:hint="eastAsia"/>
          <w:lang w:val="en-US" w:eastAsia="zh-CN"/>
        </w:rPr>
        <w:t>6</w:t>
      </w:r>
      <w:r>
        <w:t>分。</w:t>
      </w:r>
    </w:p>
    <w:p w14:paraId="77A44CA4">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color w:val="333333"/>
          <w:szCs w:val="32"/>
          <w:shd w:val="clear" w:color="auto" w:fill="FFFFFF"/>
        </w:rPr>
        <w:t>该指标用以反映项目后续运行及成效发挥的可持续影响情况。</w:t>
      </w:r>
      <w:r>
        <w:rPr>
          <w:rFonts w:hint="eastAsia"/>
          <w:color w:val="333333"/>
          <w:szCs w:val="32"/>
          <w:shd w:val="clear" w:color="auto" w:fill="FFFFFF"/>
        </w:rPr>
        <w:t>得分明细如下：</w:t>
      </w:r>
    </w:p>
    <w:p w14:paraId="2A65F528">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2024年安宁市继续执行城乡居家养老服务单位老年人用餐服务补助和工作人员补助政策，且资金持续投入，对老年人及低收入老年人用餐的不高于8元/餐，补助政策降低了老年人的日常用餐成本，改善老年人生活质量；老年食堂成为社区温情纽带，增强了社区居民，特别是老年群体对社区的认同感和归属感；政策的持续执行与宣传，向社会传递了关爱老年人的积极信号，强化了“积极老龄化”的社会共识，促进社会和谐。根据评分标准得</w:t>
      </w:r>
      <w:r>
        <w:rPr>
          <w:rFonts w:hint="eastAsia"/>
          <w:color w:val="333333"/>
          <w:szCs w:val="32"/>
          <w:shd w:val="clear" w:color="auto" w:fill="FFFFFF"/>
          <w:lang w:val="en-US" w:eastAsia="zh-CN"/>
        </w:rPr>
        <w:t>6</w:t>
      </w:r>
      <w:r>
        <w:rPr>
          <w:rFonts w:hint="eastAsia"/>
          <w:color w:val="333333"/>
          <w:szCs w:val="32"/>
          <w:shd w:val="clear" w:color="auto" w:fill="FFFFFF"/>
        </w:rPr>
        <w:t>分。</w:t>
      </w:r>
    </w:p>
    <w:p w14:paraId="247AC06C">
      <w:pPr>
        <w:pStyle w:val="5"/>
        <w:pageBreakBefore w:val="0"/>
        <w:widowControl w:val="0"/>
        <w:kinsoku/>
        <w:wordWrap/>
        <w:overflowPunct/>
        <w:topLinePunct w:val="0"/>
        <w:autoSpaceDE/>
        <w:autoSpaceDN/>
        <w:bidi w:val="0"/>
        <w:adjustRightInd/>
        <w:snapToGrid/>
        <w:spacing w:line="600" w:lineRule="exact"/>
        <w:ind w:firstLine="560"/>
        <w:textAlignment w:val="auto"/>
        <w:rPr>
          <w:rFonts w:ascii="Times New Roman" w:hAnsi="Times New Roman" w:cs="Times New Roman"/>
          <w:color w:val="333333"/>
          <w:szCs w:val="32"/>
          <w:shd w:val="clear" w:color="auto" w:fill="FFFFFF"/>
        </w:rPr>
      </w:pPr>
      <w:r>
        <w:rPr>
          <w:rFonts w:ascii="Times New Roman" w:hAnsi="Times New Roman" w:cs="Times New Roman"/>
        </w:rPr>
        <w:t>D42．社会满意度。指标分值6分，实际得</w:t>
      </w:r>
      <w:r>
        <w:rPr>
          <w:rFonts w:hint="eastAsia" w:ascii="Times New Roman" w:hAnsi="Times New Roman" w:cs="Times New Roman"/>
          <w:lang w:val="en-US" w:eastAsia="zh-CN"/>
        </w:rPr>
        <w:t>5</w:t>
      </w:r>
      <w:r>
        <w:rPr>
          <w:rFonts w:ascii="Times New Roman" w:hAnsi="Times New Roman" w:cs="Times New Roman"/>
        </w:rPr>
        <w:t>分。</w:t>
      </w:r>
    </w:p>
    <w:p w14:paraId="1434AE41">
      <w:pPr>
        <w:pStyle w:val="6"/>
        <w:pageBreakBefore w:val="0"/>
        <w:widowControl w:val="0"/>
        <w:kinsoku/>
        <w:wordWrap/>
        <w:overflowPunct/>
        <w:topLinePunct w:val="0"/>
        <w:autoSpaceDE/>
        <w:autoSpaceDN/>
        <w:bidi w:val="0"/>
        <w:adjustRightInd/>
        <w:snapToGrid/>
        <w:spacing w:line="600" w:lineRule="exact"/>
        <w:ind w:firstLine="560"/>
        <w:textAlignment w:val="auto"/>
      </w:pPr>
      <w:r>
        <w:rPr>
          <w:rFonts w:hint="eastAsia"/>
        </w:rPr>
        <w:t>D421．服务对象满意度。指标分值6分，实际得</w:t>
      </w:r>
      <w:r>
        <w:rPr>
          <w:rFonts w:hint="eastAsia"/>
          <w:lang w:val="en-US" w:eastAsia="zh-CN"/>
        </w:rPr>
        <w:t>5</w:t>
      </w:r>
      <w:r>
        <w:rPr>
          <w:rFonts w:hint="eastAsia"/>
        </w:rPr>
        <w:t>分。</w:t>
      </w:r>
    </w:p>
    <w:p w14:paraId="440D9DDF">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该指标反映项目的服务对象对项目实现效益的满意程度。针对服务对象对于2024年度养老服务设施建设及运营、管理服务补助经费（老年食堂）项目支出进行问卷调查。</w:t>
      </w:r>
    </w:p>
    <w:p w14:paraId="3378CA77">
      <w:pPr>
        <w:pageBreakBefore w:val="0"/>
        <w:widowControl w:val="0"/>
        <w:kinsoku/>
        <w:wordWrap/>
        <w:overflowPunct/>
        <w:topLinePunct w:val="0"/>
        <w:autoSpaceDE/>
        <w:autoSpaceDN/>
        <w:bidi w:val="0"/>
        <w:adjustRightInd/>
        <w:snapToGrid/>
        <w:spacing w:line="640" w:lineRule="exact"/>
        <w:ind w:firstLine="560"/>
        <w:textAlignment w:val="auto"/>
        <w:rPr>
          <w:color w:val="333333"/>
          <w:szCs w:val="32"/>
          <w:shd w:val="clear" w:color="auto" w:fill="FFFFFF"/>
        </w:rPr>
      </w:pPr>
      <w:r>
        <w:rPr>
          <w:rFonts w:hint="eastAsia"/>
          <w:color w:val="333333"/>
          <w:szCs w:val="32"/>
          <w:shd w:val="clear" w:color="auto" w:fill="FFFFFF"/>
        </w:rPr>
        <w:t>本次绩效评价问卷调查实际发放问卷</w:t>
      </w:r>
      <w:r>
        <w:rPr>
          <w:rFonts w:hint="eastAsia"/>
          <w:color w:val="333333"/>
          <w:szCs w:val="32"/>
          <w:shd w:val="clear" w:color="auto" w:fill="FFFFFF"/>
          <w:lang w:val="en-US" w:eastAsia="zh-CN"/>
        </w:rPr>
        <w:t>424</w:t>
      </w:r>
      <w:r>
        <w:rPr>
          <w:rFonts w:hint="eastAsia"/>
          <w:color w:val="333333"/>
          <w:szCs w:val="32"/>
          <w:shd w:val="clear" w:color="auto" w:fill="FFFFFF"/>
        </w:rPr>
        <w:t>份，</w:t>
      </w:r>
      <w:r>
        <w:rPr>
          <w:rFonts w:hint="eastAsia"/>
          <w:color w:val="333333"/>
          <w:szCs w:val="32"/>
          <w:shd w:val="clear" w:color="auto" w:fill="FFFFFF"/>
          <w:lang w:val="en-US" w:eastAsia="zh-CN"/>
        </w:rPr>
        <w:t>老年食堂</w:t>
      </w:r>
      <w:r>
        <w:rPr>
          <w:rFonts w:hint="eastAsia"/>
          <w:color w:val="333333"/>
          <w:szCs w:val="32"/>
          <w:shd w:val="clear" w:color="auto" w:fill="FFFFFF"/>
        </w:rPr>
        <w:t>工作人员提交</w:t>
      </w:r>
      <w:r>
        <w:rPr>
          <w:rFonts w:hint="eastAsia"/>
          <w:color w:val="333333"/>
          <w:szCs w:val="32"/>
          <w:shd w:val="clear" w:color="auto" w:fill="FFFFFF"/>
          <w:lang w:val="en-US" w:eastAsia="zh-CN"/>
        </w:rPr>
        <w:t>77</w:t>
      </w:r>
      <w:r>
        <w:rPr>
          <w:rFonts w:hint="eastAsia"/>
          <w:color w:val="333333"/>
          <w:szCs w:val="32"/>
          <w:shd w:val="clear" w:color="auto" w:fill="FFFFFF"/>
        </w:rPr>
        <w:t>份，问卷占比</w:t>
      </w:r>
      <w:r>
        <w:rPr>
          <w:rFonts w:hint="eastAsia"/>
          <w:color w:val="333333"/>
          <w:szCs w:val="32"/>
          <w:shd w:val="clear" w:color="auto" w:fill="FFFFFF"/>
          <w:lang w:val="en-US" w:eastAsia="zh-CN"/>
        </w:rPr>
        <w:t>18.16%</w:t>
      </w:r>
      <w:r>
        <w:rPr>
          <w:rFonts w:hint="eastAsia"/>
          <w:color w:val="333333"/>
          <w:szCs w:val="32"/>
          <w:shd w:val="clear" w:color="auto" w:fill="FFFFFF"/>
          <w:lang w:eastAsia="zh-CN"/>
        </w:rPr>
        <w:t>；</w:t>
      </w:r>
      <w:r>
        <w:rPr>
          <w:rFonts w:hint="eastAsia"/>
          <w:color w:val="333333"/>
          <w:szCs w:val="32"/>
          <w:shd w:val="clear" w:color="auto" w:fill="FFFFFF"/>
        </w:rPr>
        <w:t>在</w:t>
      </w:r>
      <w:r>
        <w:rPr>
          <w:rFonts w:hint="eastAsia"/>
          <w:color w:val="333333"/>
          <w:szCs w:val="32"/>
          <w:shd w:val="clear" w:color="auto" w:fill="FFFFFF"/>
          <w:lang w:val="en-US" w:eastAsia="zh-CN"/>
        </w:rPr>
        <w:t>老年食堂</w:t>
      </w:r>
      <w:r>
        <w:rPr>
          <w:rFonts w:hint="eastAsia"/>
          <w:color w:val="333333"/>
          <w:szCs w:val="32"/>
          <w:shd w:val="clear" w:color="auto" w:fill="FFFFFF"/>
        </w:rPr>
        <w:t>就餐人员提交</w:t>
      </w:r>
      <w:r>
        <w:rPr>
          <w:rFonts w:hint="eastAsia"/>
          <w:color w:val="333333"/>
          <w:szCs w:val="32"/>
          <w:shd w:val="clear" w:color="auto" w:fill="FFFFFF"/>
          <w:lang w:val="en-US" w:eastAsia="zh-CN"/>
        </w:rPr>
        <w:t>78份</w:t>
      </w:r>
      <w:r>
        <w:rPr>
          <w:rFonts w:hint="eastAsia"/>
          <w:color w:val="333333"/>
          <w:szCs w:val="32"/>
          <w:shd w:val="clear" w:color="auto" w:fill="FFFFFF"/>
          <w:lang w:eastAsia="zh-CN"/>
        </w:rPr>
        <w:t>，</w:t>
      </w:r>
      <w:r>
        <w:rPr>
          <w:rFonts w:hint="eastAsia"/>
          <w:color w:val="333333"/>
          <w:szCs w:val="32"/>
          <w:shd w:val="clear" w:color="auto" w:fill="FFFFFF"/>
        </w:rPr>
        <w:t>问卷占比</w:t>
      </w:r>
      <w:r>
        <w:rPr>
          <w:rFonts w:hint="eastAsia"/>
          <w:color w:val="333333"/>
          <w:szCs w:val="32"/>
          <w:shd w:val="clear" w:color="auto" w:fill="FFFFFF"/>
          <w:lang w:val="en-US" w:eastAsia="zh-CN"/>
        </w:rPr>
        <w:t>18.40</w:t>
      </w:r>
      <w:r>
        <w:rPr>
          <w:rFonts w:hint="eastAsia"/>
          <w:color w:val="333333"/>
          <w:szCs w:val="32"/>
          <w:shd w:val="clear" w:color="auto" w:fill="FFFFFF"/>
        </w:rPr>
        <w:t>%</w:t>
      </w:r>
      <w:r>
        <w:rPr>
          <w:rFonts w:hint="eastAsia"/>
          <w:color w:val="333333"/>
          <w:szCs w:val="32"/>
          <w:shd w:val="clear" w:color="auto" w:fill="FFFFFF"/>
          <w:lang w:eastAsia="zh-CN"/>
        </w:rPr>
        <w:t>；其他</w:t>
      </w:r>
      <w:r>
        <w:rPr>
          <w:rFonts w:hint="eastAsia"/>
          <w:color w:val="333333"/>
          <w:szCs w:val="32"/>
          <w:shd w:val="clear" w:color="auto" w:fill="FFFFFF"/>
          <w:lang w:val="en-US" w:eastAsia="zh-CN"/>
        </w:rPr>
        <w:t>人员</w:t>
      </w:r>
      <w:r>
        <w:rPr>
          <w:rFonts w:hint="eastAsia"/>
          <w:color w:val="333333"/>
          <w:szCs w:val="32"/>
          <w:shd w:val="clear" w:color="auto" w:fill="FFFFFF"/>
        </w:rPr>
        <w:t>提交</w:t>
      </w:r>
      <w:r>
        <w:rPr>
          <w:rFonts w:hint="eastAsia"/>
          <w:color w:val="333333"/>
          <w:szCs w:val="32"/>
          <w:shd w:val="clear" w:color="auto" w:fill="FFFFFF"/>
          <w:lang w:val="en-US" w:eastAsia="zh-CN"/>
        </w:rPr>
        <w:t>269份，</w:t>
      </w:r>
      <w:r>
        <w:rPr>
          <w:rFonts w:hint="eastAsia"/>
          <w:color w:val="333333"/>
          <w:szCs w:val="32"/>
          <w:shd w:val="clear" w:color="auto" w:fill="FFFFFF"/>
        </w:rPr>
        <w:t>问卷占比</w:t>
      </w:r>
      <w:r>
        <w:rPr>
          <w:rFonts w:hint="eastAsia"/>
          <w:color w:val="333333"/>
          <w:szCs w:val="32"/>
          <w:shd w:val="clear" w:color="auto" w:fill="FFFFFF"/>
          <w:lang w:val="en-US" w:eastAsia="zh-CN"/>
        </w:rPr>
        <w:t>63.44%</w:t>
      </w:r>
      <w:r>
        <w:rPr>
          <w:rFonts w:hint="eastAsia"/>
          <w:color w:val="333333"/>
          <w:szCs w:val="32"/>
          <w:shd w:val="clear" w:color="auto" w:fill="FFFFFF"/>
        </w:rPr>
        <w:t>。对项目满意度选择题</w:t>
      </w:r>
      <w:r>
        <w:rPr>
          <w:rFonts w:hint="eastAsia"/>
          <w:color w:val="333333"/>
          <w:szCs w:val="32"/>
          <w:shd w:val="clear" w:color="auto" w:fill="FFFFFF"/>
          <w:lang w:val="en-US" w:eastAsia="zh-CN"/>
        </w:rPr>
        <w:t>8</w:t>
      </w:r>
      <w:r>
        <w:rPr>
          <w:rFonts w:hint="eastAsia"/>
          <w:color w:val="333333"/>
          <w:szCs w:val="32"/>
          <w:shd w:val="clear" w:color="auto" w:fill="FFFFFF"/>
        </w:rPr>
        <w:t>道，满意度开放性问题1道。</w:t>
      </w:r>
    </w:p>
    <w:p w14:paraId="4E30B30B">
      <w:pPr>
        <w:pageBreakBefore w:val="0"/>
        <w:widowControl w:val="0"/>
        <w:kinsoku/>
        <w:wordWrap/>
        <w:overflowPunct/>
        <w:topLinePunct w:val="0"/>
        <w:autoSpaceDE/>
        <w:autoSpaceDN/>
        <w:bidi w:val="0"/>
        <w:adjustRightInd/>
        <w:snapToGrid/>
        <w:spacing w:line="600" w:lineRule="exact"/>
        <w:ind w:firstLine="560"/>
        <w:textAlignment w:val="auto"/>
        <w:rPr>
          <w:color w:val="333333"/>
          <w:szCs w:val="32"/>
          <w:shd w:val="clear" w:color="auto" w:fill="FFFFFF"/>
        </w:rPr>
      </w:pPr>
      <w:r>
        <w:rPr>
          <w:rFonts w:hint="eastAsia"/>
          <w:color w:val="333333"/>
          <w:szCs w:val="32"/>
          <w:shd w:val="clear" w:color="auto" w:fill="FFFFFF"/>
        </w:rPr>
        <w:t>满意度评分过程。根据发放项目满意度调查问卷，回复“满意”得分权重100%，“比较满意”得分权重60%，“不满意”得分权重0%，“不了解”将不被统计。评分标准为：综合满意度≥90%，得</w:t>
      </w:r>
      <w:r>
        <w:rPr>
          <w:rFonts w:hint="eastAsia"/>
          <w:color w:val="333333"/>
          <w:szCs w:val="32"/>
          <w:shd w:val="clear" w:color="auto" w:fill="FFFFFF"/>
          <w:lang w:val="en-US" w:eastAsia="zh-CN"/>
        </w:rPr>
        <w:t>6</w:t>
      </w:r>
      <w:r>
        <w:rPr>
          <w:rFonts w:hint="eastAsia"/>
          <w:color w:val="333333"/>
          <w:szCs w:val="32"/>
          <w:shd w:val="clear" w:color="auto" w:fill="FFFFFF"/>
        </w:rPr>
        <w:t>分；90%＞满意度≥85%，得</w:t>
      </w:r>
      <w:r>
        <w:rPr>
          <w:rFonts w:hint="eastAsia"/>
          <w:color w:val="333333"/>
          <w:szCs w:val="32"/>
          <w:shd w:val="clear" w:color="auto" w:fill="FFFFFF"/>
          <w:lang w:val="en-US" w:eastAsia="zh-CN"/>
        </w:rPr>
        <w:t>5</w:t>
      </w:r>
      <w:r>
        <w:rPr>
          <w:rFonts w:hint="eastAsia"/>
          <w:color w:val="333333"/>
          <w:szCs w:val="32"/>
          <w:shd w:val="clear" w:color="auto" w:fill="FFFFFF"/>
        </w:rPr>
        <w:t>分；85%＞满意度≥80%，得</w:t>
      </w:r>
      <w:r>
        <w:rPr>
          <w:rFonts w:hint="eastAsia"/>
          <w:color w:val="333333"/>
          <w:szCs w:val="32"/>
          <w:shd w:val="clear" w:color="auto" w:fill="FFFFFF"/>
          <w:lang w:val="en-US" w:eastAsia="zh-CN"/>
        </w:rPr>
        <w:t>4</w:t>
      </w:r>
      <w:r>
        <w:rPr>
          <w:rFonts w:hint="eastAsia"/>
          <w:color w:val="333333"/>
          <w:szCs w:val="32"/>
          <w:shd w:val="clear" w:color="auto" w:fill="FFFFFF"/>
        </w:rPr>
        <w:t>分；80%＞满意度≥75%，得</w:t>
      </w:r>
      <w:r>
        <w:rPr>
          <w:rFonts w:hint="eastAsia"/>
          <w:color w:val="333333"/>
          <w:szCs w:val="32"/>
          <w:shd w:val="clear" w:color="auto" w:fill="FFFFFF"/>
          <w:lang w:val="en-US" w:eastAsia="zh-CN"/>
        </w:rPr>
        <w:t>3</w:t>
      </w:r>
      <w:r>
        <w:rPr>
          <w:rFonts w:hint="eastAsia"/>
          <w:color w:val="333333"/>
          <w:szCs w:val="32"/>
          <w:shd w:val="clear" w:color="auto" w:fill="FFFFFF"/>
        </w:rPr>
        <w:t>分；75%＞满意度≥70%，得</w:t>
      </w:r>
      <w:r>
        <w:rPr>
          <w:rFonts w:hint="eastAsia"/>
          <w:color w:val="333333"/>
          <w:szCs w:val="32"/>
          <w:shd w:val="clear" w:color="auto" w:fill="FFFFFF"/>
          <w:lang w:val="en-US" w:eastAsia="zh-CN"/>
        </w:rPr>
        <w:t>2</w:t>
      </w:r>
      <w:r>
        <w:rPr>
          <w:rFonts w:hint="eastAsia"/>
          <w:color w:val="333333"/>
          <w:szCs w:val="32"/>
          <w:shd w:val="clear" w:color="auto" w:fill="FFFFFF"/>
        </w:rPr>
        <w:t>分；满意度＜70%，不得分。经统计，综合满意度为</w:t>
      </w:r>
      <w:r>
        <w:rPr>
          <w:rFonts w:hint="eastAsia"/>
          <w:color w:val="333333"/>
          <w:szCs w:val="32"/>
          <w:shd w:val="clear" w:color="auto" w:fill="FFFFFF"/>
          <w:lang w:val="en-US" w:eastAsia="zh-CN"/>
        </w:rPr>
        <w:t>88.30</w:t>
      </w:r>
      <w:r>
        <w:rPr>
          <w:rFonts w:hint="eastAsia"/>
          <w:color w:val="333333"/>
          <w:szCs w:val="32"/>
          <w:shd w:val="clear" w:color="auto" w:fill="FFFFFF"/>
        </w:rPr>
        <w:t>%，根据评分标准得5分。</w:t>
      </w:r>
    </w:p>
    <w:p w14:paraId="0B45EE1D">
      <w:pPr>
        <w:pStyle w:val="3"/>
        <w:ind w:firstLine="562"/>
        <w:rPr>
          <w:rFonts w:ascii="Times New Roman" w:hAnsi="Times New Roman" w:cs="Times New Roman"/>
          <w:b/>
          <w:bCs w:val="0"/>
        </w:rPr>
      </w:pPr>
      <w:bookmarkStart w:id="185" w:name="_Toc13740"/>
      <w:bookmarkStart w:id="186" w:name="_Toc13666"/>
      <w:bookmarkStart w:id="187" w:name="_Toc13773"/>
      <w:bookmarkStart w:id="188" w:name="_Toc16326"/>
      <w:bookmarkStart w:id="189" w:name="_Toc32727"/>
      <w:bookmarkStart w:id="190" w:name="_Toc6478"/>
      <w:r>
        <w:rPr>
          <w:rFonts w:ascii="Times New Roman" w:hAnsi="Times New Roman" w:cs="Times New Roman"/>
          <w:b/>
          <w:bCs w:val="0"/>
        </w:rPr>
        <w:t>五、主要经验及做法、存在的问题</w:t>
      </w:r>
      <w:bookmarkEnd w:id="185"/>
      <w:bookmarkEnd w:id="186"/>
      <w:bookmarkEnd w:id="187"/>
      <w:bookmarkEnd w:id="188"/>
      <w:bookmarkEnd w:id="189"/>
      <w:bookmarkEnd w:id="190"/>
    </w:p>
    <w:p w14:paraId="14CC7F2B">
      <w:pPr>
        <w:pStyle w:val="4"/>
        <w:ind w:firstLine="560"/>
      </w:pPr>
      <w:bookmarkStart w:id="191" w:name="_Toc19967"/>
      <w:bookmarkStart w:id="192" w:name="_Toc29859"/>
      <w:bookmarkStart w:id="193" w:name="_Toc640"/>
      <w:bookmarkStart w:id="194" w:name="_Toc28260"/>
      <w:bookmarkStart w:id="195" w:name="_Toc8098"/>
      <w:r>
        <w:t>（一）项目</w:t>
      </w:r>
      <w:bookmarkStart w:id="196" w:name="_Hlk148475113"/>
      <w:r>
        <w:t>主要经验及做法</w:t>
      </w:r>
      <w:bookmarkEnd w:id="191"/>
      <w:bookmarkEnd w:id="192"/>
      <w:bookmarkEnd w:id="193"/>
      <w:bookmarkEnd w:id="194"/>
      <w:bookmarkEnd w:id="195"/>
      <w:bookmarkEnd w:id="196"/>
    </w:p>
    <w:p w14:paraId="043743AE">
      <w:pPr>
        <w:ind w:firstLine="560"/>
        <w:rPr>
          <w:color w:val="333333"/>
          <w:szCs w:val="32"/>
          <w:shd w:val="clear" w:color="auto" w:fill="FFFFFF"/>
        </w:rPr>
      </w:pPr>
      <w:r>
        <w:rPr>
          <w:rFonts w:hint="eastAsia"/>
          <w:color w:val="333333"/>
          <w:szCs w:val="32"/>
          <w:shd w:val="clear" w:color="auto" w:fill="FFFFFF"/>
        </w:rPr>
        <w:t>2024年安宁市民政局根据补助标准，按评估结果下拨2023年7至12月、2024年1至3月老年人用餐服务补助，核拨2024年4至6月老年人用餐服务补助，预拨2024年7至12月老年人用餐服务补助，核拨2023年及2024年1至9月工作人员补助，各街道根据安宁市民政局下拨文件转拨2024年补助资金，按照年初计划完成工作任务。</w:t>
      </w:r>
    </w:p>
    <w:p w14:paraId="572C2062">
      <w:pPr>
        <w:pStyle w:val="4"/>
        <w:bidi w:val="0"/>
      </w:pPr>
      <w:bookmarkStart w:id="197" w:name="_Toc23496"/>
      <w:bookmarkStart w:id="198" w:name="_Toc14491"/>
      <w:bookmarkStart w:id="199" w:name="_Toc17853"/>
      <w:bookmarkStart w:id="200" w:name="_Toc31121"/>
      <w:bookmarkStart w:id="201" w:name="_Toc31428"/>
      <w:r>
        <w:t>（二）存在的主要问题</w:t>
      </w:r>
      <w:bookmarkEnd w:id="197"/>
      <w:bookmarkEnd w:id="198"/>
      <w:bookmarkEnd w:id="199"/>
      <w:bookmarkEnd w:id="200"/>
      <w:bookmarkEnd w:id="201"/>
    </w:p>
    <w:p w14:paraId="7199B01F">
      <w:pPr>
        <w:bidi w:val="0"/>
        <w:rPr>
          <w:rFonts w:hint="eastAsia"/>
          <w:lang w:val="en-US" w:eastAsia="zh-CN"/>
        </w:rPr>
      </w:pPr>
      <w:bookmarkStart w:id="202" w:name="_Toc118282095"/>
      <w:bookmarkEnd w:id="202"/>
      <w:bookmarkStart w:id="203" w:name="_Toc118041736"/>
      <w:bookmarkEnd w:id="203"/>
      <w:bookmarkStart w:id="204" w:name="_Toc118041737"/>
      <w:bookmarkEnd w:id="204"/>
      <w:bookmarkStart w:id="205" w:name="_Toc118282096"/>
      <w:bookmarkEnd w:id="205"/>
      <w:r>
        <w:rPr>
          <w:rFonts w:hint="eastAsia"/>
          <w:lang w:val="en-US" w:eastAsia="zh-CN"/>
        </w:rPr>
        <w:t>农村老年食堂运营困难。</w:t>
      </w:r>
      <w:r>
        <w:rPr>
          <w:rFonts w:hint="eastAsia"/>
        </w:rPr>
        <w:t>安宁市63家老年食堂，停运16家，整体运营率为75%，其中14家为农村老年食堂，运营呈现城乡差异，农村老年食堂运营困境较为凸显。农村老年食堂运营困难</w:t>
      </w:r>
      <w:r>
        <w:rPr>
          <w:rFonts w:hint="eastAsia"/>
          <w:lang w:val="en-US" w:eastAsia="zh-CN"/>
        </w:rPr>
        <w:t>因素较多，农村地区老人的消费习惯、食堂的菜品和服务、补助资金拨付速度、村集体资金支持程度等都影响</w:t>
      </w:r>
      <w:r>
        <w:rPr>
          <w:rFonts w:hint="eastAsia"/>
        </w:rPr>
        <w:t>农村老年食堂运营</w:t>
      </w:r>
      <w:r>
        <w:rPr>
          <w:rFonts w:hint="eastAsia"/>
          <w:lang w:eastAsia="zh-CN"/>
        </w:rPr>
        <w:t>。</w:t>
      </w:r>
    </w:p>
    <w:p w14:paraId="33EC3E14">
      <w:pPr>
        <w:pStyle w:val="3"/>
        <w:ind w:firstLine="562"/>
        <w:rPr>
          <w:rFonts w:ascii="Times New Roman" w:hAnsi="Times New Roman" w:cs="Times New Roman"/>
          <w:b/>
          <w:bCs w:val="0"/>
        </w:rPr>
      </w:pPr>
      <w:bookmarkStart w:id="206" w:name="_Toc118282097"/>
      <w:bookmarkEnd w:id="206"/>
      <w:bookmarkStart w:id="207" w:name="_Toc10674"/>
      <w:bookmarkStart w:id="208" w:name="_Toc1390"/>
      <w:bookmarkStart w:id="209" w:name="_Toc30249"/>
      <w:bookmarkStart w:id="210" w:name="_Toc19840"/>
      <w:bookmarkStart w:id="211" w:name="_Toc13799"/>
      <w:bookmarkStart w:id="212" w:name="_Toc6750"/>
      <w:r>
        <w:rPr>
          <w:rFonts w:ascii="Times New Roman" w:hAnsi="Times New Roman" w:cs="Times New Roman"/>
          <w:b/>
          <w:bCs w:val="0"/>
        </w:rPr>
        <w:t>六、相关建议和措施</w:t>
      </w:r>
      <w:bookmarkEnd w:id="207"/>
      <w:bookmarkEnd w:id="208"/>
      <w:bookmarkEnd w:id="209"/>
      <w:bookmarkEnd w:id="210"/>
      <w:bookmarkEnd w:id="211"/>
      <w:bookmarkEnd w:id="212"/>
    </w:p>
    <w:p w14:paraId="5C9E9EEC">
      <w:pPr>
        <w:ind w:firstLine="560"/>
        <w:rPr>
          <w:rFonts w:hint="eastAsia" w:eastAsia="仿宋_GB2312"/>
          <w:lang w:val="en-US" w:eastAsia="zh-CN"/>
        </w:rPr>
      </w:pPr>
      <w:r>
        <w:rPr>
          <w:rFonts w:hint="eastAsia" w:eastAsia="仿宋_GB2312"/>
          <w:lang w:val="en-US" w:eastAsia="zh-CN"/>
        </w:rPr>
        <w:t>1.以市场化运营降本增效</w:t>
      </w:r>
    </w:p>
    <w:p w14:paraId="39345F05">
      <w:pPr>
        <w:ind w:firstLine="560"/>
      </w:pPr>
      <w:r>
        <w:rPr>
          <w:rFonts w:hint="eastAsia" w:eastAsia="仿宋_GB2312"/>
          <w:lang w:val="en-US" w:eastAsia="zh-CN"/>
        </w:rPr>
        <w:t>结合农村老年食堂运营实际及市场经济下行带来的营收难题，坚持“降本增效、提质扩面、控量优化”核心方向，整合资源，以市场化运营来破解发展难题。推行阶梯定价与自愿加餐结合的收费机制，确保运营的可持续性。通过批量集采食材等方式降低采购成本；优化人员配置，引入市场化绩效考核提升服务效率。贴合老人需求提质菜品、拓展助餐、送餐服务，同时健全社会捐赠、市场化营收互补的多元资金保障机制，严控资金支出，集中资源提升保留食堂运营实效，破解农村老年食堂运营难题。</w:t>
      </w:r>
      <w:r>
        <w:rPr>
          <w:rFonts w:hint="eastAsia"/>
        </w:rPr>
        <w:t>‌</w:t>
      </w:r>
    </w:p>
    <w:p w14:paraId="612DFA58">
      <w:pPr>
        <w:pStyle w:val="3"/>
        <w:ind w:firstLine="562"/>
        <w:rPr>
          <w:rFonts w:ascii="Times New Roman" w:hAnsi="Times New Roman" w:cs="Times New Roman"/>
          <w:b/>
          <w:bCs w:val="0"/>
        </w:rPr>
      </w:pPr>
      <w:bookmarkStart w:id="213" w:name="_Toc118041741"/>
      <w:bookmarkEnd w:id="213"/>
      <w:bookmarkStart w:id="214" w:name="_Toc118282100"/>
      <w:bookmarkEnd w:id="214"/>
      <w:bookmarkStart w:id="215" w:name="_Toc118282101"/>
      <w:bookmarkEnd w:id="215"/>
      <w:bookmarkStart w:id="216" w:name="_Toc26834"/>
      <w:bookmarkStart w:id="217" w:name="_Toc11441"/>
      <w:bookmarkStart w:id="218" w:name="_Toc28857"/>
      <w:bookmarkStart w:id="219" w:name="_Toc24308"/>
      <w:bookmarkStart w:id="220" w:name="_Toc22433"/>
      <w:bookmarkStart w:id="221" w:name="_Toc2988"/>
      <w:bookmarkStart w:id="222" w:name="_Hlk148475156"/>
      <w:r>
        <w:rPr>
          <w:rFonts w:ascii="Times New Roman" w:hAnsi="Times New Roman" w:cs="Times New Roman"/>
          <w:b/>
          <w:bCs w:val="0"/>
        </w:rPr>
        <w:t>七</w:t>
      </w:r>
      <w:r>
        <w:rPr>
          <w:rFonts w:hint="eastAsia" w:ascii="Times New Roman" w:hAnsi="Times New Roman" w:cs="Times New Roman"/>
          <w:b/>
          <w:bCs w:val="0"/>
        </w:rPr>
        <w:t>、其他</w:t>
      </w:r>
      <w:r>
        <w:rPr>
          <w:rFonts w:ascii="Times New Roman" w:hAnsi="Times New Roman" w:cs="Times New Roman"/>
          <w:b/>
          <w:bCs w:val="0"/>
        </w:rPr>
        <w:t>需要说明的问题</w:t>
      </w:r>
      <w:bookmarkEnd w:id="216"/>
      <w:bookmarkEnd w:id="217"/>
      <w:bookmarkEnd w:id="218"/>
      <w:bookmarkEnd w:id="219"/>
      <w:bookmarkEnd w:id="220"/>
      <w:bookmarkEnd w:id="221"/>
    </w:p>
    <w:bookmarkEnd w:id="222"/>
    <w:p w14:paraId="3BE9EB3E">
      <w:pPr>
        <w:pStyle w:val="4"/>
        <w:bidi w:val="0"/>
      </w:pPr>
      <w:bookmarkStart w:id="223" w:name="_Toc20185"/>
      <w:r>
        <w:rPr>
          <w:rFonts w:hint="eastAsia"/>
        </w:rPr>
        <w:t>（一）评价工作依据</w:t>
      </w:r>
      <w:bookmarkEnd w:id="223"/>
    </w:p>
    <w:p w14:paraId="17F28B3C">
      <w:pPr>
        <w:ind w:firstLine="560"/>
        <w:rPr>
          <w:color w:val="333333"/>
          <w:kern w:val="0"/>
          <w:szCs w:val="32"/>
        </w:rPr>
      </w:pPr>
      <w:r>
        <w:rPr>
          <w:rFonts w:hint="eastAsia"/>
          <w:color w:val="333333"/>
          <w:kern w:val="0"/>
          <w:szCs w:val="32"/>
        </w:rPr>
        <w:t>此次评价工作以各相关部门（单位）提供的评价材料为基础，通过现场调查核实，在此基础上形成绩效评价报告，相关数据由被评价单位及项目单位提供，评价过程中并不对数据的真实性及准确性进行审计认定。</w:t>
      </w:r>
    </w:p>
    <w:p w14:paraId="4ED42AE1">
      <w:pPr>
        <w:pStyle w:val="4"/>
        <w:bidi w:val="0"/>
      </w:pPr>
      <w:bookmarkStart w:id="224" w:name="_Toc6013"/>
      <w:r>
        <w:rPr>
          <w:rFonts w:hint="eastAsia"/>
        </w:rPr>
        <w:t>（二）评价报告适用范围</w:t>
      </w:r>
      <w:bookmarkEnd w:id="224"/>
    </w:p>
    <w:p w14:paraId="4A95FC34">
      <w:pPr>
        <w:ind w:firstLine="560"/>
      </w:pPr>
      <w:r>
        <w:rPr>
          <w:rFonts w:hint="eastAsia"/>
        </w:rPr>
        <w:t>此报告仅供安宁市财政局内部使用，因使用不当造成的后果，与执行本次绩效评价业务的会计师事务所无关。</w:t>
      </w:r>
    </w:p>
    <w:p w14:paraId="339E6182">
      <w:pPr>
        <w:ind w:firstLine="560"/>
        <w:rPr>
          <w:szCs w:val="32"/>
        </w:rPr>
      </w:pPr>
    </w:p>
    <w:p w14:paraId="4A444E5E">
      <w:pPr>
        <w:ind w:firstLine="560"/>
        <w:rPr>
          <w:szCs w:val="32"/>
        </w:rPr>
      </w:pPr>
      <w:r>
        <w:rPr>
          <w:szCs w:val="32"/>
        </w:rPr>
        <w:t>附件：</w:t>
      </w:r>
    </w:p>
    <w:p w14:paraId="64113C8B">
      <w:pPr>
        <w:ind w:firstLine="560"/>
        <w:rPr>
          <w:szCs w:val="32"/>
        </w:rPr>
      </w:pPr>
      <w:r>
        <w:rPr>
          <w:szCs w:val="32"/>
        </w:rPr>
        <w:t>1．</w:t>
      </w:r>
      <w:r>
        <w:rPr>
          <w:rFonts w:hint="eastAsia"/>
          <w:szCs w:val="32"/>
        </w:rPr>
        <w:t>2024年度养老服务设施建设及运营、管理服务补助经费（老年食堂）项目支出绩效评价指标体系及评分</w:t>
      </w:r>
      <w:r>
        <w:rPr>
          <w:szCs w:val="32"/>
        </w:rPr>
        <w:t>。</w:t>
      </w:r>
    </w:p>
    <w:p w14:paraId="044C93F7">
      <w:pPr>
        <w:ind w:firstLine="560"/>
        <w:rPr>
          <w:szCs w:val="32"/>
        </w:rPr>
      </w:pPr>
    </w:p>
    <w:p w14:paraId="04E5A83C">
      <w:pPr>
        <w:ind w:firstLine="560"/>
        <w:rPr>
          <w:szCs w:val="32"/>
        </w:rPr>
      </w:pPr>
    </w:p>
    <w:p w14:paraId="08D51AB0">
      <w:pPr>
        <w:ind w:firstLine="560"/>
        <w:rPr>
          <w:szCs w:val="32"/>
        </w:rPr>
      </w:pPr>
    </w:p>
    <w:p w14:paraId="7407EC2D">
      <w:pPr>
        <w:snapToGrid w:val="0"/>
        <w:spacing w:line="600" w:lineRule="exact"/>
        <w:ind w:firstLine="697" w:firstLineChars="249"/>
        <w:rPr>
          <w:rFonts w:ascii="仿宋_GB2312" w:hAnsi="仿宋_GB2312" w:cs="仿宋_GB2312"/>
          <w:sz w:val="28"/>
          <w:szCs w:val="28"/>
        </w:rPr>
      </w:pPr>
      <w:r>
        <w:rPr>
          <w:rFonts w:hint="eastAsia" w:ascii="仿宋_GB2312" w:hAnsi="仿宋_GB2312" w:cs="仿宋_GB2312"/>
          <w:sz w:val="28"/>
          <w:szCs w:val="28"/>
        </w:rPr>
        <w:t>昆明正宇会计师事务所</w:t>
      </w:r>
      <w:r>
        <w:rPr>
          <w:rFonts w:hint="eastAsia" w:ascii="仿宋_GB2312" w:hAnsi="仿宋_GB2312" w:cs="仿宋_GB2312"/>
          <w:sz w:val="28"/>
          <w:szCs w:val="28"/>
        </w:rPr>
        <w:tab/>
      </w:r>
      <w:r>
        <w:rPr>
          <w:rFonts w:hint="eastAsia" w:ascii="仿宋_GB2312" w:hAnsi="仿宋_GB2312" w:cs="仿宋_GB2312"/>
          <w:sz w:val="28"/>
          <w:szCs w:val="28"/>
        </w:rPr>
        <w:t xml:space="preserve">       中国注册会计师：</w:t>
      </w:r>
    </w:p>
    <w:p w14:paraId="793DBC85">
      <w:pPr>
        <w:snapToGrid w:val="0"/>
        <w:spacing w:line="600" w:lineRule="exact"/>
        <w:ind w:firstLine="1528" w:firstLineChars="546"/>
        <w:rPr>
          <w:rFonts w:ascii="仿宋_GB2312" w:hAnsi="仿宋_GB2312" w:cs="仿宋_GB2312"/>
          <w:sz w:val="28"/>
          <w:szCs w:val="28"/>
        </w:rPr>
      </w:pPr>
      <w:r>
        <w:rPr>
          <w:rFonts w:hint="eastAsia" w:ascii="仿宋_GB2312" w:hAnsi="仿宋_GB2312" w:cs="仿宋_GB2312"/>
          <w:sz w:val="28"/>
          <w:szCs w:val="28"/>
        </w:rPr>
        <w:t>有限公司</w:t>
      </w:r>
    </w:p>
    <w:p w14:paraId="5E3E9940">
      <w:pPr>
        <w:snapToGrid w:val="0"/>
        <w:spacing w:line="600" w:lineRule="exact"/>
        <w:ind w:firstLine="4712" w:firstLineChars="1683"/>
        <w:rPr>
          <w:rFonts w:ascii="仿宋_GB2312" w:hAnsi="仿宋_GB2312" w:cs="仿宋_GB2312"/>
          <w:sz w:val="28"/>
          <w:szCs w:val="28"/>
        </w:rPr>
      </w:pPr>
      <w:r>
        <w:rPr>
          <w:rFonts w:hint="eastAsia" w:ascii="仿宋_GB2312" w:hAnsi="仿宋_GB2312" w:cs="仿宋_GB2312"/>
          <w:sz w:val="28"/>
          <w:szCs w:val="28"/>
        </w:rPr>
        <w:t>中国注册会计师：</w:t>
      </w:r>
    </w:p>
    <w:p w14:paraId="24C17E91">
      <w:pPr>
        <w:snapToGrid w:val="0"/>
        <w:spacing w:line="600" w:lineRule="exact"/>
        <w:ind w:firstLine="4760" w:firstLineChars="1700"/>
        <w:rPr>
          <w:rFonts w:ascii="仿宋_GB2312" w:hAnsi="仿宋_GB2312" w:cs="仿宋_GB2312"/>
          <w:sz w:val="28"/>
          <w:szCs w:val="28"/>
        </w:rPr>
      </w:pPr>
    </w:p>
    <w:p w14:paraId="179CC81E">
      <w:pPr>
        <w:snapToGrid w:val="0"/>
        <w:spacing w:line="600" w:lineRule="exact"/>
        <w:ind w:firstLine="1400" w:firstLineChars="500"/>
        <w:rPr>
          <w:rFonts w:ascii="仿宋_GB2312" w:hAnsi="仿宋_GB2312" w:cs="仿宋_GB2312"/>
          <w:sz w:val="28"/>
          <w:szCs w:val="28"/>
        </w:rPr>
      </w:pPr>
      <w:r>
        <w:rPr>
          <w:rFonts w:hint="eastAsia" w:ascii="仿宋_GB2312" w:hAnsi="仿宋_GB2312" w:cs="仿宋_GB2312"/>
          <w:sz w:val="28"/>
          <w:szCs w:val="28"/>
        </w:rPr>
        <w:t>中国·昆明</w:t>
      </w:r>
      <w:r>
        <w:rPr>
          <w:rFonts w:hint="eastAsia" w:ascii="仿宋_GB2312" w:hAnsi="仿宋_GB2312" w:cs="仿宋_GB2312"/>
          <w:sz w:val="28"/>
          <w:szCs w:val="28"/>
        </w:rPr>
        <w:tab/>
      </w:r>
      <w:r>
        <w:rPr>
          <w:rFonts w:hint="eastAsia" w:ascii="仿宋_GB2312" w:hAnsi="仿宋_GB2312" w:cs="仿宋_GB2312"/>
          <w:sz w:val="28"/>
          <w:szCs w:val="28"/>
        </w:rPr>
        <w:t xml:space="preserve">         二○二</w:t>
      </w:r>
      <w:r>
        <w:rPr>
          <w:rFonts w:hint="eastAsia" w:ascii="仿宋_GB2312" w:hAnsi="仿宋_GB2312" w:cs="仿宋_GB2312"/>
          <w:sz w:val="28"/>
          <w:szCs w:val="28"/>
          <w:lang w:val="en-US" w:eastAsia="zh-CN"/>
        </w:rPr>
        <w:t>六</w:t>
      </w:r>
      <w:r>
        <w:rPr>
          <w:rFonts w:hint="eastAsia" w:ascii="仿宋_GB2312" w:hAnsi="仿宋_GB2312" w:cs="仿宋_GB2312"/>
          <w:sz w:val="28"/>
          <w:szCs w:val="28"/>
        </w:rPr>
        <w:t>年</w:t>
      </w:r>
      <w:r>
        <w:rPr>
          <w:rFonts w:hint="eastAsia" w:ascii="仿宋_GB2312" w:hAnsi="仿宋_GB2312" w:cs="仿宋_GB2312"/>
          <w:sz w:val="28"/>
          <w:szCs w:val="28"/>
          <w:lang w:val="en-US" w:eastAsia="zh-CN"/>
        </w:rPr>
        <w:t xml:space="preserve">  </w:t>
      </w:r>
      <w:r>
        <w:rPr>
          <w:rFonts w:hint="eastAsia" w:ascii="仿宋_GB2312" w:hAnsi="仿宋_GB2312" w:cs="仿宋_GB2312"/>
          <w:sz w:val="28"/>
          <w:szCs w:val="28"/>
        </w:rPr>
        <w:t>月</w:t>
      </w:r>
      <w:r>
        <w:rPr>
          <w:rFonts w:hint="eastAsia" w:ascii="仿宋_GB2312" w:hAnsi="仿宋_GB2312" w:cs="仿宋_GB2312"/>
          <w:sz w:val="28"/>
          <w:szCs w:val="28"/>
          <w:lang w:val="en-US" w:eastAsia="zh-CN"/>
        </w:rPr>
        <w:t xml:space="preserve">  </w:t>
      </w:r>
      <w:r>
        <w:rPr>
          <w:rFonts w:hint="eastAsia" w:ascii="仿宋_GB2312" w:hAnsi="仿宋_GB2312" w:cs="仿宋_GB2312"/>
          <w:sz w:val="28"/>
          <w:szCs w:val="28"/>
        </w:rPr>
        <w:t>日</w:t>
      </w:r>
    </w:p>
    <w:p w14:paraId="34151D1F">
      <w:pPr>
        <w:spacing w:line="276" w:lineRule="auto"/>
        <w:ind w:left="-178" w:firstLine="560"/>
        <w:jc w:val="right"/>
      </w:pPr>
    </w:p>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251180"/>
    </w:sdtPr>
    <w:sdtContent>
      <w:p w14:paraId="742D53D6">
        <w:pPr>
          <w:pStyle w:val="10"/>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AE58F">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82E91">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01ECD">
    <w:pPr>
      <w:pStyle w:val="10"/>
      <w:tabs>
        <w:tab w:val="left" w:pos="2849"/>
        <w:tab w:val="center" w:pos="4213"/>
      </w:tabs>
      <w:ind w:firstLine="360"/>
      <w:jc w:val="center"/>
      <w:rPr>
        <w:rFonts w:ascii="宋体" w:hAnsi="宋体" w:eastAsia="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7AAFA">
                          <w:pPr>
                            <w:pStyle w:val="10"/>
                            <w:tabs>
                              <w:tab w:val="left" w:pos="2849"/>
                              <w:tab w:val="center" w:pos="4213"/>
                            </w:tabs>
                            <w:ind w:firstLine="360"/>
                            <w:jc w:val="center"/>
                          </w:pPr>
                          <w:r>
                            <w:rPr>
                              <w:rFonts w:hint="eastAsia" w:ascii="宋体" w:hAnsi="宋体" w:eastAsia="宋体"/>
                            </w:rPr>
                            <w:t>摘要 第</w:t>
                          </w:r>
                          <w:sdt>
                            <w:sdtPr>
                              <w:rPr>
                                <w:rFonts w:ascii="宋体" w:hAnsi="宋体" w:eastAsia="宋体"/>
                              </w:rPr>
                              <w:id w:val="147459085"/>
                            </w:sdtPr>
                            <w:sdtEndPr>
                              <w:rPr>
                                <w:rFonts w:ascii="宋体" w:hAnsi="宋体" w:eastAsia="宋体"/>
                              </w:rPr>
                            </w:sdtEndPr>
                            <w:sdtContent>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597AAFA">
                    <w:pPr>
                      <w:pStyle w:val="10"/>
                      <w:tabs>
                        <w:tab w:val="left" w:pos="2849"/>
                        <w:tab w:val="center" w:pos="4213"/>
                      </w:tabs>
                      <w:ind w:firstLine="360"/>
                      <w:jc w:val="center"/>
                    </w:pPr>
                    <w:r>
                      <w:rPr>
                        <w:rFonts w:hint="eastAsia" w:ascii="宋体" w:hAnsi="宋体" w:eastAsia="宋体"/>
                      </w:rPr>
                      <w:t>摘要 第</w:t>
                    </w:r>
                    <w:sdt>
                      <w:sdtPr>
                        <w:rPr>
                          <w:rFonts w:ascii="宋体" w:hAnsi="宋体" w:eastAsia="宋体"/>
                        </w:rPr>
                        <w:id w:val="147459085"/>
                      </w:sdtPr>
                      <w:sdtEndPr>
                        <w:rPr>
                          <w:rFonts w:ascii="宋体" w:hAnsi="宋体" w:eastAsia="宋体"/>
                        </w:rPr>
                      </w:sdtEndPr>
                      <w:sdtContent>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txbxContent>
              </v:textbox>
            </v:shape>
          </w:pict>
        </mc:Fallback>
      </mc:AlternateContent>
    </w:r>
  </w:p>
  <w:p w14:paraId="209A492F">
    <w:pPr>
      <w:pStyle w:val="10"/>
      <w:tabs>
        <w:tab w:val="right" w:pos="9498"/>
        <w:tab w:val="clear" w:pos="8306"/>
      </w:tabs>
      <w:ind w:left="-958" w:leftChars="-342" w:right="-1075" w:rightChars="-384" w:firstLine="8" w:firstLineChars="5"/>
      <w:rPr>
        <w:sz w:val="17"/>
        <w:szCs w:val="17"/>
      </w:rPr>
    </w:pPr>
    <w:r>
      <w:rPr>
        <w:rFonts w:hint="eastAsia" w:ascii="隶书" w:eastAsia="隶书"/>
        <w:i/>
        <w:sz w:val="17"/>
        <w:szCs w:val="17"/>
      </w:rPr>
      <w:t>昆明正宇会计师事务所有限公司      地址：昆明市西山区云石商贸城C座501-504号    电话:(0871)68335386  68693002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DE675">
    <w:pPr>
      <w:pStyle w:val="10"/>
      <w:ind w:firstLine="360"/>
      <w:jc w:val="center"/>
      <w:rPr>
        <w:rFonts w:ascii="宋体" w:hAnsi="宋体" w:eastAsia="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9CF56">
                          <w:pPr>
                            <w:pStyle w:val="10"/>
                            <w:ind w:firstLine="360"/>
                            <w:jc w:val="center"/>
                          </w:pPr>
                          <w:r>
                            <w:rPr>
                              <w:rFonts w:hint="eastAsia" w:ascii="宋体" w:hAnsi="宋体" w:eastAsia="宋体"/>
                            </w:rPr>
                            <w:t>正文 第</w:t>
                          </w:r>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1E9CF56">
                    <w:pPr>
                      <w:pStyle w:val="10"/>
                      <w:ind w:firstLine="360"/>
                      <w:jc w:val="center"/>
                    </w:pPr>
                    <w:r>
                      <w:rPr>
                        <w:rFonts w:hint="eastAsia" w:ascii="宋体" w:hAnsi="宋体" w:eastAsia="宋体"/>
                      </w:rPr>
                      <w:t>正文 第</w:t>
                    </w:r>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p>
                </w:txbxContent>
              </v:textbox>
            </v:shape>
          </w:pict>
        </mc:Fallback>
      </mc:AlternateContent>
    </w:r>
  </w:p>
  <w:p w14:paraId="769F059F">
    <w:pPr>
      <w:pStyle w:val="10"/>
      <w:tabs>
        <w:tab w:val="right" w:pos="9498"/>
        <w:tab w:val="clear" w:pos="8306"/>
      </w:tabs>
      <w:ind w:left="-958" w:leftChars="-342" w:right="-1075" w:rightChars="-384" w:firstLine="8" w:firstLineChars="5"/>
      <w:rPr>
        <w:sz w:val="17"/>
        <w:szCs w:val="17"/>
      </w:rPr>
    </w:pPr>
    <w:r>
      <w:rPr>
        <w:rFonts w:hint="eastAsia" w:ascii="隶书" w:eastAsia="隶书"/>
        <w:i/>
        <w:sz w:val="17"/>
        <w:szCs w:val="17"/>
      </w:rPr>
      <w:t>昆明正宇会计师事务所有限公司      地址：昆明市西山区云石商贸城C座501-504号    电话:(0871)68335386  68693002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69158">
    <w:pPr>
      <w:pStyle w:val="11"/>
      <w:pBdr>
        <w:bottom w:val="none" w:color="auto" w:sz="0" w:space="0"/>
      </w:pBdr>
      <w:ind w:firstLine="36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2FD0">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FAFFD">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C8818">
    <w:pPr>
      <w:pStyle w:val="11"/>
      <w:keepNext w:val="0"/>
      <w:keepLines w:val="0"/>
      <w:pageBreakBefore w:val="0"/>
      <w:widowControl w:val="0"/>
      <w:kinsoku/>
      <w:wordWrap/>
      <w:overflowPunct/>
      <w:topLinePunct w:val="0"/>
      <w:bidi w:val="0"/>
      <w:adjustRightInd/>
      <w:snapToGrid w:val="0"/>
      <w:ind w:firstLine="0" w:firstLineChars="0"/>
      <w:jc w:val="left"/>
      <w:textAlignment w:val="auto"/>
      <w:rPr>
        <w:rFonts w:ascii="Times New Roman" w:hAnsi="Times New Roman" w:eastAsia="宋体" w:cs="Times New Roman"/>
      </w:rPr>
    </w:pPr>
    <w:r>
      <w:rPr>
        <w:rFonts w:hint="eastAsia" w:ascii="Times New Roman" w:hAnsi="Times New Roman" w:eastAsia="宋体" w:cs="Times New Roman"/>
      </w:rPr>
      <w:t>2024年度养老服务设施建设及运营、管理服务补助经费（老年食堂）项目支出绩效评价报告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122F5D"/>
    <w:multiLevelType w:val="multilevel"/>
    <w:tmpl w:val="31122F5D"/>
    <w:lvl w:ilvl="0" w:tentative="0">
      <w:start w:val="1"/>
      <w:numFmt w:val="chineseCountingThousand"/>
      <w:pStyle w:val="3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JmYjA2Njk3NjQ0MzQxZTA3OWIwNzQ3YTc5ZTEzMDYifQ=="/>
  </w:docVars>
  <w:rsids>
    <w:rsidRoot w:val="001C0412"/>
    <w:rsid w:val="00017A4F"/>
    <w:rsid w:val="001445F0"/>
    <w:rsid w:val="00174D59"/>
    <w:rsid w:val="001A0015"/>
    <w:rsid w:val="001B2849"/>
    <w:rsid w:val="001C0412"/>
    <w:rsid w:val="00246315"/>
    <w:rsid w:val="00275F93"/>
    <w:rsid w:val="002C1462"/>
    <w:rsid w:val="0035416A"/>
    <w:rsid w:val="00370008"/>
    <w:rsid w:val="003A39CC"/>
    <w:rsid w:val="003D7562"/>
    <w:rsid w:val="004050F0"/>
    <w:rsid w:val="004077CA"/>
    <w:rsid w:val="0044590F"/>
    <w:rsid w:val="005058DB"/>
    <w:rsid w:val="00550EC2"/>
    <w:rsid w:val="00581548"/>
    <w:rsid w:val="005B11FC"/>
    <w:rsid w:val="00693C7C"/>
    <w:rsid w:val="00693E5F"/>
    <w:rsid w:val="006A72BC"/>
    <w:rsid w:val="006C1DF4"/>
    <w:rsid w:val="00701F4E"/>
    <w:rsid w:val="007157D7"/>
    <w:rsid w:val="0077101F"/>
    <w:rsid w:val="008366D3"/>
    <w:rsid w:val="008B5244"/>
    <w:rsid w:val="008B768C"/>
    <w:rsid w:val="009241AB"/>
    <w:rsid w:val="00941079"/>
    <w:rsid w:val="00A00D13"/>
    <w:rsid w:val="00A103B0"/>
    <w:rsid w:val="00AB5A2F"/>
    <w:rsid w:val="00B02942"/>
    <w:rsid w:val="00B07459"/>
    <w:rsid w:val="00B909D0"/>
    <w:rsid w:val="00B944C1"/>
    <w:rsid w:val="00BB4F6D"/>
    <w:rsid w:val="00BC46F7"/>
    <w:rsid w:val="00BC4816"/>
    <w:rsid w:val="00BE3FC9"/>
    <w:rsid w:val="00C04A5C"/>
    <w:rsid w:val="00C3295F"/>
    <w:rsid w:val="00C450E1"/>
    <w:rsid w:val="00C670F6"/>
    <w:rsid w:val="00C6736F"/>
    <w:rsid w:val="00C77635"/>
    <w:rsid w:val="00C84ACA"/>
    <w:rsid w:val="00D60273"/>
    <w:rsid w:val="00D72F93"/>
    <w:rsid w:val="00D738BC"/>
    <w:rsid w:val="00DD18BD"/>
    <w:rsid w:val="00E01A69"/>
    <w:rsid w:val="00E0682F"/>
    <w:rsid w:val="00E16B22"/>
    <w:rsid w:val="00E230F0"/>
    <w:rsid w:val="00E6289C"/>
    <w:rsid w:val="00EA2E36"/>
    <w:rsid w:val="00F34EFB"/>
    <w:rsid w:val="00F45C30"/>
    <w:rsid w:val="00FB2BC7"/>
    <w:rsid w:val="00FF6FD4"/>
    <w:rsid w:val="01BE4CEB"/>
    <w:rsid w:val="01D15B85"/>
    <w:rsid w:val="023D293E"/>
    <w:rsid w:val="02C833D2"/>
    <w:rsid w:val="02D908B8"/>
    <w:rsid w:val="032456A9"/>
    <w:rsid w:val="03390A36"/>
    <w:rsid w:val="03670A95"/>
    <w:rsid w:val="03690C25"/>
    <w:rsid w:val="03D71C1F"/>
    <w:rsid w:val="04AA337E"/>
    <w:rsid w:val="051B0480"/>
    <w:rsid w:val="0619453E"/>
    <w:rsid w:val="064C0167"/>
    <w:rsid w:val="06E047D3"/>
    <w:rsid w:val="07473032"/>
    <w:rsid w:val="07DA3B6F"/>
    <w:rsid w:val="07DA48E2"/>
    <w:rsid w:val="07E5566A"/>
    <w:rsid w:val="07EF1A4C"/>
    <w:rsid w:val="085B6F50"/>
    <w:rsid w:val="08945AC1"/>
    <w:rsid w:val="08E13408"/>
    <w:rsid w:val="08FE118F"/>
    <w:rsid w:val="098F2A2A"/>
    <w:rsid w:val="09BD3803"/>
    <w:rsid w:val="0B305C79"/>
    <w:rsid w:val="0BE8066F"/>
    <w:rsid w:val="0CD619C6"/>
    <w:rsid w:val="0D2376CB"/>
    <w:rsid w:val="0D5D4663"/>
    <w:rsid w:val="0E062656"/>
    <w:rsid w:val="0E2C6EF3"/>
    <w:rsid w:val="0F2620F8"/>
    <w:rsid w:val="0F532542"/>
    <w:rsid w:val="0F551DD4"/>
    <w:rsid w:val="0F8363DA"/>
    <w:rsid w:val="12BA5360"/>
    <w:rsid w:val="12FE4C5E"/>
    <w:rsid w:val="134351CE"/>
    <w:rsid w:val="13FD52BE"/>
    <w:rsid w:val="140A7F18"/>
    <w:rsid w:val="142257E9"/>
    <w:rsid w:val="147A108C"/>
    <w:rsid w:val="14FC20D9"/>
    <w:rsid w:val="150942ED"/>
    <w:rsid w:val="166167A3"/>
    <w:rsid w:val="167F5BE1"/>
    <w:rsid w:val="16A50B75"/>
    <w:rsid w:val="17C1746A"/>
    <w:rsid w:val="17D422E7"/>
    <w:rsid w:val="17E21B65"/>
    <w:rsid w:val="19856003"/>
    <w:rsid w:val="19C07BE2"/>
    <w:rsid w:val="1BB82281"/>
    <w:rsid w:val="1BE51F80"/>
    <w:rsid w:val="1C183870"/>
    <w:rsid w:val="1D0A06B1"/>
    <w:rsid w:val="1D5A2A91"/>
    <w:rsid w:val="1DFC0B3E"/>
    <w:rsid w:val="1E593F49"/>
    <w:rsid w:val="1E816227"/>
    <w:rsid w:val="1EF813BB"/>
    <w:rsid w:val="1F205D74"/>
    <w:rsid w:val="1F7F698B"/>
    <w:rsid w:val="208E5586"/>
    <w:rsid w:val="20F64CAB"/>
    <w:rsid w:val="20F70FBA"/>
    <w:rsid w:val="2116472A"/>
    <w:rsid w:val="21D2740A"/>
    <w:rsid w:val="224D0956"/>
    <w:rsid w:val="23043F90"/>
    <w:rsid w:val="23672CF3"/>
    <w:rsid w:val="23A928D9"/>
    <w:rsid w:val="240551A0"/>
    <w:rsid w:val="24296F38"/>
    <w:rsid w:val="25685755"/>
    <w:rsid w:val="2580342E"/>
    <w:rsid w:val="259A3CDE"/>
    <w:rsid w:val="25B53D6B"/>
    <w:rsid w:val="25E7640D"/>
    <w:rsid w:val="261915FD"/>
    <w:rsid w:val="262416A4"/>
    <w:rsid w:val="263168D5"/>
    <w:rsid w:val="26393298"/>
    <w:rsid w:val="268B1A7D"/>
    <w:rsid w:val="273078C8"/>
    <w:rsid w:val="281564C2"/>
    <w:rsid w:val="287263E0"/>
    <w:rsid w:val="28917779"/>
    <w:rsid w:val="295050F2"/>
    <w:rsid w:val="299B6018"/>
    <w:rsid w:val="2A0F7353"/>
    <w:rsid w:val="2AC53704"/>
    <w:rsid w:val="2B6433A1"/>
    <w:rsid w:val="2B755DC8"/>
    <w:rsid w:val="2BFB6029"/>
    <w:rsid w:val="2C3616DF"/>
    <w:rsid w:val="2C9C632F"/>
    <w:rsid w:val="2CA30E6B"/>
    <w:rsid w:val="2CCE7D72"/>
    <w:rsid w:val="2D1F05E2"/>
    <w:rsid w:val="2D5D31EF"/>
    <w:rsid w:val="2D5F77F8"/>
    <w:rsid w:val="2D960910"/>
    <w:rsid w:val="2ED9570B"/>
    <w:rsid w:val="2F487779"/>
    <w:rsid w:val="2F8873A3"/>
    <w:rsid w:val="2F955C50"/>
    <w:rsid w:val="2FCA7238"/>
    <w:rsid w:val="30957536"/>
    <w:rsid w:val="309F32E9"/>
    <w:rsid w:val="31321DFA"/>
    <w:rsid w:val="321E5749"/>
    <w:rsid w:val="329A69F9"/>
    <w:rsid w:val="330C45AC"/>
    <w:rsid w:val="33C551F0"/>
    <w:rsid w:val="33EB0460"/>
    <w:rsid w:val="34622E59"/>
    <w:rsid w:val="34B87BBD"/>
    <w:rsid w:val="351D7258"/>
    <w:rsid w:val="357476FC"/>
    <w:rsid w:val="358008A3"/>
    <w:rsid w:val="36EB3079"/>
    <w:rsid w:val="37D51DF9"/>
    <w:rsid w:val="37EF1177"/>
    <w:rsid w:val="381F3D78"/>
    <w:rsid w:val="383D5A66"/>
    <w:rsid w:val="387E237A"/>
    <w:rsid w:val="389F47DA"/>
    <w:rsid w:val="39047736"/>
    <w:rsid w:val="39947847"/>
    <w:rsid w:val="3A5965C5"/>
    <w:rsid w:val="3A687BAE"/>
    <w:rsid w:val="3BDE6CA0"/>
    <w:rsid w:val="3BFF43BF"/>
    <w:rsid w:val="3C157FE3"/>
    <w:rsid w:val="3C65082E"/>
    <w:rsid w:val="3CC941F4"/>
    <w:rsid w:val="3CEC5689"/>
    <w:rsid w:val="3E781704"/>
    <w:rsid w:val="3F127704"/>
    <w:rsid w:val="3F564129"/>
    <w:rsid w:val="3F877A8D"/>
    <w:rsid w:val="406B1354"/>
    <w:rsid w:val="40A163F1"/>
    <w:rsid w:val="418956B2"/>
    <w:rsid w:val="4204422A"/>
    <w:rsid w:val="42490E62"/>
    <w:rsid w:val="42545013"/>
    <w:rsid w:val="426B1C6A"/>
    <w:rsid w:val="431612F7"/>
    <w:rsid w:val="438020AF"/>
    <w:rsid w:val="44433180"/>
    <w:rsid w:val="44D64308"/>
    <w:rsid w:val="44F62D2F"/>
    <w:rsid w:val="453D4BF1"/>
    <w:rsid w:val="45A869B9"/>
    <w:rsid w:val="45BB5316"/>
    <w:rsid w:val="46891893"/>
    <w:rsid w:val="46AF3FF1"/>
    <w:rsid w:val="46E14BB3"/>
    <w:rsid w:val="46E379FE"/>
    <w:rsid w:val="479B0F9D"/>
    <w:rsid w:val="48545B1D"/>
    <w:rsid w:val="489C0789"/>
    <w:rsid w:val="491352A5"/>
    <w:rsid w:val="4A3261B4"/>
    <w:rsid w:val="4ABA4F76"/>
    <w:rsid w:val="4ABF4D0B"/>
    <w:rsid w:val="4BA47D9D"/>
    <w:rsid w:val="4C1C6003"/>
    <w:rsid w:val="4C23035B"/>
    <w:rsid w:val="4C502B13"/>
    <w:rsid w:val="4C5A4EBB"/>
    <w:rsid w:val="4C8A2ACC"/>
    <w:rsid w:val="4DC640EE"/>
    <w:rsid w:val="4DEF7A22"/>
    <w:rsid w:val="4E2D5445"/>
    <w:rsid w:val="4EAC1FAA"/>
    <w:rsid w:val="4ED648B5"/>
    <w:rsid w:val="4EF53EA2"/>
    <w:rsid w:val="4F244236"/>
    <w:rsid w:val="4F4A6634"/>
    <w:rsid w:val="50162315"/>
    <w:rsid w:val="5097608A"/>
    <w:rsid w:val="50BF461A"/>
    <w:rsid w:val="514C4E17"/>
    <w:rsid w:val="515E2A30"/>
    <w:rsid w:val="51976245"/>
    <w:rsid w:val="529261BF"/>
    <w:rsid w:val="52CC4960"/>
    <w:rsid w:val="52DD7C56"/>
    <w:rsid w:val="53063BB9"/>
    <w:rsid w:val="53D9067E"/>
    <w:rsid w:val="53E92849"/>
    <w:rsid w:val="54346BFF"/>
    <w:rsid w:val="54AE2FFA"/>
    <w:rsid w:val="54B019A4"/>
    <w:rsid w:val="566A622C"/>
    <w:rsid w:val="56B62F14"/>
    <w:rsid w:val="5713640F"/>
    <w:rsid w:val="572D2433"/>
    <w:rsid w:val="57AA2AA8"/>
    <w:rsid w:val="5988494D"/>
    <w:rsid w:val="59C961B8"/>
    <w:rsid w:val="5A4B64D4"/>
    <w:rsid w:val="5A5454D8"/>
    <w:rsid w:val="5A626CD7"/>
    <w:rsid w:val="5A66631F"/>
    <w:rsid w:val="5B46703E"/>
    <w:rsid w:val="5C303574"/>
    <w:rsid w:val="5DAA21CE"/>
    <w:rsid w:val="5DD9294D"/>
    <w:rsid w:val="5DF05FF4"/>
    <w:rsid w:val="5EAE5B5B"/>
    <w:rsid w:val="5EB513D3"/>
    <w:rsid w:val="5F3B68BD"/>
    <w:rsid w:val="5F9F5A72"/>
    <w:rsid w:val="5FF80D7C"/>
    <w:rsid w:val="620E05A3"/>
    <w:rsid w:val="633D4259"/>
    <w:rsid w:val="63983DBD"/>
    <w:rsid w:val="643C3576"/>
    <w:rsid w:val="650D082F"/>
    <w:rsid w:val="653E2B9C"/>
    <w:rsid w:val="65A516F4"/>
    <w:rsid w:val="65BF2716"/>
    <w:rsid w:val="665B5ADC"/>
    <w:rsid w:val="67B3300F"/>
    <w:rsid w:val="68A13729"/>
    <w:rsid w:val="68F5296D"/>
    <w:rsid w:val="693C6A70"/>
    <w:rsid w:val="69EF50EE"/>
    <w:rsid w:val="6A5E0ADF"/>
    <w:rsid w:val="6AED482D"/>
    <w:rsid w:val="6BF80E7D"/>
    <w:rsid w:val="6C0D0209"/>
    <w:rsid w:val="6C2D1C0D"/>
    <w:rsid w:val="6C8E2897"/>
    <w:rsid w:val="6D1B63A8"/>
    <w:rsid w:val="6D743055"/>
    <w:rsid w:val="6DBC258E"/>
    <w:rsid w:val="6E1D2124"/>
    <w:rsid w:val="6E3B6A4F"/>
    <w:rsid w:val="6E660980"/>
    <w:rsid w:val="6EDF5DA3"/>
    <w:rsid w:val="6F087D92"/>
    <w:rsid w:val="6FC70383"/>
    <w:rsid w:val="6FED119C"/>
    <w:rsid w:val="6FFD43BC"/>
    <w:rsid w:val="70547C5E"/>
    <w:rsid w:val="706353DE"/>
    <w:rsid w:val="719133C4"/>
    <w:rsid w:val="72104D11"/>
    <w:rsid w:val="722241AD"/>
    <w:rsid w:val="72524AFD"/>
    <w:rsid w:val="72534433"/>
    <w:rsid w:val="729A3C40"/>
    <w:rsid w:val="733325CA"/>
    <w:rsid w:val="73AA3DBA"/>
    <w:rsid w:val="74924969"/>
    <w:rsid w:val="75345014"/>
    <w:rsid w:val="76200A04"/>
    <w:rsid w:val="77267BBD"/>
    <w:rsid w:val="774D1768"/>
    <w:rsid w:val="77B100BB"/>
    <w:rsid w:val="782446B8"/>
    <w:rsid w:val="790E06C8"/>
    <w:rsid w:val="792720A9"/>
    <w:rsid w:val="795D725E"/>
    <w:rsid w:val="797A294B"/>
    <w:rsid w:val="798E366B"/>
    <w:rsid w:val="79A97499"/>
    <w:rsid w:val="79D44654"/>
    <w:rsid w:val="7A0E1A87"/>
    <w:rsid w:val="7A39632E"/>
    <w:rsid w:val="7A81718F"/>
    <w:rsid w:val="7A8F409B"/>
    <w:rsid w:val="7AE916FF"/>
    <w:rsid w:val="7B2F481D"/>
    <w:rsid w:val="7B621E36"/>
    <w:rsid w:val="7B7F1F11"/>
    <w:rsid w:val="7B8F4361"/>
    <w:rsid w:val="7B99315D"/>
    <w:rsid w:val="7B9D278A"/>
    <w:rsid w:val="7BF70F9A"/>
    <w:rsid w:val="7D5620AE"/>
    <w:rsid w:val="7DAB0C69"/>
    <w:rsid w:val="7EAA1804"/>
    <w:rsid w:val="7FAD4C13"/>
    <w:rsid w:val="7FB81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560" w:firstLineChars="200"/>
      <w:jc w:val="both"/>
    </w:pPr>
    <w:rPr>
      <w:rFonts w:ascii="Times New Roman" w:hAnsi="Times New Roman" w:eastAsia="仿宋_GB2312" w:cs="Times New Roman"/>
      <w:kern w:val="2"/>
      <w:sz w:val="28"/>
      <w:szCs w:val="32"/>
      <w:lang w:val="en-US" w:eastAsia="zh-CN" w:bidi="ar-SA"/>
    </w:rPr>
  </w:style>
  <w:style w:type="paragraph" w:styleId="2">
    <w:name w:val="heading 1"/>
    <w:basedOn w:val="1"/>
    <w:next w:val="1"/>
    <w:link w:val="25"/>
    <w:qFormat/>
    <w:uiPriority w:val="9"/>
    <w:pPr>
      <w:keepNext/>
      <w:keepLines/>
      <w:spacing w:before="240" w:after="240"/>
      <w:ind w:firstLine="0" w:firstLineChars="0"/>
      <w:jc w:val="center"/>
      <w:outlineLvl w:val="0"/>
    </w:pPr>
    <w:rPr>
      <w:rFonts w:eastAsia="方正小标宋简体"/>
      <w:b/>
      <w:bCs/>
      <w:kern w:val="44"/>
      <w:sz w:val="36"/>
      <w:szCs w:val="44"/>
    </w:rPr>
  </w:style>
  <w:style w:type="paragraph" w:styleId="3">
    <w:name w:val="heading 2"/>
    <w:basedOn w:val="1"/>
    <w:next w:val="1"/>
    <w:link w:val="21"/>
    <w:unhideWhenUsed/>
    <w:qFormat/>
    <w:uiPriority w:val="9"/>
    <w:pPr>
      <w:keepNext/>
      <w:keepLines/>
      <w:spacing w:before="120" w:after="120"/>
      <w:ind w:firstLine="562"/>
      <w:outlineLvl w:val="1"/>
    </w:pPr>
    <w:rPr>
      <w:rFonts w:ascii="Times New Roman" w:hAnsi="Times New Roman"/>
      <w:b/>
    </w:rPr>
  </w:style>
  <w:style w:type="paragraph" w:styleId="4">
    <w:name w:val="heading 3"/>
    <w:basedOn w:val="1"/>
    <w:next w:val="1"/>
    <w:link w:val="26"/>
    <w:unhideWhenUsed/>
    <w:qFormat/>
    <w:uiPriority w:val="9"/>
    <w:pPr>
      <w:keepNext/>
      <w:keepLines/>
      <w:spacing w:before="120" w:after="120"/>
      <w:outlineLvl w:val="2"/>
    </w:pPr>
    <w:rPr>
      <w:b/>
      <w:bCs/>
    </w:rPr>
  </w:style>
  <w:style w:type="paragraph" w:styleId="5">
    <w:name w:val="heading 4"/>
    <w:basedOn w:val="1"/>
    <w:next w:val="1"/>
    <w:link w:val="27"/>
    <w:unhideWhenUsed/>
    <w:qFormat/>
    <w:uiPriority w:val="9"/>
    <w:pPr>
      <w:keepNext/>
      <w:keepLines/>
      <w:outlineLvl w:val="3"/>
    </w:pPr>
    <w:rPr>
      <w:rFonts w:asciiTheme="majorHAnsi" w:hAnsiTheme="majorHAnsi" w:cstheme="majorBidi"/>
      <w:bCs/>
      <w:szCs w:val="28"/>
    </w:rPr>
  </w:style>
  <w:style w:type="paragraph" w:styleId="6">
    <w:name w:val="heading 5"/>
    <w:basedOn w:val="1"/>
    <w:next w:val="1"/>
    <w:unhideWhenUsed/>
    <w:qFormat/>
    <w:uiPriority w:val="9"/>
    <w:pPr>
      <w:keepNext/>
      <w:keepLines/>
      <w:outlineLvl w:val="4"/>
    </w:p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28"/>
    <w:semiHidden/>
    <w:unhideWhenUsed/>
    <w:qFormat/>
    <w:uiPriority w:val="99"/>
    <w:pPr>
      <w:jc w:val="left"/>
    </w:pPr>
  </w:style>
  <w:style w:type="paragraph" w:styleId="8">
    <w:name w:val="toc 3"/>
    <w:basedOn w:val="1"/>
    <w:next w:val="1"/>
    <w:qFormat/>
    <w:uiPriority w:val="0"/>
    <w:pPr>
      <w:ind w:left="1120" w:leftChars="400" w:firstLine="0" w:firstLineChars="0"/>
    </w:pPr>
  </w:style>
  <w:style w:type="paragraph" w:styleId="9">
    <w:name w:val="Plain Text"/>
    <w:basedOn w:val="1"/>
    <w:next w:val="1"/>
    <w:unhideWhenUsed/>
    <w:qFormat/>
    <w:uiPriority w:val="99"/>
    <w:rPr>
      <w:rFonts w:hAnsi="Courier New"/>
      <w:kern w:val="0"/>
      <w:sz w:val="20"/>
      <w:szCs w:val="21"/>
      <w:lang w:val="zh-CN"/>
    </w:rPr>
  </w:style>
  <w:style w:type="paragraph" w:styleId="10">
    <w:name w:val="footer"/>
    <w:basedOn w:val="1"/>
    <w:link w:val="22"/>
    <w:unhideWhenUsed/>
    <w:qFormat/>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12">
    <w:name w:val="toc 1"/>
    <w:basedOn w:val="1"/>
    <w:next w:val="1"/>
    <w:qFormat/>
    <w:uiPriority w:val="0"/>
    <w:pPr>
      <w:ind w:firstLine="0" w:firstLineChars="0"/>
    </w:pPr>
    <w:rPr>
      <w:rFonts w:eastAsia="方正小标宋简体"/>
    </w:rPr>
  </w:style>
  <w:style w:type="paragraph" w:styleId="13">
    <w:name w:val="toc 2"/>
    <w:basedOn w:val="1"/>
    <w:next w:val="1"/>
    <w:qFormat/>
    <w:uiPriority w:val="0"/>
    <w:pPr>
      <w:ind w:left="560" w:leftChars="200" w:firstLine="0" w:firstLineChars="0"/>
    </w:pPr>
  </w:style>
  <w:style w:type="paragraph" w:styleId="14">
    <w:name w:val="Normal (Web)"/>
    <w:basedOn w:val="1"/>
    <w:semiHidden/>
    <w:unhideWhenUsed/>
    <w:qFormat/>
    <w:uiPriority w:val="99"/>
    <w:pPr>
      <w:spacing w:beforeAutospacing="1" w:afterAutospacing="1"/>
      <w:jc w:val="left"/>
    </w:pPr>
    <w:rPr>
      <w:kern w:val="0"/>
      <w:sz w:val="24"/>
    </w:rPr>
  </w:style>
  <w:style w:type="paragraph" w:styleId="15">
    <w:name w:val="Title"/>
    <w:basedOn w:val="1"/>
    <w:link w:val="24"/>
    <w:qFormat/>
    <w:uiPriority w:val="0"/>
    <w:pPr>
      <w:spacing w:line="240" w:lineRule="auto"/>
      <w:ind w:left="-37" w:leftChars="-37" w:right="-109" w:rightChars="-39" w:hanging="104" w:hangingChars="20"/>
      <w:jc w:val="center"/>
    </w:pPr>
    <w:rPr>
      <w:rFonts w:eastAsia="宋体"/>
      <w:sz w:val="52"/>
    </w:rPr>
  </w:style>
  <w:style w:type="paragraph" w:styleId="16">
    <w:name w:val="annotation subject"/>
    <w:basedOn w:val="7"/>
    <w:next w:val="7"/>
    <w:link w:val="29"/>
    <w:semiHidden/>
    <w:unhideWhenUsed/>
    <w:qFormat/>
    <w:uiPriority w:val="99"/>
    <w:rPr>
      <w:b/>
      <w:bCs/>
    </w:rPr>
  </w:style>
  <w:style w:type="character" w:styleId="19">
    <w:name w:val="Strong"/>
    <w:basedOn w:val="18"/>
    <w:qFormat/>
    <w:uiPriority w:val="22"/>
    <w:rPr>
      <w:b/>
    </w:rPr>
  </w:style>
  <w:style w:type="character" w:styleId="20">
    <w:name w:val="annotation reference"/>
    <w:basedOn w:val="18"/>
    <w:unhideWhenUsed/>
    <w:qFormat/>
    <w:uiPriority w:val="99"/>
    <w:rPr>
      <w:sz w:val="21"/>
      <w:szCs w:val="21"/>
    </w:rPr>
  </w:style>
  <w:style w:type="character" w:customStyle="1" w:styleId="21">
    <w:name w:val="标题 2 字符"/>
    <w:link w:val="3"/>
    <w:qFormat/>
    <w:uiPriority w:val="9"/>
    <w:rPr>
      <w:rFonts w:ascii="Times New Roman" w:hAnsi="Times New Roman" w:eastAsia="仿宋_GB2312" w:cs="Times New Roman"/>
      <w:b/>
      <w:kern w:val="2"/>
      <w:sz w:val="28"/>
      <w:szCs w:val="32"/>
      <w:lang w:val="en-US" w:eastAsia="zh-CN" w:bidi="ar-SA"/>
    </w:rPr>
  </w:style>
  <w:style w:type="character" w:customStyle="1" w:styleId="22">
    <w:name w:val="页脚 字符"/>
    <w:basedOn w:val="18"/>
    <w:link w:val="10"/>
    <w:qFormat/>
    <w:uiPriority w:val="99"/>
    <w:rPr>
      <w:sz w:val="18"/>
      <w:szCs w:val="18"/>
    </w:rPr>
  </w:style>
  <w:style w:type="character" w:customStyle="1" w:styleId="23">
    <w:name w:val="页眉 字符"/>
    <w:basedOn w:val="18"/>
    <w:link w:val="11"/>
    <w:qFormat/>
    <w:uiPriority w:val="99"/>
    <w:rPr>
      <w:sz w:val="18"/>
      <w:szCs w:val="18"/>
    </w:rPr>
  </w:style>
  <w:style w:type="character" w:customStyle="1" w:styleId="24">
    <w:name w:val="标题 字符"/>
    <w:basedOn w:val="18"/>
    <w:link w:val="15"/>
    <w:qFormat/>
    <w:uiPriority w:val="0"/>
    <w:rPr>
      <w:rFonts w:ascii="Times New Roman" w:hAnsi="Times New Roman" w:eastAsia="宋体" w:cs="Times New Roman"/>
      <w:sz w:val="52"/>
      <w:szCs w:val="24"/>
    </w:rPr>
  </w:style>
  <w:style w:type="character" w:customStyle="1" w:styleId="25">
    <w:name w:val="标题 1 字符"/>
    <w:basedOn w:val="18"/>
    <w:link w:val="2"/>
    <w:qFormat/>
    <w:uiPriority w:val="9"/>
    <w:rPr>
      <w:rFonts w:ascii="Times New Roman" w:hAnsi="Times New Roman" w:eastAsia="方正小标宋简体" w:cs="Times New Roman"/>
      <w:b/>
      <w:bCs/>
      <w:kern w:val="44"/>
      <w:sz w:val="36"/>
      <w:szCs w:val="44"/>
    </w:rPr>
  </w:style>
  <w:style w:type="character" w:customStyle="1" w:styleId="26">
    <w:name w:val="标题 3 字符"/>
    <w:basedOn w:val="18"/>
    <w:link w:val="4"/>
    <w:qFormat/>
    <w:uiPriority w:val="9"/>
    <w:rPr>
      <w:rFonts w:ascii="Times New Roman" w:hAnsi="Times New Roman" w:eastAsia="仿宋_GB2312" w:cs="Times New Roman"/>
      <w:b/>
      <w:bCs/>
      <w:sz w:val="32"/>
      <w:szCs w:val="32"/>
    </w:rPr>
  </w:style>
  <w:style w:type="character" w:customStyle="1" w:styleId="27">
    <w:name w:val="标题 4 字符"/>
    <w:basedOn w:val="18"/>
    <w:link w:val="5"/>
    <w:qFormat/>
    <w:uiPriority w:val="9"/>
    <w:rPr>
      <w:rFonts w:eastAsia="仿宋_GB2312" w:asciiTheme="majorHAnsi" w:hAnsiTheme="majorHAnsi" w:cstheme="majorBidi"/>
      <w:bCs/>
      <w:sz w:val="32"/>
      <w:szCs w:val="28"/>
    </w:rPr>
  </w:style>
  <w:style w:type="character" w:customStyle="1" w:styleId="28">
    <w:name w:val="批注文字 字符"/>
    <w:basedOn w:val="18"/>
    <w:link w:val="7"/>
    <w:semiHidden/>
    <w:qFormat/>
    <w:uiPriority w:val="99"/>
    <w:rPr>
      <w:rFonts w:eastAsia="仿宋_GB2312"/>
      <w:kern w:val="2"/>
      <w:sz w:val="32"/>
      <w:szCs w:val="24"/>
    </w:rPr>
  </w:style>
  <w:style w:type="character" w:customStyle="1" w:styleId="29">
    <w:name w:val="批注主题 字符"/>
    <w:basedOn w:val="28"/>
    <w:link w:val="16"/>
    <w:semiHidden/>
    <w:qFormat/>
    <w:uiPriority w:val="99"/>
    <w:rPr>
      <w:rFonts w:eastAsia="仿宋_GB2312"/>
      <w:b/>
      <w:bCs/>
      <w:kern w:val="2"/>
      <w:sz w:val="32"/>
      <w:szCs w:val="24"/>
    </w:rPr>
  </w:style>
  <w:style w:type="paragraph" w:customStyle="1" w:styleId="30">
    <w:name w:val="2章节"/>
    <w:qFormat/>
    <w:uiPriority w:val="0"/>
    <w:pPr>
      <w:numPr>
        <w:ilvl w:val="0"/>
        <w:numId w:val="1"/>
      </w:numPr>
      <w:spacing w:after="200" w:line="276" w:lineRule="auto"/>
      <w:ind w:right="100" w:rightChars="100"/>
      <w:outlineLvl w:val="0"/>
    </w:pPr>
    <w:rPr>
      <w:rFonts w:ascii="Times New Roman" w:hAnsi="Times New Roman" w:eastAsia="仿宋_GB2312" w:cs="Times New Roman"/>
      <w:b/>
      <w:kern w:val="2"/>
      <w:sz w:val="28"/>
      <w:szCs w:val="22"/>
      <w:lang w:val="en-US" w:eastAsia="zh-CN" w:bidi="ar-SA"/>
    </w:rPr>
  </w:style>
  <w:style w:type="character" w:customStyle="1" w:styleId="31">
    <w:name w:val="font11"/>
    <w:basedOn w:val="18"/>
    <w:qFormat/>
    <w:uiPriority w:val="0"/>
    <w:rPr>
      <w:rFonts w:hint="eastAsia" w:ascii="宋体" w:hAnsi="宋体" w:eastAsia="宋体" w:cs="宋体"/>
      <w:b/>
      <w:bCs/>
      <w:color w:val="000000"/>
      <w:sz w:val="18"/>
      <w:szCs w:val="18"/>
      <w:u w:val="none"/>
    </w:rPr>
  </w:style>
  <w:style w:type="character" w:customStyle="1" w:styleId="32">
    <w:name w:val="font21"/>
    <w:basedOn w:val="18"/>
    <w:qFormat/>
    <w:uiPriority w:val="0"/>
    <w:rPr>
      <w:rFonts w:hint="eastAsia" w:ascii="宋体" w:hAnsi="宋体" w:eastAsia="宋体" w:cs="宋体"/>
      <w:color w:val="000000"/>
      <w:sz w:val="18"/>
      <w:szCs w:val="18"/>
      <w:u w:val="none"/>
    </w:rPr>
  </w:style>
  <w:style w:type="paragraph" w:customStyle="1" w:styleId="33">
    <w:name w:val="Revision"/>
    <w:hidden/>
    <w:unhideWhenUsed/>
    <w:qFormat/>
    <w:uiPriority w:val="99"/>
    <w:rPr>
      <w:rFonts w:ascii="Times New Roman" w:hAnsi="Times New Roman" w:eastAsia="仿宋_GB2312"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17685</Words>
  <Characters>19492</Characters>
  <Lines>183</Lines>
  <Paragraphs>51</Paragraphs>
  <TotalTime>9</TotalTime>
  <ScaleCrop>false</ScaleCrop>
  <LinksUpToDate>false</LinksUpToDate>
  <CharactersWithSpaces>19620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2023-10-15T07:48:00Z</dcterms:created>
  <dc:creator>段 蒙</dc:creator>
  <cp:lastModifiedBy>Eve、 小情绪</cp:lastModifiedBy>
  <dcterms:modified xsi:type="dcterms:W3CDTF">2026-10-13T08:32:11Z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11ED152D4B66460B88A078ED3C279EC7_13</vt:lpwstr>
  </property>
  <property fmtid="{D5CDD505-2E9C-101B-9397-08002B2CF9AE}" pid="4" name="KSOTemplateDocerSaveRecord">
    <vt:lpwstr>eyJoZGlkIjoiMmFjZDllYjNjODA2MGU4MjYzMjMwM2M1NTQ0OTE4NzciLCJ1c2VySWQiOiIyODE3NDUwMzQifQ==</vt:lpwstr>
  </property>
</Properties>
</file>